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92167FE-2A4D-44DD-AAD5-27257E871AA5" style="width:450.75pt;height:384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0"/>
          <w:noProof/>
          <w:color w:val="auto"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ManualHeading1"/>
        <w:rPr>
          <w:noProof/>
        </w:rPr>
      </w:pPr>
      <w:r>
        <w:rPr>
          <w:noProof/>
        </w:rPr>
        <w:t>Information to be provided in the key investment information sheet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Part A: Information about the project owner(s) and the crowdfunding project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Identity, legal status, ownership, management and contact details;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Principle activities; products or services offered;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A hyperlink to the most recent financial statement of the project owner, if available;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Description of the crowdfunding project, including its the purpose and the main features.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Part B: Main features of the crowdfunding process and conditions for the capital raising or funds borrowing, as applicable</w:t>
      </w:r>
    </w:p>
    <w:p>
      <w:pPr>
        <w:pStyle w:val="Point1letter"/>
        <w:numPr>
          <w:ilvl w:val="3"/>
          <w:numId w:val="14"/>
        </w:numPr>
        <w:rPr>
          <w:noProof/>
        </w:rPr>
      </w:pPr>
      <w:r>
        <w:rPr>
          <w:noProof/>
        </w:rPr>
        <w:t>Minimum target capital to be raised or target funds to be borrowed in a single crowdfunding offering and the number of offerings that have been completed by the project owner or crowdfunding service provider for the crowdfunding project;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Deadline for reaching the target to raise capital or borrow funds;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Information on the consequences if the target capital is not raised or the targeted funds are not borrowed by the deadline;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The maximum offering amount when different from the target capital set out in point (a);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Amount of own funds committed to the crowdfunding project by the project owner;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Change of the composition of the issuer's capital or loans related to the crowdfunding offer.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Part C: Risk Factors</w:t>
      </w:r>
    </w:p>
    <w:p>
      <w:pPr>
        <w:spacing w:before="0" w:after="200" w:line="276" w:lineRule="auto"/>
        <w:rPr>
          <w:b/>
          <w:noProof/>
        </w:rPr>
      </w:pPr>
      <w:r>
        <w:rPr>
          <w:noProof/>
        </w:rPr>
        <w:t>Presentation of the main risks associated with financing the crowdfunding project, with the sector, the project, the project owner and the investment instrument, including geographic risks, where relevant.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Part D: Information related to the offering of securities</w:t>
      </w:r>
    </w:p>
    <w:p>
      <w:pPr>
        <w:pStyle w:val="Point1letter"/>
        <w:numPr>
          <w:ilvl w:val="3"/>
          <w:numId w:val="15"/>
        </w:numPr>
        <w:rPr>
          <w:noProof/>
        </w:rPr>
      </w:pPr>
      <w:r>
        <w:rPr>
          <w:noProof/>
        </w:rPr>
        <w:t>Total amount and type of investment instruments to be offered;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Subscription price;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Whether oversubscriptions are accepted and how they are allocated;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Terms of subscription and payment;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Custody and delivery of investment instruments to investors;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Where the investment is secured by a guarantor or a collateral:</w:t>
      </w:r>
    </w:p>
    <w:p>
      <w:pPr>
        <w:pStyle w:val="Point2"/>
        <w:rPr>
          <w:noProof/>
        </w:rPr>
      </w:pPr>
      <w:r>
        <w:rPr>
          <w:noProof/>
        </w:rPr>
        <w:t>(i)</w:t>
      </w:r>
      <w:r>
        <w:rPr>
          <w:noProof/>
        </w:rPr>
        <w:tab/>
        <w:t>whether that guarantor or collateral provider is a legal person;</w:t>
      </w:r>
    </w:p>
    <w:p>
      <w:pPr>
        <w:pStyle w:val="Point2"/>
        <w:rPr>
          <w:noProof/>
        </w:rPr>
      </w:pPr>
      <w:r>
        <w:rPr>
          <w:noProof/>
        </w:rPr>
        <w:t>(ii)</w:t>
      </w:r>
      <w:r>
        <w:rPr>
          <w:noProof/>
        </w:rPr>
        <w:tab/>
        <w:t>the identity, legal status and contact details of that guarantor or collateral provider;</w:t>
      </w:r>
    </w:p>
    <w:p>
      <w:pPr>
        <w:pStyle w:val="Point2"/>
        <w:rPr>
          <w:noProof/>
        </w:rPr>
      </w:pPr>
      <w:r>
        <w:rPr>
          <w:noProof/>
        </w:rPr>
        <w:t>(iii)</w:t>
      </w:r>
      <w:r>
        <w:rPr>
          <w:noProof/>
        </w:rPr>
        <w:tab/>
        <w:t>information on the nature and the terms of the guarantee or collateral;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Where applicable, a firm commitment to buy back securities and the time period for such a buy-back;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For non-equity instruments, the nominal interest rate, the date from which interest becomes payable, the due dates for interest payments, the maturity date and the applicable yield.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 xml:space="preserve">Part E: Issuer's information, where the issuer is different from the project owner and therefore is an SPV </w:t>
      </w:r>
    </w:p>
    <w:p>
      <w:pPr>
        <w:pStyle w:val="Point1letter"/>
        <w:numPr>
          <w:ilvl w:val="3"/>
          <w:numId w:val="16"/>
        </w:numPr>
        <w:rPr>
          <w:noProof/>
        </w:rPr>
      </w:pPr>
      <w:r>
        <w:rPr>
          <w:noProof/>
        </w:rPr>
        <w:t>Whether there is an SPV interposed between the project owner and the investor;</w:t>
      </w:r>
    </w:p>
    <w:p>
      <w:pPr>
        <w:pStyle w:val="Point1letter"/>
        <w:rPr>
          <w:noProof/>
        </w:rPr>
      </w:pPr>
      <w:r>
        <w:rPr>
          <w:noProof/>
        </w:rPr>
        <w:t>Contact details of the issuer.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Part F: Investor rights</w:t>
      </w:r>
    </w:p>
    <w:p>
      <w:pPr>
        <w:pStyle w:val="Point1letter"/>
        <w:numPr>
          <w:ilvl w:val="3"/>
          <w:numId w:val="17"/>
        </w:numPr>
        <w:rPr>
          <w:noProof/>
        </w:rPr>
      </w:pPr>
      <w:r>
        <w:rPr>
          <w:noProof/>
        </w:rPr>
        <w:t>Key rights attached to the securities;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Restrictions to which the securities are subject;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Description of any restrictions on the transferring of securities;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Opportunities for exit;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For equity securities, distribution of capital and voting rights before and after the capital increase resulting from the offer (assuming that all the securities will be subscribed).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Part G: Disclosure related to the loan agreement</w:t>
      </w:r>
    </w:p>
    <w:p>
      <w:pPr>
        <w:spacing w:before="0" w:after="200" w:line="276" w:lineRule="auto"/>
        <w:rPr>
          <w:noProof/>
        </w:rPr>
      </w:pPr>
      <w:r>
        <w:rPr>
          <w:noProof/>
        </w:rPr>
        <w:t>Where the crowdfunding offer involves credit intermediation, the key investment information sheet shall, instead of the information referred to in Parts D, E and F, contain the following information:</w:t>
      </w:r>
    </w:p>
    <w:p>
      <w:pPr>
        <w:pStyle w:val="Point1letter"/>
        <w:numPr>
          <w:ilvl w:val="3"/>
          <w:numId w:val="18"/>
        </w:numPr>
        <w:rPr>
          <w:noProof/>
        </w:rPr>
      </w:pPr>
      <w:r>
        <w:rPr>
          <w:noProof/>
        </w:rPr>
        <w:t>Nature and duration of the credit agreement;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Applicable interest rates or, where applicable, other compensation to the investor;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Risk mitigation measures, such as whether credit is secured;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Amortisation schedule of the principle and repayment of interest.</w:t>
      </w:r>
    </w:p>
    <w:p>
      <w:pPr>
        <w:spacing w:before="0" w:after="200" w:line="276" w:lineRule="auto"/>
        <w:rPr>
          <w:b/>
          <w:noProof/>
        </w:rPr>
      </w:pPr>
      <w:r>
        <w:rPr>
          <w:b/>
          <w:noProof/>
        </w:rPr>
        <w:t>Part H: Fees, information and legal redress</w:t>
      </w:r>
    </w:p>
    <w:p>
      <w:pPr>
        <w:pStyle w:val="Point1letter"/>
        <w:numPr>
          <w:ilvl w:val="3"/>
          <w:numId w:val="19"/>
        </w:numPr>
        <w:rPr>
          <w:noProof/>
        </w:rPr>
      </w:pPr>
      <w:r>
        <w:rPr>
          <w:noProof/>
        </w:rPr>
        <w:t>Fees charged to, and the costs incurred by, the investor in relation to the investment;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Where and how additional information about the crowdfunding project, the project owner and issuer can be obtained free of charge;</w:t>
      </w:r>
    </w:p>
    <w:p>
      <w:pPr>
        <w:pStyle w:val="Point1letter"/>
        <w:rPr>
          <w:noProof/>
        </w:rPr>
      </w:pPr>
      <w:r>
        <w:rPr>
          <w:noProof/>
        </w:rPr>
        <w:t>How and to whom the investor may address a complaint about the investment or about the conduct of the project owner or about the crowdfunding service provider.</w:t>
      </w:r>
    </w:p>
    <w:sectPr>
      <w:footerReference w:type="default" r:id="rId19"/>
      <w:footerReference w:type="first" r:id="rId20"/>
      <w:pgSz w:w="11907" w:h="16839" w:code="9"/>
      <w:pgMar w:top="794" w:right="907" w:bottom="851" w:left="1361" w:header="51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F1C06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F9C66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B50B5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AE890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ECCD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8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1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96D67A1"/>
    <w:multiLevelType w:val="singleLevel"/>
    <w:tmpl w:val="9AC8831A"/>
    <w:lvl w:ilvl="0">
      <w:start w:val="1"/>
      <w:numFmt w:val="bullet"/>
      <w:pStyle w:val="ListNumber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9">
    <w:nsid w:val="5F8C3B69"/>
    <w:multiLevelType w:val="multilevel"/>
    <w:tmpl w:val="9B14DAA8"/>
    <w:name w:val="List Number"/>
    <w:lvl w:ilvl="0">
      <w:start w:val="1"/>
      <w:numFmt w:val="decimal"/>
      <w:pStyle w:val="ListBullet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3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4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6A6901C1"/>
    <w:multiLevelType w:val="singleLevel"/>
    <w:tmpl w:val="208841AE"/>
    <w:lvl w:ilvl="0">
      <w:start w:val="1"/>
      <w:numFmt w:val="bullet"/>
      <w:pStyle w:val="ListDash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3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24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1"/>
  </w:num>
  <w:num w:numId="23">
    <w:abstractNumId w:val="8"/>
  </w:num>
  <w:num w:numId="24">
    <w:abstractNumId w:val="10"/>
  </w:num>
  <w:num w:numId="25">
    <w:abstractNumId w:val="6"/>
  </w:num>
  <w:num w:numId="26">
    <w:abstractNumId w:val="20"/>
  </w:num>
  <w:num w:numId="27">
    <w:abstractNumId w:val="5"/>
  </w:num>
  <w:num w:numId="28">
    <w:abstractNumId w:val="11"/>
  </w:num>
  <w:num w:numId="29">
    <w:abstractNumId w:val="15"/>
  </w:num>
  <w:num w:numId="30">
    <w:abstractNumId w:val="16"/>
  </w:num>
  <w:num w:numId="31">
    <w:abstractNumId w:val="7"/>
  </w:num>
  <w:num w:numId="32">
    <w:abstractNumId w:val="13"/>
  </w:num>
  <w:num w:numId="33">
    <w:abstractNumId w:val="25"/>
  </w:num>
  <w:num w:numId="34">
    <w:abstractNumId w:val="17"/>
  </w:num>
  <w:num w:numId="35">
    <w:abstractNumId w:val="9"/>
  </w:num>
  <w:num w:numId="36">
    <w:abstractNumId w:val="21"/>
  </w:num>
  <w:num w:numId="37">
    <w:abstractNumId w:val="8"/>
  </w:num>
  <w:num w:numId="38">
    <w:abstractNumId w:val="10"/>
  </w:num>
  <w:num w:numId="39">
    <w:abstractNumId w:val="6"/>
  </w:num>
  <w:num w:numId="40">
    <w:abstractNumId w:val="20"/>
  </w:num>
  <w:num w:numId="41">
    <w:abstractNumId w:val="5"/>
  </w:num>
  <w:num w:numId="42">
    <w:abstractNumId w:val="11"/>
  </w:num>
  <w:num w:numId="43">
    <w:abstractNumId w:val="15"/>
  </w:num>
  <w:num w:numId="44">
    <w:abstractNumId w:val="16"/>
  </w:num>
  <w:num w:numId="45">
    <w:abstractNumId w:val="7"/>
  </w:num>
  <w:num w:numId="46">
    <w:abstractNumId w:val="13"/>
  </w:num>
  <w:num w:numId="47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2 20:18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92167FE-2A4D-44DD-AAD5-27257E871AA5"/>
    <w:docVar w:name="LW_COVERPAGE_TYPE" w:val="1"/>
    <w:docVar w:name="LW_CROSSREFERENCE" w:val="{SWD(2018) 56 final}_x000b_{SWD(2018) 57 final}"/>
    <w:docVar w:name="LW_DocType" w:val="ANNEX"/>
    <w:docVar w:name="LW_EMISSION" w:val="8.3.2018"/>
    <w:docVar w:name="LW_EMISSION_ISODATE" w:val="2018-03-08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European Crowdfunding Service Providers (ECSP) for Business"/>
    <w:docVar w:name="LW_OBJETACTEPRINCIPAL.CP" w:val="on European Crowdfunding Service Providers (ECSP) for Business"/>
    <w:docVar w:name="LW_PART_NBR" w:val="1"/>
    <w:docVar w:name="LW_PART_NBR_TOTAL" w:val="1"/>
    <w:docVar w:name="LW_REF.INST.NEW" w:val="COM"/>
    <w:docVar w:name="LW_REF.INST.NEW_ADOPTED" w:val="final"/>
    <w:docVar w:name="LW_REF.INST.NEW_TEXT" w:val="(2018) 11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2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10"/>
      </w:numPr>
      <w:tabs>
        <w:tab w:val="clear" w:pos="709"/>
        <w:tab w:val="num" w:pos="1134"/>
      </w:tabs>
      <w:ind w:left="1134" w:hanging="283"/>
    </w:pPr>
    <w:rPr>
      <w:rFonts w:eastAsia="Times New Roman"/>
      <w:lang w:eastAsia="de-DE"/>
    </w:rPr>
  </w:style>
  <w:style w:type="paragraph" w:customStyle="1" w:styleId="ListDash1">
    <w:name w:val="List Dash 1"/>
    <w:basedOn w:val="Normal"/>
    <w:qFormat/>
    <w:pPr>
      <w:numPr>
        <w:numId w:val="11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numId w:val="12"/>
      </w:numPr>
      <w:tabs>
        <w:tab w:val="clear" w:pos="1134"/>
        <w:tab w:val="num" w:pos="1417"/>
      </w:tabs>
      <w:ind w:left="1417" w:hanging="708"/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1"/>
        <w:numId w:val="10"/>
      </w:numPr>
      <w:tabs>
        <w:tab w:val="clear" w:pos="1417"/>
        <w:tab w:val="num" w:pos="2126"/>
      </w:tabs>
      <w:ind w:left="2126" w:hanging="709"/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2"/>
        <w:numId w:val="10"/>
      </w:numPr>
      <w:tabs>
        <w:tab w:val="clear" w:pos="2126"/>
        <w:tab w:val="num" w:pos="2835"/>
      </w:tabs>
      <w:ind w:left="2835"/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3"/>
      </w:numPr>
    </w:pPr>
    <w:rPr>
      <w:rFonts w:eastAsia="Times New Roman"/>
      <w:lang w:val="fr-FR" w:eastAsia="en-GB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2">
    <w:name w:val="List Bullet 2"/>
    <w:basedOn w:val="Normal"/>
    <w:pPr>
      <w:numPr>
        <w:numId w:val="4"/>
      </w:numPr>
    </w:pPr>
    <w:rPr>
      <w:rFonts w:eastAsia="Times New Roman"/>
      <w:lang w:val="fr-FR" w:eastAsia="en-GB"/>
    </w:rPr>
  </w:style>
  <w:style w:type="paragraph" w:styleId="ListBullet3">
    <w:name w:val="List Bullet 3"/>
    <w:basedOn w:val="Normal"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nhideWhenUsed/>
    <w:pPr>
      <w:numPr>
        <w:numId w:val="6"/>
      </w:numPr>
      <w:tabs>
        <w:tab w:val="clear" w:pos="1209"/>
        <w:tab w:val="num" w:pos="360"/>
      </w:tabs>
      <w:ind w:left="0" w:firstLine="0"/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List1">
    <w:name w:val="List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Normal2">
    <w:name w:val="Normal2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i-art">
    <w:name w:val="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LLKappalejako">
    <w:name w:val="LLKappalejako"/>
    <w:link w:val="LLKappalejakoChar"/>
    <w:autoRedefine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val="fi-FI" w:eastAsia="fi-FI"/>
    </w:rPr>
  </w:style>
  <w:style w:type="character" w:customStyle="1" w:styleId="LLKappalejakoChar">
    <w:name w:val="LLKappalejako Char"/>
    <w:link w:val="LLKappalejako"/>
    <w:locked/>
    <w:rPr>
      <w:rFonts w:ascii="Times New Roman" w:eastAsia="Times New Roman" w:hAnsi="Times New Roman" w:cs="Times New Roman"/>
      <w:szCs w:val="24"/>
      <w:lang w:val="fi-FI" w:eastAsia="fi-FI"/>
    </w:rPr>
  </w:style>
  <w:style w:type="paragraph" w:customStyle="1" w:styleId="LLMomentinKohta">
    <w:name w:val="LLMomentinKohta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val="fi-FI" w:eastAsia="fi-F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</w:style>
  <w:style w:type="paragraph" w:customStyle="1" w:styleId="CM3">
    <w:name w:val="CM3"/>
    <w:basedOn w:val="Default"/>
    <w:next w:val="Default"/>
    <w:uiPriority w:val="99"/>
  </w:style>
  <w:style w:type="paragraph" w:customStyle="1" w:styleId="Normal3">
    <w:name w:val="Normal3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2">
    <w:name w:val="List Number 2"/>
    <w:basedOn w:val="Normal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nhideWhenUsed/>
    <w:pPr>
      <w:numPr>
        <w:numId w:val="9"/>
      </w:numPr>
      <w:contextualSpacing/>
    </w:pPr>
  </w:style>
  <w:style w:type="character" w:customStyle="1" w:styleId="marker">
    <w:name w:val="marker"/>
    <w:basedOn w:val="DefaultParagraphFont"/>
    <w:rPr>
      <w:color w:val="0000FF"/>
    </w:rPr>
  </w:style>
  <w:style w:type="paragraph" w:customStyle="1" w:styleId="16Point">
    <w:name w:val="16 Point"/>
    <w:aliases w:val="Superscript 6 Point,Times 10 Point,Exposant 3 Point,Odwołanie przypisu,de nota al pie,footnote ref,2001+ Fußnotenzeichen, Exposant 3 Point"/>
    <w:basedOn w:val="Normal"/>
    <w:uiPriority w:val="99"/>
    <w:pPr>
      <w:spacing w:after="160" w:line="240" w:lineRule="exact"/>
    </w:pPr>
    <w:rPr>
      <w:rFonts w:asciiTheme="minorHAnsi" w:hAnsiTheme="minorHAnsi" w:cstheme="minorBidi"/>
      <w:sz w:val="22"/>
      <w:vertAlign w:val="superscript"/>
      <w:lang w:val="en-US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character" w:customStyle="1" w:styleId="Marker0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character" w:customStyle="1" w:styleId="Marker3">
    <w:name w:val="Marker"/>
    <w:basedOn w:val="DefaultParagraphFont"/>
    <w:rPr>
      <w:color w:val="0000FF"/>
      <w:shd w:val="clear" w:color="auto" w:fill="auto"/>
    </w:rPr>
  </w:style>
  <w:style w:type="character" w:customStyle="1" w:styleId="Marker10">
    <w:name w:val="Marker1"/>
    <w:basedOn w:val="DefaultParagraphFont"/>
    <w:rPr>
      <w:color w:val="008000"/>
      <w:shd w:val="clear" w:color="auto" w:fill="auto"/>
    </w:rPr>
  </w:style>
  <w:style w:type="character" w:customStyle="1" w:styleId="Marker20">
    <w:name w:val="Marker2"/>
    <w:basedOn w:val="DefaultParagraphFont"/>
    <w:rPr>
      <w:color w:val="FF0000"/>
      <w:shd w:val="clear" w:color="auto" w:fill="auto"/>
    </w:rPr>
  </w:style>
  <w:style w:type="character" w:customStyle="1" w:styleId="Marker4">
    <w:name w:val="Marker"/>
    <w:basedOn w:val="DefaultParagraphFont"/>
    <w:rPr>
      <w:color w:val="0000FF"/>
      <w:shd w:val="clear" w:color="auto" w:fill="auto"/>
    </w:rPr>
  </w:style>
  <w:style w:type="character" w:customStyle="1" w:styleId="Marker11">
    <w:name w:val="Marker1"/>
    <w:basedOn w:val="DefaultParagraphFont"/>
    <w:rPr>
      <w:color w:val="008000"/>
      <w:shd w:val="clear" w:color="auto" w:fill="auto"/>
    </w:rPr>
  </w:style>
  <w:style w:type="character" w:customStyle="1" w:styleId="Marker21">
    <w:name w:val="Marker2"/>
    <w:basedOn w:val="DefaultParagraphFont"/>
    <w:rPr>
      <w:color w:val="FF0000"/>
      <w:shd w:val="clear" w:color="auto" w:fill="auto"/>
    </w:rPr>
  </w:style>
  <w:style w:type="character" w:customStyle="1" w:styleId="Marker5">
    <w:name w:val="Marker"/>
    <w:basedOn w:val="DefaultParagraphFont"/>
    <w:rPr>
      <w:color w:val="0000FF"/>
      <w:shd w:val="clear" w:color="auto" w:fill="auto"/>
    </w:rPr>
  </w:style>
  <w:style w:type="character" w:customStyle="1" w:styleId="Marker12">
    <w:name w:val="Marker1"/>
    <w:basedOn w:val="DefaultParagraphFont"/>
    <w:rPr>
      <w:color w:val="008000"/>
      <w:shd w:val="clear" w:color="auto" w:fill="auto"/>
    </w:rPr>
  </w:style>
  <w:style w:type="character" w:customStyle="1" w:styleId="Marker22">
    <w:name w:val="Marker2"/>
    <w:basedOn w:val="DefaultParagraphFont"/>
    <w:rPr>
      <w:color w:val="FF0000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6">
    <w:name w:val="Marker"/>
    <w:basedOn w:val="DefaultParagraphFont"/>
    <w:rPr>
      <w:color w:val="0000FF"/>
      <w:shd w:val="clear" w:color="auto" w:fill="auto"/>
    </w:rPr>
  </w:style>
  <w:style w:type="character" w:customStyle="1" w:styleId="Marker13">
    <w:name w:val="Marker1"/>
    <w:basedOn w:val="DefaultParagraphFont"/>
    <w:rPr>
      <w:color w:val="008000"/>
      <w:shd w:val="clear" w:color="auto" w:fill="auto"/>
    </w:rPr>
  </w:style>
  <w:style w:type="character" w:customStyle="1" w:styleId="Marker23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2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10"/>
      </w:numPr>
      <w:tabs>
        <w:tab w:val="clear" w:pos="709"/>
        <w:tab w:val="num" w:pos="1134"/>
      </w:tabs>
      <w:ind w:left="1134" w:hanging="283"/>
    </w:pPr>
    <w:rPr>
      <w:rFonts w:eastAsia="Times New Roman"/>
      <w:lang w:eastAsia="de-DE"/>
    </w:rPr>
  </w:style>
  <w:style w:type="paragraph" w:customStyle="1" w:styleId="ListDash1">
    <w:name w:val="List Dash 1"/>
    <w:basedOn w:val="Normal"/>
    <w:qFormat/>
    <w:pPr>
      <w:numPr>
        <w:numId w:val="11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numId w:val="12"/>
      </w:numPr>
      <w:tabs>
        <w:tab w:val="clear" w:pos="1134"/>
        <w:tab w:val="num" w:pos="1417"/>
      </w:tabs>
      <w:ind w:left="1417" w:hanging="708"/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1"/>
        <w:numId w:val="10"/>
      </w:numPr>
      <w:tabs>
        <w:tab w:val="clear" w:pos="1417"/>
        <w:tab w:val="num" w:pos="2126"/>
      </w:tabs>
      <w:ind w:left="2126" w:hanging="709"/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2"/>
        <w:numId w:val="10"/>
      </w:numPr>
      <w:tabs>
        <w:tab w:val="clear" w:pos="2126"/>
        <w:tab w:val="num" w:pos="2835"/>
      </w:tabs>
      <w:ind w:left="2835"/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3"/>
      </w:numPr>
    </w:pPr>
    <w:rPr>
      <w:rFonts w:eastAsia="Times New Roman"/>
      <w:lang w:val="fr-FR" w:eastAsia="en-GB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2">
    <w:name w:val="List Bullet 2"/>
    <w:basedOn w:val="Normal"/>
    <w:pPr>
      <w:numPr>
        <w:numId w:val="4"/>
      </w:numPr>
    </w:pPr>
    <w:rPr>
      <w:rFonts w:eastAsia="Times New Roman"/>
      <w:lang w:val="fr-FR" w:eastAsia="en-GB"/>
    </w:rPr>
  </w:style>
  <w:style w:type="paragraph" w:styleId="ListBullet3">
    <w:name w:val="List Bullet 3"/>
    <w:basedOn w:val="Normal"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nhideWhenUsed/>
    <w:pPr>
      <w:numPr>
        <w:numId w:val="6"/>
      </w:numPr>
      <w:tabs>
        <w:tab w:val="clear" w:pos="1209"/>
        <w:tab w:val="num" w:pos="360"/>
      </w:tabs>
      <w:ind w:left="0" w:firstLine="0"/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List1">
    <w:name w:val="List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Normal2">
    <w:name w:val="Normal2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ti-art">
    <w:name w:val="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LLKappalejako">
    <w:name w:val="LLKappalejako"/>
    <w:link w:val="LLKappalejakoChar"/>
    <w:autoRedefine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val="fi-FI" w:eastAsia="fi-FI"/>
    </w:rPr>
  </w:style>
  <w:style w:type="character" w:customStyle="1" w:styleId="LLKappalejakoChar">
    <w:name w:val="LLKappalejako Char"/>
    <w:link w:val="LLKappalejako"/>
    <w:locked/>
    <w:rPr>
      <w:rFonts w:ascii="Times New Roman" w:eastAsia="Times New Roman" w:hAnsi="Times New Roman" w:cs="Times New Roman"/>
      <w:szCs w:val="24"/>
      <w:lang w:val="fi-FI" w:eastAsia="fi-FI"/>
    </w:rPr>
  </w:style>
  <w:style w:type="paragraph" w:customStyle="1" w:styleId="LLMomentinKohta">
    <w:name w:val="LLMomentinKohta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val="fi-FI" w:eastAsia="fi-F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</w:style>
  <w:style w:type="paragraph" w:customStyle="1" w:styleId="CM3">
    <w:name w:val="CM3"/>
    <w:basedOn w:val="Default"/>
    <w:next w:val="Default"/>
    <w:uiPriority w:val="99"/>
  </w:style>
  <w:style w:type="paragraph" w:customStyle="1" w:styleId="Normal3">
    <w:name w:val="Normal3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2">
    <w:name w:val="List Number 2"/>
    <w:basedOn w:val="Normal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nhideWhenUsed/>
    <w:pPr>
      <w:numPr>
        <w:numId w:val="9"/>
      </w:numPr>
      <w:contextualSpacing/>
    </w:pPr>
  </w:style>
  <w:style w:type="character" w:customStyle="1" w:styleId="marker">
    <w:name w:val="marker"/>
    <w:basedOn w:val="DefaultParagraphFont"/>
    <w:rPr>
      <w:color w:val="0000FF"/>
    </w:rPr>
  </w:style>
  <w:style w:type="paragraph" w:customStyle="1" w:styleId="16Point">
    <w:name w:val="16 Point"/>
    <w:aliases w:val="Superscript 6 Point,Times 10 Point,Exposant 3 Point,Odwołanie przypisu,de nota al pie,footnote ref,2001+ Fußnotenzeichen, Exposant 3 Point"/>
    <w:basedOn w:val="Normal"/>
    <w:uiPriority w:val="99"/>
    <w:pPr>
      <w:spacing w:after="160" w:line="240" w:lineRule="exact"/>
    </w:pPr>
    <w:rPr>
      <w:rFonts w:asciiTheme="minorHAnsi" w:hAnsiTheme="minorHAnsi" w:cstheme="minorBidi"/>
      <w:sz w:val="22"/>
      <w:vertAlign w:val="superscript"/>
      <w:lang w:val="en-US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character" w:customStyle="1" w:styleId="Marker0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character" w:customStyle="1" w:styleId="Marker3">
    <w:name w:val="Marker"/>
    <w:basedOn w:val="DefaultParagraphFont"/>
    <w:rPr>
      <w:color w:val="0000FF"/>
      <w:shd w:val="clear" w:color="auto" w:fill="auto"/>
    </w:rPr>
  </w:style>
  <w:style w:type="character" w:customStyle="1" w:styleId="Marker10">
    <w:name w:val="Marker1"/>
    <w:basedOn w:val="DefaultParagraphFont"/>
    <w:rPr>
      <w:color w:val="008000"/>
      <w:shd w:val="clear" w:color="auto" w:fill="auto"/>
    </w:rPr>
  </w:style>
  <w:style w:type="character" w:customStyle="1" w:styleId="Marker20">
    <w:name w:val="Marker2"/>
    <w:basedOn w:val="DefaultParagraphFont"/>
    <w:rPr>
      <w:color w:val="FF0000"/>
      <w:shd w:val="clear" w:color="auto" w:fill="auto"/>
    </w:rPr>
  </w:style>
  <w:style w:type="character" w:customStyle="1" w:styleId="Marker4">
    <w:name w:val="Marker"/>
    <w:basedOn w:val="DefaultParagraphFont"/>
    <w:rPr>
      <w:color w:val="0000FF"/>
      <w:shd w:val="clear" w:color="auto" w:fill="auto"/>
    </w:rPr>
  </w:style>
  <w:style w:type="character" w:customStyle="1" w:styleId="Marker11">
    <w:name w:val="Marker1"/>
    <w:basedOn w:val="DefaultParagraphFont"/>
    <w:rPr>
      <w:color w:val="008000"/>
      <w:shd w:val="clear" w:color="auto" w:fill="auto"/>
    </w:rPr>
  </w:style>
  <w:style w:type="character" w:customStyle="1" w:styleId="Marker21">
    <w:name w:val="Marker2"/>
    <w:basedOn w:val="DefaultParagraphFont"/>
    <w:rPr>
      <w:color w:val="FF0000"/>
      <w:shd w:val="clear" w:color="auto" w:fill="auto"/>
    </w:rPr>
  </w:style>
  <w:style w:type="character" w:customStyle="1" w:styleId="Marker5">
    <w:name w:val="Marker"/>
    <w:basedOn w:val="DefaultParagraphFont"/>
    <w:rPr>
      <w:color w:val="0000FF"/>
      <w:shd w:val="clear" w:color="auto" w:fill="auto"/>
    </w:rPr>
  </w:style>
  <w:style w:type="character" w:customStyle="1" w:styleId="Marker12">
    <w:name w:val="Marker1"/>
    <w:basedOn w:val="DefaultParagraphFont"/>
    <w:rPr>
      <w:color w:val="008000"/>
      <w:shd w:val="clear" w:color="auto" w:fill="auto"/>
    </w:rPr>
  </w:style>
  <w:style w:type="character" w:customStyle="1" w:styleId="Marker22">
    <w:name w:val="Marker2"/>
    <w:basedOn w:val="DefaultParagraphFont"/>
    <w:rPr>
      <w:color w:val="FF0000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6">
    <w:name w:val="Marker"/>
    <w:basedOn w:val="DefaultParagraphFont"/>
    <w:rPr>
      <w:color w:val="0000FF"/>
      <w:shd w:val="clear" w:color="auto" w:fill="auto"/>
    </w:rPr>
  </w:style>
  <w:style w:type="character" w:customStyle="1" w:styleId="Marker13">
    <w:name w:val="Marker1"/>
    <w:basedOn w:val="DefaultParagraphFont"/>
    <w:rPr>
      <w:color w:val="008000"/>
      <w:shd w:val="clear" w:color="auto" w:fill="auto"/>
    </w:rPr>
  </w:style>
  <w:style w:type="character" w:customStyle="1" w:styleId="Marker23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29c46a-7e15-44c9-a838-73f00aaab325" xsi:nil="true"/>
    <_Status xmlns="http://schemas.microsoft.com/sharepoint/v3/fields">Not Started</_Status>
    <EC_Collab_DocumentLanguage xmlns="c429c46a-7e15-44c9-a838-73f00aaab325">EN</EC_Collab_DocumentLanguage>
    <EC_Collab_Status xmlns="c429c46a-7e15-44c9-a838-73f00aaab325">Not Started</EC_Collab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F370F79735E2304FB3EE3550DB93E366" ma:contentTypeVersion="0" ma:contentTypeDescription="Create a new document in this library." ma:contentTypeScope="" ma:versionID="1c442c361d9b226c4d9c2de27993a467">
  <xsd:schema xmlns:xsd="http://www.w3.org/2001/XMLSchema" xmlns:xs="http://www.w3.org/2001/XMLSchema" xmlns:p="http://schemas.microsoft.com/office/2006/metadata/properties" xmlns:ns2="http://schemas.microsoft.com/sharepoint/v3/fields" xmlns:ns3="c429c46a-7e15-44c9-a838-73f00aaab325" targetNamespace="http://schemas.microsoft.com/office/2006/metadata/properties" ma:root="true" ma:fieldsID="d8e9caf9e2292584252f5696d7f9863b" ns2:_="" ns3:_="">
    <xsd:import namespace="http://schemas.microsoft.com/sharepoint/v3/fields"/>
    <xsd:import namespace="c429c46a-7e15-44c9-a838-73f00aaab325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c46a-7e15-44c9-a838-73f00aaab325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EB9E-05CF-49A0-98CC-5D5D8303866A}">
  <ds:schemaRefs>
    <ds:schemaRef ds:uri="http://schemas.microsoft.com/office/2006/documentManagement/types"/>
    <ds:schemaRef ds:uri="http://schemas.microsoft.com/office/2006/metadata/properties"/>
    <ds:schemaRef ds:uri="c429c46a-7e15-44c9-a838-73f00aaab32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CD814E-EE68-47B6-A267-D1155BE90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715EB-2971-4219-87D7-AF537D61A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429c46a-7e15-44c9-a838-73f00aaab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89B34-4B30-4221-B60F-3338A671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610</Words>
  <Characters>3303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 Priscilla (SG)</dc:creator>
  <cp:lastModifiedBy>DIGIT/A3</cp:lastModifiedBy>
  <cp:revision>8</cp:revision>
  <dcterms:created xsi:type="dcterms:W3CDTF">2018-03-02T19:32:00Z</dcterms:created>
  <dcterms:modified xsi:type="dcterms:W3CDTF">2018-03-07T10:26:00Z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0x010100258AA79CEB83498886A3A0868112325000F370F79735E2304FB3EE3550DB93E366</vt:lpwstr>
  </property>
  <property fmtid="{D5CDD505-2E9C-101B-9397-08002B2CF9AE}" pid="14" name="DQCStatus">
    <vt:lpwstr>Yellow (DQC version 03)</vt:lpwstr>
  </property>
</Properties>
</file>