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2CC5E61-7F8C-4A98-901C-FB19593FDD76" style="width:450.25pt;height:465.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autoSpaceDE w:val="0"/>
        <w:autoSpaceDN w:val="0"/>
        <w:adjustRightInd w:val="0"/>
        <w:spacing w:before="0" w:after="0"/>
        <w:jc w:val="center"/>
        <w:rPr>
          <w:rFonts w:eastAsia="Calibri"/>
          <w:b/>
          <w:bCs/>
          <w:noProof/>
          <w:szCs w:val="24"/>
        </w:rPr>
      </w:pPr>
      <w:r>
        <w:rPr>
          <w:b/>
          <w:noProof/>
        </w:rPr>
        <w:t>РЕШЕНИЕ № …/2018</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НА СЪВЕТА НА МИНИСТРИТЕ АКТБ—ЕС</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от .../.../2018 година</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по отношение на преразглеждането на приложение ІВ към Споразумението за партньорство АКТБ—ЕС</w:t>
      </w:r>
    </w:p>
    <w:p>
      <w:pPr>
        <w:pStyle w:val="Institutionquiagit"/>
        <w:rPr>
          <w:noProof/>
        </w:rPr>
      </w:pPr>
      <w:r>
        <w:rPr>
          <w:noProof/>
        </w:rPr>
        <w:t>СЪВЕТЪТ НА МИНИСТРИТЕ АКТБ—ЕС,</w:t>
      </w:r>
    </w:p>
    <w:p>
      <w:pPr>
        <w:outlineLvl w:val="0"/>
        <w:rPr>
          <w:noProof/>
          <w:highlight w:val="yellow"/>
        </w:rPr>
      </w:pPr>
      <w:r>
        <w:rPr>
          <w:noProof/>
        </w:rPr>
        <w:t>като взе предвид Споразумението за партньорство между членовете на Групата страни от Африка, Карибите и Тихоокеанския басейн (АКТБ), от една страна, и Европейската общност и нейните държави членки, от друга страна</w:t>
      </w:r>
      <w:r>
        <w:rPr>
          <w:rStyle w:val="FootnoteReference"/>
          <w:noProof/>
        </w:rPr>
        <w:footnoteReference w:id="1"/>
      </w:r>
      <w:r>
        <w:rPr>
          <w:rStyle w:val="CommentReference"/>
          <w:noProof/>
        </w:rPr>
        <w:t xml:space="preserve">, </w:t>
      </w:r>
      <w:r>
        <w:rPr>
          <w:noProof/>
        </w:rPr>
        <w:t xml:space="preserve">(наричано по-нататък „Споразумението за партньорство АКТБ—ЕС“), и по-специално член 15, параграф 2 от него, във връзка с член 100; </w:t>
      </w:r>
    </w:p>
    <w:p>
      <w:pPr>
        <w:outlineLvl w:val="0"/>
        <w:rPr>
          <w:noProof/>
          <w:highlight w:val="yellow"/>
        </w:rPr>
      </w:pPr>
    </w:p>
    <w:p>
      <w:pPr>
        <w:outlineLvl w:val="0"/>
        <w:rPr>
          <w:noProof/>
        </w:rPr>
      </w:pPr>
      <w:r>
        <w:rPr>
          <w:noProof/>
        </w:rPr>
        <w:t>като има предвид, че:</w:t>
      </w:r>
    </w:p>
    <w:p>
      <w:pPr>
        <w:pStyle w:val="Considrant"/>
        <w:numPr>
          <w:ilvl w:val="0"/>
          <w:numId w:val="26"/>
        </w:numPr>
        <w:rPr>
          <w:noProof/>
        </w:rPr>
      </w:pPr>
      <w:r>
        <w:rPr>
          <w:noProof/>
        </w:rPr>
        <w:t>В съответствие с член 15, параграф 2 от Споразумението за партньорство АКТБ—ЕС функциите на Съвета на министрите включват вземането на решения за осигуряване на ефективно и ефикасно изпълнение на Споразумението.</w:t>
      </w:r>
    </w:p>
    <w:p>
      <w:pPr>
        <w:pStyle w:val="Considrant"/>
        <w:rPr>
          <w:noProof/>
        </w:rPr>
      </w:pPr>
      <w:r>
        <w:rPr>
          <w:noProof/>
        </w:rPr>
        <w:t>В член 100 от Споразумението за партньорство АКТБ—ЕС се посочва, че приложенията към него могат да бъдат преразглеждани, адаптирани и/или изменяни от Съвета на министрите АКТБ—ЕС въз основа на препоръка от Комитета АКТБ—ЕС за сътрудничество за финансиране на развитието.</w:t>
      </w:r>
    </w:p>
    <w:p>
      <w:pPr>
        <w:pStyle w:val="Considrant"/>
        <w:rPr>
          <w:noProof/>
        </w:rPr>
      </w:pPr>
      <w:r>
        <w:rPr>
          <w:noProof/>
        </w:rPr>
        <w:t>Приложение IB към Споразумението за партньорство АКТБ—ЕС следва да бъде изменено, за да се пренасочат средства между инструментите за сътрудничество по линия на Европейския фонд за развитие към инструмента за финансиране на сътрудничеството в рамките на АКТБ и на междурегионалното сътрудничество.</w:t>
      </w:r>
    </w:p>
    <w:p>
      <w:pPr>
        <w:pStyle w:val="Text1"/>
        <w:ind w:left="709" w:firstLine="11"/>
        <w:rPr>
          <w:noProof/>
        </w:rPr>
      </w:pPr>
      <w:r>
        <w:rPr>
          <w:noProof/>
        </w:rPr>
        <w:t xml:space="preserve">Преразпределянето на средства цели да допринесе за финансирането на инициативата Spotlight и на Световното партньорство за образование (СПО). </w:t>
      </w:r>
    </w:p>
    <w:p>
      <w:pPr>
        <w:pStyle w:val="Text1"/>
        <w:ind w:left="709" w:firstLine="11"/>
        <w:rPr>
          <w:noProof/>
        </w:rPr>
      </w:pPr>
      <w:r>
        <w:rPr>
          <w:noProof/>
        </w:rPr>
        <w:t xml:space="preserve">Spotlight е съвместна инициатива на ЕС и ООН за глобални действия, насочени към предотвратяване и ответна реакция на насилието спрямо жени и момичета в целевите държави. Въз основа на доказателства инициативата Spotlight ще се съсредоточи върху конкретни форми на сексуално и основано на пола насилие, които преобладават или възникват в значителна степен в конкретни региони, като по този начин допринесе за постигането на ЦУР 5 „Равенство между половете“. </w:t>
      </w:r>
    </w:p>
    <w:p>
      <w:pPr>
        <w:pStyle w:val="Text1"/>
        <w:ind w:left="709" w:firstLine="11"/>
        <w:rPr>
          <w:noProof/>
        </w:rPr>
      </w:pPr>
      <w:r>
        <w:rPr>
          <w:noProof/>
        </w:rPr>
        <w:t xml:space="preserve">Общата цел на СПО е да мобилизира глобални и национални усилия за постигане на висококачествено образование и обучение за всички посредством приобщаващо партньорство, акцент върху ефективни образователни системи и финансиране за основно образование. И двете инициативи са в съответствие с </w:t>
      </w:r>
      <w:r>
        <w:rPr>
          <w:noProof/>
        </w:rPr>
        <w:lastRenderedPageBreak/>
        <w:t>целите на Споразумението за партньорство от Котону, както и с Програмата до 2030 г. за устойчиво развитие, които насърчават по-всестранен подход към човешкото развитие. По отношение на образованието този подход означава повече подкрепа за приобщаващо и справедливо качествено образование и учене през целия живот за всички (ЦУР 4), със силна насоченост към насърчаване на равенството между половете (ЦУР 5).</w:t>
      </w:r>
    </w:p>
    <w:p>
      <w:pPr>
        <w:pStyle w:val="Formuledadoption"/>
        <w:rPr>
          <w:noProof/>
        </w:rPr>
      </w:pPr>
      <w:r>
        <w:rPr>
          <w:noProof/>
        </w:rPr>
        <w:t xml:space="preserve">РЕШИ: </w:t>
      </w:r>
    </w:p>
    <w:p>
      <w:pPr>
        <w:pStyle w:val="Titrearticle"/>
        <w:rPr>
          <w:noProof/>
        </w:rPr>
      </w:pPr>
      <w:r>
        <w:rPr>
          <w:noProof/>
        </w:rPr>
        <w:t>Член 1</w:t>
      </w:r>
    </w:p>
    <w:p>
      <w:pPr>
        <w:pStyle w:val="NumPar1"/>
        <w:numPr>
          <w:ilvl w:val="0"/>
          <w:numId w:val="10"/>
        </w:numPr>
        <w:rPr>
          <w:noProof/>
        </w:rPr>
      </w:pPr>
      <w:r>
        <w:rPr>
          <w:noProof/>
        </w:rPr>
        <w:t>С цел да се отговори на програмните изисквания, финансовите суми в рамките на Европейския фонд за развитие се преразпределят между инструментите за сътрудничество, определени в приложение IB към Споразумението за партньорство АКТБ—ЕС.</w:t>
      </w:r>
    </w:p>
    <w:p>
      <w:pPr>
        <w:pStyle w:val="NumPar1"/>
        <w:rPr>
          <w:noProof/>
        </w:rPr>
      </w:pPr>
      <w:r>
        <w:rPr>
          <w:noProof/>
        </w:rPr>
        <w:t>Сума от 425 милиона евро се пренасочва от общия резерв за национални и регионални индикативни програми, посочен в точка 2, буква а) от приложение IВ, към сумата за финансиране на сътрудничеството между държавите от АКТБ и на междурегионалното сътрудничество, посочена в точка 2, буква б) от приложение IВ, както следва:</w:t>
      </w:r>
    </w:p>
    <w:p>
      <w:pPr>
        <w:pStyle w:val="Tiret1"/>
        <w:numPr>
          <w:ilvl w:val="0"/>
          <w:numId w:val="11"/>
        </w:numPr>
        <w:rPr>
          <w:noProof/>
        </w:rPr>
      </w:pPr>
      <w:r>
        <w:rPr>
          <w:noProof/>
        </w:rPr>
        <w:t>350 милиона евро за инициативата Spotlight;</w:t>
      </w:r>
    </w:p>
    <w:p>
      <w:pPr>
        <w:pStyle w:val="Tiret1"/>
        <w:rPr>
          <w:noProof/>
        </w:rPr>
      </w:pPr>
      <w:r>
        <w:rPr>
          <w:noProof/>
        </w:rPr>
        <w:t>75 милиона евро за Глобалното партньорство за образование.</w:t>
      </w:r>
    </w:p>
    <w:p>
      <w:pPr>
        <w:pStyle w:val="Titrearticle"/>
        <w:rPr>
          <w:noProof/>
        </w:rPr>
      </w:pPr>
      <w:r>
        <w:rPr>
          <w:noProof/>
        </w:rPr>
        <w:t>Член 2</w:t>
      </w:r>
    </w:p>
    <w:p>
      <w:pPr>
        <w:rPr>
          <w:noProof/>
          <w:szCs w:val="24"/>
        </w:rPr>
      </w:pPr>
      <w:r>
        <w:rPr>
          <w:noProof/>
        </w:rPr>
        <w:t>В резултат от пренасочването на разпределени суми по член 1, текстът на приложение IB към Споразумението за партньорство АКТБ—ЕС се изменя, както следва:</w:t>
      </w:r>
    </w:p>
    <w:p>
      <w:pPr>
        <w:pStyle w:val="NumPar1"/>
        <w:numPr>
          <w:ilvl w:val="0"/>
          <w:numId w:val="9"/>
        </w:numPr>
        <w:rPr>
          <w:noProof/>
        </w:rPr>
      </w:pPr>
      <w:r>
        <w:rPr>
          <w:noProof/>
        </w:rPr>
        <w:t>В точка 2 от приложение IB към Споразумението за партньорство АКТБ—ЕС буква а) се заменя със следното:</w:t>
      </w:r>
    </w:p>
    <w:p>
      <w:pPr>
        <w:ind w:left="1440" w:hanging="720"/>
        <w:rPr>
          <w:noProof/>
          <w:szCs w:val="24"/>
        </w:rPr>
      </w:pPr>
      <w:r>
        <w:rPr>
          <w:noProof/>
        </w:rPr>
        <w:t>„а)</w:t>
      </w:r>
      <w:r>
        <w:rPr>
          <w:noProof/>
        </w:rPr>
        <w:tab/>
        <w:t>23 940 милиона евро за финансиране на национални и регионални индикативни програми. Тази сума ще се използва за финансирането на:</w:t>
      </w:r>
    </w:p>
    <w:p>
      <w:pPr>
        <w:ind w:left="2160" w:hanging="720"/>
        <w:rPr>
          <w:noProof/>
          <w:szCs w:val="24"/>
        </w:rPr>
      </w:pPr>
      <w:r>
        <w:rPr>
          <w:noProof/>
        </w:rPr>
        <w:t xml:space="preserve">i) </w:t>
      </w:r>
      <w:r>
        <w:rPr>
          <w:noProof/>
        </w:rPr>
        <w:tab/>
        <w:t>националните индикативни програми на отделните държави от АКТБ в съответствие с членове 1—5 от приложение IV към настоящото споразумение относно процедурите за изпълнение и управление;</w:t>
      </w:r>
    </w:p>
    <w:p>
      <w:pPr>
        <w:ind w:left="2160" w:hanging="720"/>
        <w:rPr>
          <w:noProof/>
          <w:szCs w:val="24"/>
        </w:rPr>
      </w:pPr>
      <w:r>
        <w:rPr>
          <w:noProof/>
        </w:rPr>
        <w:t xml:space="preserve">ii) </w:t>
      </w:r>
      <w:r>
        <w:rPr>
          <w:noProof/>
        </w:rPr>
        <w:tab/>
        <w:t>регионалните индикативни програми за подкрепа за регионалното и междурегионалното сътрудничество и регионалната интеграция на държавите от АКТБ в съответствие с членове 6—11 от приложение IV към настоящото споразумение относно процедурите за изпълнение и управление;“</w:t>
      </w:r>
    </w:p>
    <w:p>
      <w:pPr>
        <w:pStyle w:val="NumPar1"/>
        <w:numPr>
          <w:ilvl w:val="0"/>
          <w:numId w:val="9"/>
        </w:numPr>
        <w:rPr>
          <w:noProof/>
        </w:rPr>
      </w:pPr>
      <w:r>
        <w:rPr>
          <w:noProof/>
        </w:rPr>
        <w:t>В точка 2 от приложение IB към Споразумението за партньорство АКТБ—ЕС буква б) се заменя със следното:</w:t>
      </w:r>
    </w:p>
    <w:p>
      <w:pPr>
        <w:pStyle w:val="Text1"/>
        <w:ind w:left="1440" w:hanging="590"/>
        <w:rPr>
          <w:noProof/>
        </w:rPr>
      </w:pPr>
      <w:r>
        <w:rPr>
          <w:noProof/>
        </w:rPr>
        <w:t>„б)</w:t>
      </w:r>
      <w:r>
        <w:rPr>
          <w:noProof/>
        </w:rPr>
        <w:tab/>
        <w:t>4015 милиона евро за финансиране на сътрудничеството в рамките на АКТБ, както и на междурегионалното сътрудничество с много или всички държави от АКТБ в съответствие с членове 12—14 от приложение IV към настоящото споразумение относно процедурите за изпълнение и управление. Този пакет включва подкрепа за съвместни институции и органи, създадени съгласно настоящото споразумение. Той обхваща също и помощ за оперативните разходи на секретариата на АКТБ, посочени в точки 1 и 2 от протокол № 1 „за оперативните разходи на съвместните институции“.</w:t>
      </w:r>
    </w:p>
    <w:p>
      <w:pPr>
        <w:pStyle w:val="Titrearticle"/>
        <w:rPr>
          <w:noProof/>
        </w:rPr>
      </w:pPr>
      <w:r>
        <w:rPr>
          <w:noProof/>
        </w:rPr>
        <w:t>Член 3</w:t>
      </w:r>
    </w:p>
    <w:p>
      <w:pPr>
        <w:outlineLvl w:val="0"/>
        <w:rPr>
          <w:noProof/>
          <w:color w:val="000000" w:themeColor="text1"/>
        </w:rPr>
      </w:pPr>
      <w:r>
        <w:rPr>
          <w:noProof/>
          <w:color w:val="000000" w:themeColor="text1"/>
        </w:rPr>
        <w:t xml:space="preserve">Настоящото решение влиза в сила в деня на приемането му. </w:t>
      </w:r>
    </w:p>
    <w:p>
      <w:pPr>
        <w:pStyle w:val="Fait"/>
        <w:rPr>
          <w:noProof/>
        </w:rPr>
      </w:pPr>
      <w:r>
        <w:rPr>
          <w:noProof/>
        </w:rPr>
        <w:t>Съставено в […] на […] година.</w:t>
      </w:r>
    </w:p>
    <w:p>
      <w:pPr>
        <w:pStyle w:val="Institutionquisigne"/>
        <w:rPr>
          <w:noProof/>
        </w:rPr>
      </w:pPr>
      <w:r>
        <w:rPr>
          <w:noProof/>
        </w:rPr>
        <w:tab/>
        <w:t>[За Съвета на министрите АКТБ—ЕС]</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4D6C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42D9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545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6E7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AE0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C0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C57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8CEB0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825D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21"/>
    <w:lvlOverride w:ilvl="0">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TI Martina (DEVCO)">
    <w15:presenceInfo w15:providerId="None" w15:userId="NUTI Martina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5:11: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NST_RESTREINT_UE" w:val="RESTREINT UE/EU RESTRICTED"/>
    <w:docVar w:name="LW_CORRIGENDUM" w:val="&lt;UNUSED&gt;"/>
    <w:docVar w:name="LW_COVERPAGE_EXISTS" w:val="True"/>
    <w:docVar w:name="LW_COVERPAGE_GUID" w:val="52CC5E61-7F8C-4A98-901C-FB19593FDD76"/>
    <w:docVar w:name="LW_COVERPAGE_TYPE" w:val="1"/>
    <w:docVar w:name="LW_CROSSREFERENCE" w:val="&lt;UNUSED&gt;"/>
    <w:docVar w:name="LW_DocType" w:val="ANNEX"/>
    <w:docVar w:name="LW_EMISSION" w:val="9.3.2018"/>
    <w:docVar w:name="LW_EMISSION_ISODATE" w:val="2018-03-09"/>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_x000b_\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5?\u1072? \u1084?\u1080?\u1085?\u1080?\u1089?\u1090?\u1088?\u1080?\u1090?\u1077? \u1040?\u1050?\u1058?\u1041?\u8212?\u1045?\u1057? \u1074?\u1098?\u1074? \u1074?\u1088?\u1098?\u1079?\u1082?\u1072? \u1089? \u1087?\u1088?\u1077?\u1088?\u1072?\u1079?\u1075?\u1083?\u1077?\u1078?\u1076?\u1072?\u1085?\u1077?\u1090?\u1086? \u1085?\u1072? \u1087?\u1088?\u1080?\u1083?\u1086?\u1078?\u1077?\u1085?\u1080?\u1077? I\u1042? \u1082?\u1098?\u1084? \u1057?\u1087?\u1086?\u1088?\u1072?\u1079?\u1091?\u1084?\u1077?\u1085?\u1080?\u1077?\u1090?\u1086? \u1079?\u1072? \u1087?\u1072?\u1088?\u1090?\u1085?\u1100?\u1086?\u1088?\u1089?\u1090?\u1074?\u1086? \u1040?\u1050?\u1058?\u1041?\u8212?\u1045?\u1057?_x000b_"/>
    <w:docVar w:name="LW_OBJETACTEPRINCIPAL.CP" w:val="_x000b_\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5?\u1072? \u1084?\u1080?\u1085?\u1080?\u1089?\u1090?\u1088?\u1080?\u1090?\u1077? \u1040?\u1050?\u1058?\u1041?\u8212?\u1045?\u1057? \u1074?\u1098?\u1074? \u1074?\u1088?\u1098?\u1079?\u1082?\u1072? \u1089? \u1087?\u1088?\u1077?\u1088?\u1072?\u1079?\u1075?\u1083?\u1077?\u1078?\u1076?\u1072?\u1085?\u1077?\u1090?\u1086? \u1085?\u1072? \u1087?\u1088?\u1080?\u1083?\u1086?\u1078?\u1077?\u1085?\u1080?\u1077? I\u1042? \u1082?\u1098?\u1084? \u1057?\u1087?\u1086?\u1088?\u1072?\u1079?\u1091?\u1084?\u1077?\u1085?\u1080?\u1077?\u1090?\u1086? \u1079?\u1072? \u1087?\u1072?\u1088?\u1090?\u1085?\u1100?\u1086?\u1088?\u1089?\u1090?\u1074?\u1086? \u1040?\u1050?\u1058?\u1041?\u8212?\u1045?\u1057?_x000b_"/>
    <w:docVar w:name="LW_PART_NBR" w:val="1"/>
    <w:docVar w:name="LW_PART_NBR_TOTAL" w:val="1"/>
    <w:docVar w:name="LW_REF.INST.NEW" w:val="COM"/>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45?\u1064?\u1045?\u1053?\u1048?\u1045? \u1053?\u1040? \u1057?\u1066?\u1042?\u1045?\u1058?\u1040?_x000b_"/>
    <w:docVar w:name="LW_TYPEACTEPRINCIPAL.CP" w:val="\u1055?\u1088?\u1077?\u1076?\u1083?\u1086?\u1078?\u1077?\u1085?\u1080?\u1077? \u1079?\u1072?_x000b_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qFormat/>
    <w:pPr>
      <w:suppressAutoHyphens/>
      <w:spacing w:before="0" w:after="0"/>
      <w:ind w:left="720"/>
      <w:jc w:val="left"/>
    </w:pPr>
    <w:rPr>
      <w:rFonts w:eastAsia="MS Mincho"/>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qFormat/>
    <w:pPr>
      <w:suppressAutoHyphens/>
      <w:spacing w:before="0" w:after="0"/>
      <w:ind w:left="720"/>
      <w:jc w:val="left"/>
    </w:pPr>
    <w:rPr>
      <w:rFonts w:eastAsia="MS Mincho"/>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752E7-E201-4CA4-B83D-FBEBE2CC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744</Words>
  <Characters>4249</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Kerry (DEVCO)</dc:creator>
  <cp:lastModifiedBy>DIGIT/A3</cp:lastModifiedBy>
  <cp:revision>7</cp:revision>
  <cp:lastPrinted>2018-02-07T14:49:00Z</cp:lastPrinted>
  <dcterms:created xsi:type="dcterms:W3CDTF">2018-03-01T12:57:00Z</dcterms:created>
  <dcterms:modified xsi:type="dcterms:W3CDTF">2018-03-06T14:11:00Z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