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07B6C5-EB31-4FA0-B869-DABCE024BA7B"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да се заеме от името на Съюза в рамките на Съвета на министрите АКТБ—ЕС, във връзка с предвиденото приемане на решение на Съвета на министрите относно преразпределението на средства за финансирането на сътрудничеството между държавите от АКТБ и на междурегионалното сътрудничество с много или с всички държави от АКТБ.</w:t>
      </w:r>
    </w:p>
    <w:p>
      <w:pPr>
        <w:pStyle w:val="ManualHeading1"/>
        <w:rPr>
          <w:rFonts w:eastAsia="Arial Unicode MS"/>
          <w:noProof/>
        </w:rPr>
      </w:pPr>
      <w:r>
        <w:t>2.</w:t>
      </w:r>
      <w:r>
        <w:tab/>
      </w:r>
      <w:r>
        <w:rPr>
          <w:noProof/>
        </w:rPr>
        <w:t>Контекст на предложението</w:t>
      </w:r>
    </w:p>
    <w:p>
      <w:pPr>
        <w:pStyle w:val="ManualHeading2"/>
        <w:rPr>
          <w:noProof/>
        </w:rPr>
      </w:pPr>
      <w:r>
        <w:t>2.1.</w:t>
      </w:r>
      <w:r>
        <w:tab/>
      </w:r>
      <w:r>
        <w:rPr>
          <w:noProof/>
        </w:rPr>
        <w:t>Споразумението за партньорство АКТБ—ЕС (Споразумението от Котону)</w:t>
      </w:r>
    </w:p>
    <w:p>
      <w:pPr>
        <w:rPr>
          <w:noProof/>
          <w:szCs w:val="24"/>
        </w:rPr>
      </w:pPr>
      <w:r>
        <w:rPr>
          <w:noProof/>
        </w:rPr>
        <w:t>Целта на Споразумението за партньорство АКТБ—ЕС</w:t>
      </w:r>
      <w:r>
        <w:rPr>
          <w:rStyle w:val="FootnoteReference"/>
          <w:noProof/>
        </w:rPr>
        <w:footnoteReference w:id="2"/>
      </w:r>
      <w:r>
        <w:rPr>
          <w:noProof/>
        </w:rPr>
        <w:t xml:space="preserve"> („Споразумението“) е установяването на асоциация между Европейския съюз и държавите от АКТБ. Споразумението влезе в сила на 1 април 2003 г. и бе преразгледано през 2005 г. и 2010 г. в съответствие с клаузата за преразглеждане на Споразумението веднъж на всеки пет години.</w:t>
      </w:r>
    </w:p>
    <w:p>
      <w:pPr>
        <w:rPr>
          <w:noProof/>
          <w:szCs w:val="24"/>
        </w:rPr>
      </w:pPr>
      <w:r>
        <w:rPr>
          <w:noProof/>
        </w:rPr>
        <w:t xml:space="preserve">В съответствие с член 95, параграф 2 от Споразумението финансовите протоколи се определят за даден период. В тези финансови протоколи се установява общият размер на финансовата подкрепа на ЕС. </w:t>
      </w:r>
    </w:p>
    <w:p>
      <w:pPr>
        <w:rPr>
          <w:noProof/>
          <w:szCs w:val="24"/>
        </w:rPr>
      </w:pPr>
      <w:r>
        <w:rPr>
          <w:noProof/>
        </w:rPr>
        <w:t>Финансовият протокол за периода 2014—2020 г. беше приет с Решение № 1/2013 на Съвета на министрите АКТБ—ЕС от 7 юни 2013 г.</w:t>
      </w:r>
      <w:r>
        <w:rPr>
          <w:rStyle w:val="FootnoteReference"/>
          <w:noProof/>
        </w:rPr>
        <w:footnoteReference w:id="3"/>
      </w:r>
      <w:r>
        <w:rPr>
          <w:noProof/>
        </w:rPr>
        <w:t xml:space="preserve">: под формата на приложение IB към Споразумението. </w:t>
      </w:r>
    </w:p>
    <w:p>
      <w:pPr>
        <w:rPr>
          <w:noProof/>
        </w:rPr>
      </w:pPr>
      <w:r>
        <w:rPr>
          <w:noProof/>
        </w:rPr>
        <w:t>В член 100 от Споразумението за партньорство АКТБ—ЕС се посочва, че приложенията към него могат да бъдат преразглеждани, адаптирани и/или изменяни от Съвета на министрите АКТБ—ЕС въз основа на препоръка от Комитета АКТБ—ЕС за сътрудничество за финансиране на развитието.</w:t>
      </w:r>
    </w:p>
    <w:p>
      <w:pPr>
        <w:rPr>
          <w:rFonts w:eastAsia="Arial Unicode MS"/>
          <w:noProof/>
        </w:rPr>
      </w:pPr>
      <w:r>
        <w:rPr>
          <w:noProof/>
        </w:rPr>
        <w:t>В член 15, буква б), точка 2 от Споразумението се посочва, че функцията на Съвета на министрите АКТБ—ЕС е да взема решенията, които са необходими за прилагането на Споразумението.</w:t>
      </w:r>
    </w:p>
    <w:p>
      <w:pPr>
        <w:pStyle w:val="ManualHeading2"/>
        <w:rPr>
          <w:noProof/>
        </w:rPr>
      </w:pPr>
      <w:r>
        <w:t>2.2.</w:t>
      </w:r>
      <w:r>
        <w:tab/>
      </w:r>
      <w:r>
        <w:rPr>
          <w:noProof/>
        </w:rPr>
        <w:t>Съветът на министрите АКТБ—ЕС</w:t>
      </w:r>
    </w:p>
    <w:p>
      <w:pPr>
        <w:rPr>
          <w:noProof/>
          <w:szCs w:val="24"/>
        </w:rPr>
      </w:pPr>
      <w:r>
        <w:rPr>
          <w:noProof/>
        </w:rPr>
        <w:t>Съветът на министрите АКТБ—ЕС може да взема решения, които са правно обвързващи за страните. Съветът на министрите се състои, от една страна, от членовете на Съвета на Европейския съюз и, от друга страна, от по един член на правителството на всяка държава от АКТБ. Длъжността председател на Съвета на министрите се заема алтернативно от член на Съвета на Eвропейския съюз и от член на правителството на държава от АКТБ. Съветът по правило заседава един път годишно по инициатива на председателя и когато намери за необходимо, във формат и географски състав, подходящ за разглеждане на поставените въпроси.</w:t>
      </w:r>
    </w:p>
    <w:p>
      <w:pPr>
        <w:pStyle w:val="ManualHeading2"/>
        <w:rPr>
          <w:noProof/>
        </w:rPr>
      </w:pPr>
      <w:r>
        <w:t>2.3.</w:t>
      </w:r>
      <w:r>
        <w:tab/>
      </w:r>
      <w:r>
        <w:rPr>
          <w:noProof/>
        </w:rPr>
        <w:t>Предвиденият акт на Съвета на министрите АКТБ—ЕС</w:t>
      </w:r>
    </w:p>
    <w:p>
      <w:pPr>
        <w:rPr>
          <w:rFonts w:eastAsia="Arial Unicode MS"/>
          <w:noProof/>
        </w:rPr>
      </w:pPr>
      <w:r>
        <w:rPr>
          <w:noProof/>
        </w:rPr>
        <w:t xml:space="preserve">Съветът на министрите  АКТБ—ЕС следва да приеме решение относно изменението на приложение IВ към Споразумението за партньорство АКТБ—ЕС („предвидения акт“). </w:t>
      </w:r>
    </w:p>
    <w:p>
      <w:pPr>
        <w:rPr>
          <w:rFonts w:eastAsia="Arial Unicode MS"/>
          <w:noProof/>
        </w:rPr>
      </w:pPr>
      <w:r>
        <w:rPr>
          <w:noProof/>
        </w:rPr>
        <w:t>Решението ще се прилага към приложение IB, точка 2, букви а) и б), и се отнася до преразпределението на средства за финансиране на сътрудничеството между държавите от АКТБ и на междурегионалното сътрудничество с много или с всички държави от АКТБ.</w:t>
      </w:r>
    </w:p>
    <w:p>
      <w:pPr>
        <w:rPr>
          <w:rFonts w:eastAsia="Arial Unicode MS"/>
          <w:noProof/>
        </w:rPr>
      </w:pPr>
      <w:r>
        <w:rPr>
          <w:noProof/>
        </w:rPr>
        <w:t xml:space="preserve">От една страна, 425 милиона евро ще бъдат приспаднати от средствата, заделени за финансиране на националните и регионалните индикативни програми, цитирани в точка 2, буква а) от приложение IВ.  </w:t>
      </w:r>
    </w:p>
    <w:p>
      <w:pPr>
        <w:rPr>
          <w:rFonts w:eastAsia="Arial Unicode MS"/>
          <w:noProof/>
        </w:rPr>
      </w:pPr>
      <w:r>
        <w:rPr>
          <w:noProof/>
        </w:rPr>
        <w:t>От друга страна, сумата за финансиране на сътрудничеството между държавите от АКТБ и на междурегионалното сътрудничество, посочена в точка 2, буква б) от приложение IВ, ще бъде увеличена с 425 милиона евро, за да допринесе за финансирането на две инициативи, а именно инициативата Spotlight и Световното партньорство за образование (СПО).</w:t>
      </w:r>
    </w:p>
    <w:p>
      <w:pPr>
        <w:rPr>
          <w:rFonts w:eastAsia="Arial Unicode MS"/>
          <w:noProof/>
        </w:rPr>
      </w:pPr>
      <w:r>
        <w:rPr>
          <w:noProof/>
        </w:rPr>
        <w:t xml:space="preserve">Spotlight е съвместна инициатива на ЕС и ООН за глобални действия, насочени към предотвратяване и ответна реакция на насилието спрямо жени и момичета в целевите държави. </w:t>
      </w:r>
    </w:p>
    <w:p>
      <w:pPr>
        <w:rPr>
          <w:rFonts w:eastAsia="Arial Unicode MS"/>
          <w:noProof/>
        </w:rPr>
      </w:pPr>
      <w:r>
        <w:rPr>
          <w:noProof/>
        </w:rPr>
        <w:t xml:space="preserve">Общата цел на СПО е да мобилизира глобални и национални усилия за постигане на висококачествено образование и обучение за всички посредством приобщаващо партньорство, акцент върху ефективни образователни системи и финансиране за основно образование. </w:t>
      </w:r>
    </w:p>
    <w:p>
      <w:pPr>
        <w:rPr>
          <w:rFonts w:eastAsia="Arial Unicode MS"/>
          <w:noProof/>
        </w:rPr>
      </w:pPr>
      <w:r>
        <w:rPr>
          <w:noProof/>
        </w:rPr>
        <w:t>Финансовите средства ще се разпределят по линия на ЕФР от общия резерв за национални и регионални индикативни програми за сътрудничеството в рамките на АКТБ, както следва:</w:t>
      </w:r>
    </w:p>
    <w:p>
      <w:pPr>
        <w:pStyle w:val="Text1"/>
        <w:rPr>
          <w:noProof/>
        </w:rPr>
      </w:pPr>
      <w:r>
        <w:rPr>
          <w:noProof/>
        </w:rPr>
        <w:t>— 350 милиона евро за инициативата Spotlight;</w:t>
      </w:r>
    </w:p>
    <w:p>
      <w:pPr>
        <w:pStyle w:val="Text1"/>
        <w:rPr>
          <w:noProof/>
        </w:rPr>
      </w:pPr>
      <w:r>
        <w:rPr>
          <w:noProof/>
        </w:rPr>
        <w:t>— 75 милиона евро за СПО.</w:t>
      </w:r>
    </w:p>
    <w:p>
      <w:pPr>
        <w:rPr>
          <w:rFonts w:eastAsia="Arial Unicode MS"/>
          <w:noProof/>
        </w:rPr>
      </w:pPr>
      <w:r>
        <w:rPr>
          <w:noProof/>
        </w:rPr>
        <w:t>Предвиденият акт ще стане обвързващ за страните в съответствие с член 15, параграф 3 от Споразумението, в който се предвижда, че Съветът на министрите АКТБ—ЕС може да взема решения, които са обвързващи за страните.</w:t>
      </w:r>
    </w:p>
    <w:p>
      <w:pPr>
        <w:pStyle w:val="ManualHeading1"/>
        <w:rPr>
          <w:rFonts w:eastAsia="Arial Unicode MS"/>
          <w:noProof/>
        </w:rPr>
      </w:pPr>
      <w:r>
        <w:t>3.</w:t>
      </w:r>
      <w:r>
        <w:tab/>
      </w:r>
      <w:r>
        <w:rPr>
          <w:noProof/>
        </w:rPr>
        <w:t>Позиция, която трябва да се заеме от името на Съюза</w:t>
      </w:r>
    </w:p>
    <w:p>
      <w:pPr>
        <w:spacing w:before="0" w:after="200"/>
        <w:rPr>
          <w:noProof/>
          <w:szCs w:val="24"/>
        </w:rPr>
      </w:pPr>
      <w:r>
        <w:rPr>
          <w:noProof/>
        </w:rPr>
        <w:t>В член 100 от Споразумението за партньорство АКТБ—ЕС се посочва, че Съветът на министрите АКТБ—ЕС може да преразглежда, адаптира и/или изменя Споразумението въз основа на препоръка от Комитета АКТБ—ЕС за сътрудничество за финансиране на развитието.</w:t>
      </w:r>
    </w:p>
    <w:p>
      <w:pPr>
        <w:autoSpaceDE w:val="0"/>
        <w:autoSpaceDN w:val="0"/>
        <w:adjustRightInd w:val="0"/>
        <w:rPr>
          <w:noProof/>
          <w:szCs w:val="24"/>
        </w:rPr>
      </w:pPr>
      <w:r>
        <w:rPr>
          <w:noProof/>
        </w:rPr>
        <w:t xml:space="preserve">Европейският съюз е поел твърд ангажимент за постигането на равенство между половете, овластяването на жените от всички възрастови групи и премахването на всички форми на насилие срещу жените и момичетата в целия свят. </w:t>
      </w:r>
    </w:p>
    <w:p>
      <w:pPr>
        <w:spacing w:before="0" w:after="200"/>
        <w:rPr>
          <w:noProof/>
          <w:szCs w:val="24"/>
        </w:rPr>
      </w:pPr>
      <w:r>
        <w:rPr>
          <w:noProof/>
        </w:rPr>
        <w:t xml:space="preserve">Spotlight е съвместна инициатива на ЕС и ООН за глобални действия, насочени към предотвратяване и ответна реакция на насилието спрямо жени и момичета в целевите държави. Официално началото ѝ бе поставено по време на 72-та сесия на Общото събрание на ООН на 20 септември 2017 г. </w:t>
      </w:r>
    </w:p>
    <w:p>
      <w:pPr>
        <w:spacing w:before="0" w:after="200"/>
        <w:rPr>
          <w:noProof/>
          <w:szCs w:val="24"/>
        </w:rPr>
      </w:pPr>
      <w:r>
        <w:rPr>
          <w:noProof/>
        </w:rPr>
        <w:t>Въз основа на доказателства инициативата Spotlight ще се съсредоточи върху конкретни форми на сексуално и основано на пола насилие, които преобладават или възникват в значителна степен в конкретни региони, като по този начин допринесе за постигането на ЦУР 5 „Равенство между половете“.</w:t>
      </w:r>
    </w:p>
    <w:p>
      <w:pPr>
        <w:rPr>
          <w:noProof/>
          <w:szCs w:val="24"/>
        </w:rPr>
      </w:pPr>
      <w:r>
        <w:rPr>
          <w:noProof/>
        </w:rPr>
        <w:t xml:space="preserve">В Многостранния донорски фонд ще бъде създаден механизъм за Инициативата за равенство между половете, ръководен от административната служба на генералния секретариат на ООН. Средствата ще бъдат отпускани чрез Инструмента за сътрудничество за развитие (ИСР) на ЕС за Латинска Америка и Азия и Европейския фонд за развитие за страните от АКТБ (ЕФР). </w:t>
      </w:r>
    </w:p>
    <w:p>
      <w:pPr>
        <w:rPr>
          <w:rFonts w:eastAsia="Arial Unicode MS"/>
          <w:noProof/>
        </w:rPr>
      </w:pPr>
      <w:r>
        <w:rPr>
          <w:noProof/>
        </w:rPr>
        <w:t>Инициативата СПО подкрепя постигането на три цели на високо равнище. Първите две цели са справедливост, включително равенство между половете, и качествено преподаване и учене. Третата цел е изграждането на по-стабилни образователни системи с капацитет за осигуряване на справедливи и качествени образователни услуги. Инициативата бе създадена през 2012 г. за постигане на резултати по ангажиментите, поети по отношение на глобалното образование в рамките на Световния форум за образованието в Дакар и срещата на високо равнище на хилядолетието.</w:t>
      </w:r>
    </w:p>
    <w:p>
      <w:pPr>
        <w:rPr>
          <w:rFonts w:eastAsia="Times New Roman"/>
          <w:noProof/>
          <w:szCs w:val="24"/>
        </w:rPr>
      </w:pPr>
      <w:r>
        <w:rPr>
          <w:noProof/>
        </w:rPr>
        <w:t>СПО е партньорство с участието на множество заинтересовани страни и включва финансирането на платформа, чиято цел е засилването на образователните системи в държавите с нисък и с нисък до среден доход чрез подобряване на програмите в образователния сектор и планове за тяхното изпълнение.</w:t>
      </w:r>
    </w:p>
    <w:p>
      <w:pPr>
        <w:spacing w:after="0"/>
        <w:rPr>
          <w:rFonts w:eastAsia="Times New Roman"/>
          <w:noProof/>
          <w:szCs w:val="24"/>
        </w:rPr>
      </w:pPr>
      <w:r>
        <w:rPr>
          <w:noProof/>
        </w:rPr>
        <w:t xml:space="preserve">Заедно с групата държави от АКТБ ЕС подпомага СПО от 2005 г. Продължаването на финансирането на това партньорство съответства на политическата рамка на ЕС и АКТБ. </w:t>
      </w:r>
    </w:p>
    <w:p>
      <w:pPr>
        <w:spacing w:after="0"/>
        <w:rPr>
          <w:rFonts w:eastAsia="Times New Roman"/>
          <w:noProof/>
          <w:szCs w:val="24"/>
        </w:rPr>
      </w:pPr>
      <w:r>
        <w:rPr>
          <w:noProof/>
        </w:rPr>
        <w:t>И двете инициативи отговарят и съответстват на целите на Европейския консенсус за развитие, с който се насърчава по-всестранен подход към човешкото развитие. По отношение на образованието този подход означава повече подкрепа за приобщаващо и справедливо качествено образование и учене през целия живот за всички (ЦУР 4), със силна насоченост към насърчаване на равенството между половете (ЦУР 5).</w:t>
      </w:r>
    </w:p>
    <w:p>
      <w:pPr>
        <w:rPr>
          <w:rFonts w:asciiTheme="majorBidi" w:eastAsia="Times New Roman" w:hAnsiTheme="majorBidi" w:cstheme="majorBidi"/>
          <w:noProof/>
          <w:szCs w:val="24"/>
        </w:rPr>
      </w:pPr>
      <w:r>
        <w:rPr>
          <w:rFonts w:asciiTheme="majorBidi" w:hAnsiTheme="majorBidi" w:cstheme="majorBidi"/>
          <w:noProof/>
        </w:rPr>
        <w:t>Затова Комисията предлага на Съвета да приеме настоящото решение.</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r>
        <w:rPr>
          <w:noProof/>
        </w:rPr>
        <w:t>.</w:t>
      </w:r>
    </w:p>
    <w:p>
      <w:pPr>
        <w:pStyle w:val="ManualHeading3"/>
        <w:rPr>
          <w:noProof/>
        </w:rPr>
      </w:pPr>
      <w:r>
        <w:t>4.1.2.</w:t>
      </w:r>
      <w:r>
        <w:tab/>
      </w:r>
      <w:r>
        <w:rPr>
          <w:noProof/>
        </w:rPr>
        <w:t>Приложение в конкретния случай</w:t>
      </w:r>
    </w:p>
    <w:p>
      <w:pPr>
        <w:rPr>
          <w:noProof/>
        </w:rPr>
      </w:pPr>
      <w:r>
        <w:rPr>
          <w:noProof/>
        </w:rPr>
        <w:t>Съветът на министрите АКТБ—ЕС е орган, създаден със споразумение, а именно Споразумението от Котону.</w:t>
      </w:r>
    </w:p>
    <w:p>
      <w:pPr>
        <w:rPr>
          <w:noProof/>
        </w:rPr>
      </w:pPr>
      <w:r>
        <w:rPr>
          <w:noProof/>
        </w:rPr>
        <w:t>Актът, който Съветът на министрите АКТБ—ЕС има за задача да приеме, представлява акт с правно действие. Предвиденият акт ще бъде обвързващ съгласно международното право в съответствие с член 100 от Споразумението от Котону.</w:t>
      </w:r>
    </w:p>
    <w:p>
      <w:pPr>
        <w:rPr>
          <w:noProof/>
        </w:rPr>
      </w:pPr>
      <w:r>
        <w:rPr>
          <w:noProof/>
        </w:rPr>
        <w:t>С предвидения акт не се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i/>
          <w:noProof/>
        </w:rPr>
      </w:pPr>
      <w:r>
        <w:rPr>
          <w:noProof/>
        </w:rPr>
        <w:t>Основната цел и съдържание на предвидения акт са свързани със „сътрудничество за развитие“. Поради това материалноправното основание за предложеното решение е член 209, параграф 2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209, параграф 2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Съвета на министрите АКТБ—ЕС ще се прилага за приложение ІВ към Споразумението от Котону, е целесъобразно след приемането му това решение да бъде публикувано в </w:t>
      </w:r>
      <w:r>
        <w:rPr>
          <w:i/>
          <w:noProof/>
        </w:rPr>
        <w:t>Официален вестник на Европейския съюз</w:t>
      </w:r>
      <w:r>
        <w:rPr>
          <w:noProof/>
        </w:rPr>
        <w:t>.</w:t>
      </w:r>
    </w:p>
    <w:p>
      <w:pPr>
        <w:autoSpaceDE w:val="0"/>
        <w:autoSpaceDN w:val="0"/>
        <w:adjustRightInd w:val="0"/>
        <w:spacing w:after="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2018/0055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на министрите АКТБ—ЕС във връзка с преразглеждането на приложение IВ към Споразумението за партньорство АКТБ—ЕС</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209 от него във връзка с член 218, параграф 9 от него,</w:t>
      </w:r>
    </w:p>
    <w:p>
      <w:pPr>
        <w:rPr>
          <w:noProof/>
        </w:rPr>
      </w:pPr>
      <w:r>
        <w:rPr>
          <w:noProof/>
        </w:rPr>
        <w:t>като взе предвид Споразумението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(наричано по-нататък „Споразумението за партньорство АКТБ—ЕС“)</w:t>
      </w:r>
      <w:r>
        <w:rPr>
          <w:rStyle w:val="FootnoteReference"/>
          <w:noProof/>
        </w:rPr>
        <w:t xml:space="preserve"> </w:t>
      </w:r>
      <w:r>
        <w:rPr>
          <w:rStyle w:val="FootnoteReference"/>
          <w:noProof/>
        </w:rPr>
        <w:footnoteReference w:id="5"/>
      </w:r>
      <w:r>
        <w:rPr>
          <w:noProof/>
        </w:rPr>
        <w:t>,</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партньорство между държавите от Африка, Карибите и Тихоокеанския басейн (АКТБ), от една страна, и Европейската общност и нейните държави членки, от друга страна (Споразумението за партньорство АКТБ—ЕС), бе подписано в Котону на 23 юни 2000 г. Споразумението за партньорство АКТБ—ЕС влезе в сила на 1 април 2003 г. и бе преразгледано през 2005 г. и 2010 г. в съответствие с клаузата за преразглеждане на Споразумението веднъж на всеки пет години.</w:t>
      </w:r>
    </w:p>
    <w:p>
      <w:pPr>
        <w:pStyle w:val="ManualConsidrant"/>
        <w:rPr>
          <w:noProof/>
        </w:rPr>
      </w:pPr>
      <w:r>
        <w:t>(2)</w:t>
      </w:r>
      <w:r>
        <w:tab/>
      </w:r>
      <w:r>
        <w:rPr>
          <w:noProof/>
        </w:rPr>
        <w:t>В съответствие с член 95, параграф 2 от Споразумението а партньорство АКТБ—ЕС финансовите протоколи се определят за даден период. В тези финансови протоколи се установява общият размер на финансовата подкрепа на ЕС. Финансовият протокол за периода 2014—2020 г. беше приет с Решение № 1/2013 на Съвета на министрите АКТБ—ЕС от 7 юни 2013 г.</w:t>
      </w:r>
      <w:r>
        <w:rPr>
          <w:rStyle w:val="FootnoteReference"/>
          <w:noProof/>
        </w:rPr>
        <w:footnoteReference w:id="6"/>
      </w:r>
      <w:r>
        <w:rPr>
          <w:noProof/>
        </w:rPr>
        <w:t>, под формата на приложение IB към Споразумението.</w:t>
      </w:r>
    </w:p>
    <w:p>
      <w:pPr>
        <w:pStyle w:val="ManualConsidrant"/>
        <w:rPr>
          <w:noProof/>
        </w:rPr>
      </w:pPr>
      <w:r>
        <w:t>(3)</w:t>
      </w:r>
      <w:r>
        <w:tab/>
      </w:r>
      <w:r>
        <w:rPr>
          <w:noProof/>
        </w:rPr>
        <w:t>Съгласно член 100 от Споразумението за партньорство АКТБ—ЕС Съветът на министрите АКТБ—ЕС може да преразглежда, адаптира и/или изменя Споразумението въз основа на препоръка от Комитета АКТБ—ЕС за сътрудничество за финансиране на развитието.</w:t>
      </w:r>
    </w:p>
    <w:p>
      <w:pPr>
        <w:pStyle w:val="ManualConsidrant"/>
        <w:rPr>
          <w:noProof/>
        </w:rPr>
      </w:pPr>
      <w:r>
        <w:t>(4)</w:t>
      </w:r>
      <w:r>
        <w:tab/>
      </w:r>
      <w:r>
        <w:rPr>
          <w:noProof/>
        </w:rPr>
        <w:t>Съюзът следва да подкрепи пренасочването на средства, в рамките на приложение IB към Споразумението за партньорство АКТБ—ЕС, от средствата, заделени за финансиране на национални и регионални индикативни програми, към тези за финансиране на сътрудничеството между държавите от АКТБ и на междурегионалното сътрудничество с много или с всички държави от АКТБ.</w:t>
      </w:r>
    </w:p>
    <w:p>
      <w:pPr>
        <w:pStyle w:val="ManualConsidrant"/>
        <w:rPr>
          <w:noProof/>
        </w:rPr>
      </w:pPr>
      <w:r>
        <w:t>(5)</w:t>
      </w:r>
      <w:r>
        <w:tab/>
      </w:r>
      <w:r>
        <w:rPr>
          <w:noProof/>
        </w:rPr>
        <w:t>Целесъобразно е да се определи позицията, която да се заеме от името на Съюза в рамките на Съвета на министрите АКТБ—ЕС, тъй като решението ще има задължителна правна сила за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rPr>
          <w:noProof/>
        </w:rPr>
        <w:t>1.</w:t>
      </w:r>
      <w:r>
        <w:rPr>
          <w:noProof/>
        </w:rPr>
        <w:tab/>
        <w:t>Позицията, която трябва да се заеме от името на Съюза в рамките на Съвета на министрите АКТБ—ЕС във връзка с преразглеждането на приложение IВ от Споразумението за партньорство АКТБ—ЕС, се основава на проекта на акта на Съвета на министрите АКТБ—ЕС, приложен към настоящото решение.</w:t>
      </w:r>
    </w:p>
    <w:p>
      <w:pPr>
        <w:pStyle w:val="ManualNumPar2"/>
        <w:rPr>
          <w:noProof/>
        </w:rPr>
      </w:pPr>
      <w:r>
        <w:rPr>
          <w:noProof/>
        </w:rPr>
        <w:t xml:space="preserve">2. </w:t>
      </w:r>
      <w:r>
        <w:rPr>
          <w:noProof/>
        </w:rPr>
        <w:tab/>
        <w:t>Незначителни промени в проекта на решението могат да бъдат одобрени от представителите на Съюза в Съвета на министрите АКТБ—ЕС, без да е необходимо допълнително решение на Съвета.</w:t>
      </w:r>
    </w:p>
    <w:p>
      <w:pPr>
        <w:pStyle w:val="Titrearticle"/>
        <w:keepNext w:val="0"/>
        <w:rPr>
          <w:noProof/>
        </w:rPr>
      </w:pPr>
      <w:r>
        <w:rPr>
          <w:noProof/>
        </w:rPr>
        <w:t>Член 2</w:t>
      </w:r>
    </w:p>
    <w:p>
      <w:pPr>
        <w:keepLines/>
        <w:rPr>
          <w:noProof/>
        </w:rPr>
      </w:pPr>
      <w:r>
        <w:rPr>
          <w:noProof/>
        </w:rPr>
        <w:t xml:space="preserve">След приемането му решението на Съвета на министрите АКТБ—ЕС се публикува в </w:t>
      </w:r>
      <w:r>
        <w:rPr>
          <w:i/>
          <w:noProof/>
        </w:rPr>
        <w:t>Официален вестник на Европейския съюз</w:t>
      </w:r>
      <w:r>
        <w:rPr>
          <w:noProof/>
        </w:rPr>
        <w:t>.</w:t>
      </w:r>
    </w:p>
    <w:p>
      <w:pPr>
        <w:pStyle w:val="Titrearticle"/>
        <w:keepNext w:val="0"/>
        <w:rPr>
          <w:noProof/>
        </w:rPr>
      </w:pPr>
      <w:r>
        <w:rPr>
          <w:noProof/>
        </w:rPr>
        <w:t>Член 3</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pPr>
      <w:r>
        <w:rPr>
          <w:rStyle w:val="FootnoteReference"/>
        </w:rPr>
        <w:footnoteRef/>
      </w:r>
      <w:r>
        <w:tab/>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 w:id="3">
    <w:p>
      <w:pPr>
        <w:pStyle w:val="FootnoteText"/>
      </w:pPr>
      <w:r>
        <w:rPr>
          <w:rStyle w:val="FootnoteReference"/>
        </w:rPr>
        <w:footnoteRef/>
      </w:r>
      <w:r>
        <w:tab/>
        <w:t>Решение № 1/2013 на Съвета на министрите АКТБ-ЕС от 7 юни 2013 г. за приемането на протокол за многогодишната финансова рамка за периода 2014—2020 г. в рамките на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ОВ L 173 от 26.6.2013 г.;</w:t>
      </w:r>
    </w:p>
  </w:footnote>
  <w:footnote w:id="4">
    <w:p>
      <w:pPr>
        <w:pStyle w:val="FootnoteText"/>
      </w:pPr>
      <w:r>
        <w:rPr>
          <w:rStyle w:val="FootnoteReference"/>
        </w:rPr>
        <w:footnoteRef/>
      </w:r>
      <w:r>
        <w:tab/>
        <w:t xml:space="preserve">Решение на Съда на ЕС от 7 октомври 2014 г., Германия/Съвет, C-399/12, ECLI:EU:C:2014:2258, т. 61—64. </w:t>
      </w:r>
    </w:p>
  </w:footnote>
  <w:footnote w:id="5">
    <w:p>
      <w:pPr>
        <w:pStyle w:val="FootnoteText"/>
        <w:rPr>
          <w:sz w:val="18"/>
        </w:rPr>
      </w:pPr>
      <w:r>
        <w:rPr>
          <w:rStyle w:val="FootnoteReference"/>
        </w:rPr>
        <w:footnoteRef/>
      </w:r>
      <w:r>
        <w:tab/>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 w:id="6">
    <w:p>
      <w:pPr>
        <w:pStyle w:val="FootnoteText"/>
      </w:pPr>
      <w:r>
        <w:rPr>
          <w:rStyle w:val="FootnoteReference"/>
        </w:rPr>
        <w:footnoteRef/>
      </w:r>
      <w:r>
        <w:tab/>
        <w:t>Решение № 1/2013 на Съвета на министрите АКТБ-ЕС от 7 юни 2013 г. за приемането на протокол за многогодишната финансова рамка за периода 2014—2020 г. в рамките на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ОВ L 173 от 26.6.2013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270077"/>
    <w:multiLevelType w:val="multilevel"/>
    <w:tmpl w:val="0EFA05DC"/>
    <w:styleLink w:val="Liste3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747"/>
        </w:tabs>
        <w:ind w:left="1747" w:hanging="667"/>
      </w:pPr>
      <w:rPr>
        <w:position w:val="0"/>
        <w:sz w:val="28"/>
        <w:szCs w:val="28"/>
        <w:lang w:val="en-US"/>
      </w:rPr>
    </w:lvl>
    <w:lvl w:ilvl="2">
      <w:start w:val="1"/>
      <w:numFmt w:val="bullet"/>
      <w:lvlText w:val="▪"/>
      <w:lvlJc w:val="left"/>
      <w:pPr>
        <w:tabs>
          <w:tab w:val="num" w:pos="2467"/>
        </w:tabs>
        <w:ind w:left="2467" w:hanging="667"/>
      </w:pPr>
      <w:rPr>
        <w:position w:val="0"/>
        <w:sz w:val="28"/>
        <w:szCs w:val="28"/>
        <w:lang w:val="en-US"/>
      </w:rPr>
    </w:lvl>
    <w:lvl w:ilvl="3">
      <w:start w:val="1"/>
      <w:numFmt w:val="bullet"/>
      <w:lvlText w:val="•"/>
      <w:lvlJc w:val="left"/>
      <w:pPr>
        <w:tabs>
          <w:tab w:val="num" w:pos="3187"/>
        </w:tabs>
        <w:ind w:left="3187" w:hanging="667"/>
      </w:pPr>
      <w:rPr>
        <w:position w:val="0"/>
        <w:sz w:val="28"/>
        <w:szCs w:val="28"/>
        <w:lang w:val="en-US"/>
      </w:rPr>
    </w:lvl>
    <w:lvl w:ilvl="4">
      <w:start w:val="1"/>
      <w:numFmt w:val="bullet"/>
      <w:lvlText w:val="o"/>
      <w:lvlJc w:val="left"/>
      <w:pPr>
        <w:tabs>
          <w:tab w:val="num" w:pos="3907"/>
        </w:tabs>
        <w:ind w:left="3907" w:hanging="667"/>
      </w:pPr>
      <w:rPr>
        <w:position w:val="0"/>
        <w:sz w:val="28"/>
        <w:szCs w:val="28"/>
        <w:lang w:val="en-US"/>
      </w:rPr>
    </w:lvl>
    <w:lvl w:ilvl="5">
      <w:start w:val="1"/>
      <w:numFmt w:val="bullet"/>
      <w:lvlText w:val="▪"/>
      <w:lvlJc w:val="left"/>
      <w:pPr>
        <w:tabs>
          <w:tab w:val="num" w:pos="4627"/>
        </w:tabs>
        <w:ind w:left="4627" w:hanging="667"/>
      </w:pPr>
      <w:rPr>
        <w:position w:val="0"/>
        <w:sz w:val="28"/>
        <w:szCs w:val="28"/>
        <w:lang w:val="en-US"/>
      </w:rPr>
    </w:lvl>
    <w:lvl w:ilvl="6">
      <w:start w:val="1"/>
      <w:numFmt w:val="bullet"/>
      <w:lvlText w:val="•"/>
      <w:lvlJc w:val="left"/>
      <w:pPr>
        <w:tabs>
          <w:tab w:val="num" w:pos="5347"/>
        </w:tabs>
        <w:ind w:left="5347" w:hanging="667"/>
      </w:pPr>
      <w:rPr>
        <w:position w:val="0"/>
        <w:sz w:val="28"/>
        <w:szCs w:val="28"/>
        <w:lang w:val="en-US"/>
      </w:rPr>
    </w:lvl>
    <w:lvl w:ilvl="7">
      <w:start w:val="1"/>
      <w:numFmt w:val="bullet"/>
      <w:lvlText w:val="o"/>
      <w:lvlJc w:val="left"/>
      <w:pPr>
        <w:tabs>
          <w:tab w:val="num" w:pos="6067"/>
        </w:tabs>
        <w:ind w:left="6067" w:hanging="667"/>
      </w:pPr>
      <w:rPr>
        <w:position w:val="0"/>
        <w:sz w:val="28"/>
        <w:szCs w:val="28"/>
        <w:lang w:val="en-US"/>
      </w:rPr>
    </w:lvl>
    <w:lvl w:ilvl="8">
      <w:start w:val="1"/>
      <w:numFmt w:val="bullet"/>
      <w:lvlText w:val="▪"/>
      <w:lvlJc w:val="left"/>
      <w:pPr>
        <w:tabs>
          <w:tab w:val="num" w:pos="6787"/>
        </w:tabs>
        <w:ind w:left="6787" w:hanging="667"/>
      </w:pPr>
      <w:rPr>
        <w:position w:val="0"/>
        <w:sz w:val="28"/>
        <w:szCs w:val="28"/>
        <w:lang w:val="en-US"/>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TI Martina (DEVCO)">
    <w15:presenceInfo w15:providerId="None" w15:userId="NUTI Martina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5:10: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2C07B6C5-EB31-4FA0-B869-DABCE024BA7B"/>
    <w:docVar w:name="LW_COVERPAGE_TYPE" w:val="1"/>
    <w:docVar w:name="LW_CROSSREFERENCE" w:val="&lt;UNUSED&gt;"/>
    <w:docVar w:name="LW_DocType" w:val="COM"/>
    <w:docVar w:name="LW_EMISSION" w:val="9.3.2018"/>
    <w:docVar w:name="LW_EMISSION_ISODATE" w:val="2018-03-0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5"/>
    <w:docVar w:name="LW_REF.II.NEW.CP_YEAR" w:val="2018"/>
    <w:docVar w:name="LW_REF.INST.NEW" w:val="COM"/>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5?\u1072? \u1084?\u1080?\u1085?\u1080?\u1089?\u1090?\u1088?\u1080?\u1090?\u1077? \u1040?\u1050?\u1058?\u1041?\u8212?\u1045?\u1057? \u1074?\u1098?\u1074? \u1074?\u1088?\u1098?\u1079?\u1082?\u1072? \u1089? \u1087?\u1088?\u1077?\u1088?\u1072?\u1079?\u1075?\u1083?\u1077?\u1078?\u1076?\u1072?\u1085?\u1077?\u1090?\u1086? \u1085?\u1072? \u1087?\u1088?\u1080?\u1083?\u1086?\u1078?\u1077?\u1085?\u1080?\u1077? I\u1042? \u1082?\u1098?\u1084? \u1057?\u1087?\u1086?\u1088?\u1072?\u1079?\u1091?\u1084?\u1077?\u1085?\u1080?\u1077?\u1090?\u1086? \u1079?\u1072? \u1087?\u1072?\u1088?\u1090?\u1085?\u1100?\u1086?\u1088?\u1089?\u1090?\u1074?\u1086? \u1040?\u1050?\u1058?\u1041?\u8212?\u1045?\u105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2962">
      <w:bodyDiv w:val="1"/>
      <w:marLeft w:val="0"/>
      <w:marRight w:val="0"/>
      <w:marTop w:val="0"/>
      <w:marBottom w:val="0"/>
      <w:divBdr>
        <w:top w:val="none" w:sz="0" w:space="0" w:color="auto"/>
        <w:left w:val="none" w:sz="0" w:space="0" w:color="auto"/>
        <w:bottom w:val="none" w:sz="0" w:space="0" w:color="auto"/>
        <w:right w:val="none" w:sz="0" w:space="0" w:color="auto"/>
      </w:divBdr>
    </w:div>
    <w:div w:id="17303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AC60-DF89-4DB4-AD62-DE83EA36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1970</Words>
  <Characters>10936</Characters>
  <Application>Microsoft Office Word</Application>
  <DocSecurity>0</DocSecurity>
  <Lines>214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2017-10-31T09:06:00Z</cp:lastPrinted>
  <dcterms:created xsi:type="dcterms:W3CDTF">2018-03-01T11:59:00Z</dcterms:created>
  <dcterms:modified xsi:type="dcterms:W3CDTF">2018-03-06T14:10:00Z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Classification">
    <vt:lpwstr> </vt:lpwstr>
  </property>
  <property fmtid="{D5CDD505-2E9C-101B-9397-08002B2CF9AE}" pid="11" name="DQCStatus">
    <vt:lpwstr>Green (DQC version 03)</vt:lpwstr>
  </property>
</Properties>
</file>