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78168B7-79EA-424A-AE8C-0BFD86F66E88" style="width:451pt;height:352.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 xml:space="preserve">КОНТЕКСТ НА ПРЕДЛОЖЕНИЕТО </w:t>
      </w:r>
    </w:p>
    <w:p>
      <w:pPr>
        <w:pStyle w:val="Bullet0"/>
        <w:numPr>
          <w:ilvl w:val="0"/>
          <w:numId w:val="15"/>
        </w:numPr>
        <w:rPr>
          <w:noProof/>
        </w:rPr>
      </w:pPr>
      <w:r>
        <w:rPr>
          <w:noProof/>
        </w:rPr>
        <w:t>Основания за предложението и негови цели</w:t>
      </w:r>
    </w:p>
    <w:p>
      <w:pPr>
        <w:rPr>
          <w:bCs/>
          <w:noProof/>
          <w:szCs w:val="20"/>
        </w:rPr>
      </w:pPr>
      <w:r>
        <w:rPr>
          <w:b/>
          <w:noProof/>
        </w:rPr>
        <w:t>Европейският съюз (ЕС) значително засили партньорството си с Украйна през последните години</w:t>
      </w:r>
      <w:r>
        <w:rPr>
          <w:noProof/>
        </w:rPr>
        <w:t>, като положи усилия за постигане на нещо повече от обикновено двустранно сътрудничество и постигна напредък в посока постепенен преход към политическо асоцииране и икономическа интеграция. Като насърчава по-задълбочените политически връзки, по-здравите икономически връзки и зачитането на общите ценности, Споразумението за асоцииране между ЕС и Украйна, което бе подписано през 2014 г. и включва задълбочена и всеобхватна зона за свободна търговия (ЗВЗСТ), е основният инструмент за по-тясно свързване на Украйна и ЕС. Части на Споразумението за асоцииране се прилагаха временно от 1 ноември 2014 г., а ЗВЗСТ се прилагаше от 1 януари 2016 г. Споразумението влезе в сила на 1 септември 2017 г., след като бе ратифицирано от Украйна и от всички държави — членки на ЕС, и след като бе сключено от Съвета на ЕС през юли 2017 г. </w:t>
      </w:r>
    </w:p>
    <w:p>
      <w:pPr>
        <w:rPr>
          <w:bCs/>
          <w:noProof/>
          <w:szCs w:val="20"/>
        </w:rPr>
      </w:pPr>
      <w:r>
        <w:rPr>
          <w:b/>
          <w:noProof/>
        </w:rPr>
        <w:t xml:space="preserve">Въпреки че икономическият растеж се възстанови през периода 2016—2017 г. след дълбока рецесия през периода 2014—2015 г., икономиката на Украйна продължава да е уязвима по отношение на външни сътресения. </w:t>
      </w:r>
      <w:r>
        <w:rPr>
          <w:noProof/>
        </w:rPr>
        <w:t>Това се вижда от силната зависимост на държавата от износа на стоки, по-бавното от очакваното запълване на международните ѝ резерви и високата ѝ външна задлъжнялост, по-специално след като бъдат възобновени задълженията за плащане по преструктурирани еврооблигации през 2019 г.</w:t>
      </w:r>
      <w:r>
        <w:rPr>
          <w:b/>
          <w:noProof/>
        </w:rPr>
        <w:t xml:space="preserve"> В този контекст постоянната помощ, оказвана от международните партньори на Украйна, продължава да е жизненоважна.</w:t>
      </w:r>
    </w:p>
    <w:p>
      <w:pPr>
        <w:rPr>
          <w:noProof/>
          <w:szCs w:val="20"/>
        </w:rPr>
      </w:pPr>
      <w:r>
        <w:rPr>
          <w:b/>
          <w:noProof/>
        </w:rPr>
        <w:t>През март 2015 г. Международният валутен фонд (МВФ) одобри програма за Разширен фонд за финансиране за Украйна на стойност около 17,5 милиарда щатски долара</w:t>
      </w:r>
      <w:r>
        <w:rPr>
          <w:noProof/>
        </w:rPr>
        <w:t>, която приключва през март 2019 г. Финансовата помощ от МВФ бе допълнена със значителна по размер подкрепа от ЕС, неговите държави членки, редица двустранни партньори (напр. САЩ, Япония, Канада и Швейцария) и други международни финансови институции, като Световната банка, Европейската банка за възстановяване и развитие (ЕБВР) и Европейската инвестиционна банка (ЕИБ). Тъй като обаче икономическото възстановяване все още е крехко и продължават да съществуват редица слабости, през 2018 г. и в началото на 2019 г. Украйна ще има нужда от допълнително външно финансиране, което МВФ оценява на 4,5 милиарда щатски долара (около 3,8 милиарда евро</w:t>
      </w:r>
      <w:r>
        <w:rPr>
          <w:rStyle w:val="FootnoteReference"/>
          <w:noProof/>
        </w:rPr>
        <w:footnoteReference w:id="1"/>
      </w:r>
      <w:r>
        <w:rPr>
          <w:noProof/>
        </w:rPr>
        <w:t xml:space="preserve">). </w:t>
      </w:r>
    </w:p>
    <w:p>
      <w:pPr>
        <w:rPr>
          <w:noProof/>
          <w:szCs w:val="20"/>
        </w:rPr>
      </w:pPr>
      <w:r>
        <w:rPr>
          <w:b/>
          <w:noProof/>
        </w:rPr>
        <w:t>На 29 ноември 2017 г. финансовият министър на Украйна Александър Данилюк отправи официално искане</w:t>
      </w:r>
      <w:r>
        <w:rPr>
          <w:noProof/>
        </w:rPr>
        <w:t xml:space="preserve"> до заместник-председателя на Европейската комисия Валдис Домбровскис </w:t>
      </w:r>
      <w:r>
        <w:rPr>
          <w:b/>
          <w:noProof/>
        </w:rPr>
        <w:t>за допълнителна макрофинансова помощ от ЕС</w:t>
      </w:r>
      <w:r>
        <w:rPr>
          <w:noProof/>
        </w:rPr>
        <w:t xml:space="preserve">. Тази помощ ще допринесе за покриване на нуждите на държавата от външно финансиране и ще подпомогне провеждането на реформи. </w:t>
      </w:r>
    </w:p>
    <w:p>
      <w:pPr>
        <w:rPr>
          <w:noProof/>
          <w:szCs w:val="20"/>
        </w:rPr>
      </w:pPr>
      <w:r>
        <w:rPr>
          <w:noProof/>
        </w:rPr>
        <w:t xml:space="preserve">Като се имат предвид това искане и икономическото положение в Украйна, по-конкретно възникването на нови нужди от външно финансиране, </w:t>
      </w:r>
      <w:r>
        <w:rPr>
          <w:b/>
          <w:noProof/>
        </w:rPr>
        <w:t>Европейската комисия представя на Европейския парламент и на Съвета предложение за предоставяне на допълнителна макрофинансова помощ (МФП) на Украйна</w:t>
      </w:r>
      <w:r>
        <w:rPr>
          <w:noProof/>
        </w:rPr>
        <w:t xml:space="preserve">, на основание на член 212 от ДФЕС, </w:t>
      </w:r>
      <w:r>
        <w:rPr>
          <w:b/>
          <w:noProof/>
        </w:rPr>
        <w:t>в размер на максимум 1 милиард евро, които да бъдат отпуснати под формата на средносрочни или дългосрочни заеми на два транша</w:t>
      </w:r>
      <w:r>
        <w:rPr>
          <w:noProof/>
        </w:rPr>
        <w:t xml:space="preserve">. </w:t>
      </w:r>
    </w:p>
    <w:p>
      <w:pPr>
        <w:rPr>
          <w:noProof/>
        </w:rPr>
      </w:pPr>
      <w:r>
        <w:rPr>
          <w:b/>
          <w:noProof/>
        </w:rPr>
        <w:t>Предложената нова операция за МФП ще допълни предходните три операции за МФП, възлизащи на общо 3,4 милиарда евро</w:t>
      </w:r>
      <w:r>
        <w:rPr>
          <w:noProof/>
        </w:rPr>
        <w:t>, които бяха предоставени на Украйна от началото на кризата през 2014 г. По тези операции бяха отпуснати 2,8 милиарда евро, включително 1,6 милиарда евро през 2014—2015 г. (по т.нар. МФП I и II) и два транша от по 600 милиона евро през юли 2015 г. и през април 2017 г. (по МФП III). Третият и последен транш от 600 милиона евро по МФП III, чието отпускане е обвързано с прилагането на 21 мерки на политиките, договорени съвместно с украинските органи, не бе отпуснат. Въпреки че Украйна изпълни много от свързаните с политиките поети ангажименти, с които бе обвързан траншът, четири мерки, две от които бяха свързани с борбата срещу корупцията, не бяха приложени, преди срокът, през който помощта е налична, да изтече през януари 2018 г. При тези обстоятелства Комисията нямаше как да отпусне последния транш по МФП III, който бе официално отменен на 18 януари 2018 г.</w:t>
      </w:r>
    </w:p>
    <w:p>
      <w:pPr>
        <w:rPr>
          <w:noProof/>
          <w:szCs w:val="20"/>
        </w:rPr>
      </w:pPr>
      <w:r>
        <w:rPr>
          <w:b/>
          <w:noProof/>
        </w:rPr>
        <w:t>Целта на предложената МФП е да се помогне на Украйна да покрие част от допълнителните си нужди от външно финансиране през периода 2018—2019 г.</w:t>
      </w:r>
      <w:r>
        <w:rPr>
          <w:noProof/>
        </w:rPr>
        <w:t xml:space="preserve"> Така ще се намалят трудностите, свързани с платежния баланс, и фискалните трудности на икономиката в краткосрочен план. Освен това помощта от ЕС ще </w:t>
      </w:r>
      <w:r>
        <w:rPr>
          <w:b/>
          <w:noProof/>
        </w:rPr>
        <w:t>стимулира активизирането на усилията за реформа на Украйна</w:t>
      </w:r>
      <w:r>
        <w:rPr>
          <w:noProof/>
        </w:rPr>
        <w:t xml:space="preserve"> чрез договаряне с украинските органи на меморандум за разбирателство, в който се описва подходящ пакет от мерки за подпомагане на икономическите корекции и структурните реформи. Комисията ще се стреми да постигне широк консенсус с украинските органи, за да се гарантира ангажираност и по този начин да се увеличат шансовете за безпроблемно прилагане на договорените условия. Условията на политиките следва да са насочени към преодоляване на основните слабости на икономиката и системата за икономическо управление на Украйна, както и да са в съответствие с ангажиментите за реформа, поети от Украйна в контекста на Споразумението за асоцииране, както и по линия на други инструменти за подкрепа от ЕС и програмите за корекции с МВФ и Световната банка. Провеждането на съществени реформи в областта на борбата с корупцията и на управлението ще бъде задължително за успешното осъществяване на операцията за МФП.</w:t>
      </w:r>
    </w:p>
    <w:p>
      <w:pPr>
        <w:rPr>
          <w:noProof/>
        </w:rPr>
      </w:pPr>
      <w:r>
        <w:rPr>
          <w:noProof/>
        </w:rPr>
        <w:t xml:space="preserve">Тъй като Украйна не изпълни изцяло програмата в областта на политиката, свързана с МФП III, поради което Комисията отмени последния транш през януари 2018 г., е целесъобразно да се включат конкретни условия за всеки от двата транша от тази помощ. По-конкретно </w:t>
      </w:r>
      <w:r>
        <w:rPr>
          <w:b/>
          <w:noProof/>
        </w:rPr>
        <w:t>предвижда се мерките, които не бяха изпълнени в рамките на предходната програма, да бъдат отразени по следния начин</w:t>
      </w:r>
      <w:r>
        <w:rPr>
          <w:noProof/>
        </w:rPr>
        <w:t>:</w:t>
      </w:r>
    </w:p>
    <w:p>
      <w:pPr>
        <w:pStyle w:val="Bullet1"/>
        <w:numPr>
          <w:ilvl w:val="0"/>
          <w:numId w:val="16"/>
        </w:numPr>
        <w:rPr>
          <w:noProof/>
        </w:rPr>
      </w:pPr>
      <w:r>
        <w:rPr>
          <w:noProof/>
        </w:rPr>
        <w:t xml:space="preserve">Що се отнася до </w:t>
      </w:r>
      <w:r>
        <w:rPr>
          <w:b/>
          <w:noProof/>
        </w:rPr>
        <w:t>проверката на декларациите за имущественото състояние</w:t>
      </w:r>
      <w:r>
        <w:rPr>
          <w:noProof/>
        </w:rPr>
        <w:t xml:space="preserve"> на публичните служители, Комисията ще настоява за създаването на ефикасна система за проверка, включително чрез софтуер за автоматична проверка с пряк и автоматичен достъп до държавните бази данни и регистри. Поради това в меморандума, който предстои да бъде договорен с Украйна по линия на предложената нова операция за МФП, Комисията ще изисква гореспоменатата система за автоматична проверка да бъде внедрена и да функционира, като значителен брой от декларациите се проверяват чрез автоматизираната система, третирайки приоритетно високопоставените длъжностни лица. </w:t>
      </w:r>
    </w:p>
    <w:p>
      <w:pPr>
        <w:pStyle w:val="Bullet1"/>
        <w:rPr>
          <w:noProof/>
        </w:rPr>
      </w:pPr>
      <w:r>
        <w:rPr>
          <w:noProof/>
        </w:rPr>
        <w:t xml:space="preserve">Що се отнася до проверката на данните, които предприятията ще предоставят за действителните си собственици, и изпълнението на задължението за представяне на отчети на предприятията, трябва да се признае, че осъществяването на тези дейности все още е в начален стадий в международен план, включително в ЕС. По искане на Украйна ще бъде организиран обмен на експерти между Украйна и ЕС, за да се определят възможните действия, които Украйна следва да предприеме с цел привеждане в действие на механизъм за проверка. Въз основа на това в меморандума могат да се набележат конкретни цели във връзка с механизма за проверка като условие по програмата за МФП. </w:t>
      </w:r>
    </w:p>
    <w:p>
      <w:pPr>
        <w:pStyle w:val="Bullet1"/>
        <w:rPr>
          <w:noProof/>
        </w:rPr>
      </w:pPr>
      <w:r>
        <w:rPr>
          <w:b/>
          <w:noProof/>
        </w:rPr>
        <w:t>Забраната за износ на дървен материал</w:t>
      </w:r>
      <w:r>
        <w:rPr>
          <w:noProof/>
        </w:rPr>
        <w:t xml:space="preserve">, която не е съвместима с въздържането от мерки за ограничаване на търговията, продължава да е в сила и компетентната парламентарна комисия в Украйна все още не е разгледала закон за нейната отмяна. Комисията ще работи с украинските органи за отстраняването на този проблем чрез използването на специални търговски инструменти, включително евентуално чрез двустранно уреждане на спора. </w:t>
      </w:r>
    </w:p>
    <w:p>
      <w:pPr>
        <w:pStyle w:val="Bullet1"/>
        <w:rPr>
          <w:noProof/>
        </w:rPr>
      </w:pPr>
      <w:r>
        <w:rPr>
          <w:noProof/>
        </w:rPr>
        <w:t xml:space="preserve">Що се отнася до закона за </w:t>
      </w:r>
      <w:r>
        <w:rPr>
          <w:b/>
          <w:noProof/>
        </w:rPr>
        <w:t>създаване на централен кредитен регистър</w:t>
      </w:r>
      <w:r>
        <w:rPr>
          <w:noProof/>
        </w:rPr>
        <w:t>, той бе приет от украинския парламент на 6 февруари 2018 г. и влезе в сила на 4 март 2018 г. Следователно тази мярка може да се оцени като изпълнена и няма нужда да бъде отразена в новия меморандум.</w:t>
      </w:r>
    </w:p>
    <w:p>
      <w:pPr>
        <w:rPr>
          <w:noProof/>
          <w:szCs w:val="20"/>
        </w:rPr>
      </w:pPr>
      <w:r>
        <w:rPr>
          <w:noProof/>
        </w:rPr>
        <w:t xml:space="preserve">Освен това </w:t>
      </w:r>
      <w:r>
        <w:rPr>
          <w:b/>
          <w:noProof/>
        </w:rPr>
        <w:t>в меморандума за новата програма ще са посочени и други мерки, които Украйна трябва да изпълни, за да получи първия и втория транш</w:t>
      </w:r>
      <w:r>
        <w:rPr>
          <w:noProof/>
        </w:rPr>
        <w:t xml:space="preserve">. Те ще включват действия в областта на управлението на публичните финанси, което е част от всички програми в областта на политиката, свързани с МФП. В по-общ план условията ще бъдат съсредоточени върху определен брой основни сектори от значение за макроикономическото стабилизиране на Украйна. </w:t>
      </w:r>
    </w:p>
    <w:p>
      <w:pPr>
        <w:rPr>
          <w:noProof/>
        </w:rPr>
      </w:pPr>
      <w:r>
        <w:rPr>
          <w:noProof/>
        </w:rPr>
        <w:t xml:space="preserve">Както допълнително е обяснено в работния документ на службите на Комисията, придружаващ настоящото предложение, и въз основа, наред с друго, на оценката на политическата ситуация, извършена съвместно от Комисията и Европейската служба за външна дейност (ЕСВД), </w:t>
      </w:r>
      <w:r>
        <w:rPr>
          <w:b/>
          <w:noProof/>
        </w:rPr>
        <w:t>Комисията счита, че политическите и икономическите предварителни условия за предложената операция за МФП са изпълнени</w:t>
      </w:r>
      <w:r>
        <w:rPr>
          <w:noProof/>
        </w:rPr>
        <w:t>.</w:t>
      </w:r>
    </w:p>
    <w:p>
      <w:pPr>
        <w:pStyle w:val="Bullet0"/>
        <w:rPr>
          <w:noProof/>
        </w:rPr>
      </w:pPr>
      <w:r>
        <w:rPr>
          <w:noProof/>
        </w:rPr>
        <w:t>Общ контекст</w:t>
      </w:r>
    </w:p>
    <w:p>
      <w:pPr>
        <w:rPr>
          <w:noProof/>
        </w:rPr>
      </w:pPr>
      <w:r>
        <w:rPr>
          <w:b/>
          <w:noProof/>
        </w:rPr>
        <w:t>Украйна пострада от особено дълбока рецесия през 2014 г. и 2015 г.</w:t>
      </w:r>
      <w:r>
        <w:rPr>
          <w:noProof/>
        </w:rPr>
        <w:t xml:space="preserve">, при която реалният БВП намаля съответно с 6,6 % и 9,8 %. Въпреки че отразяваше дългогодишните макроикономически и структурни слабости на Украйна, икономическата криза бе породена до голяма степен от загубата на доверие и от пострадалия производствен капацитет вследствие на конфликта, предизвикан от дестабилизиращите действия на Русия в източната част на страната. Съчетанието от силен отговор в областта на политиката и пакет от мерки за широкомащабна международна подкрепа помогна на икономиката да се върне към растеж през 2016 г. (2,3 %). Възстановяването продължи и през 2017 г., когато растежът на БВП достигна 2,2 %, въпреки отрицателното въздействие на блокирането на товари, въведено през март 2017 г. по отношение на областите, които не се контролират от правителството. Засилването на икономическата дейност през 2017 г. се дължеше предимно на инвестициите и потреблението на домакинствата на фона на подобряващото се доверие и нарастващите заплати. </w:t>
      </w:r>
    </w:p>
    <w:p>
      <w:pPr>
        <w:rPr>
          <w:noProof/>
        </w:rPr>
      </w:pPr>
      <w:r>
        <w:rPr>
          <w:noProof/>
        </w:rPr>
        <w:t xml:space="preserve">Въпреки икономическата криза Украйна постигна значителен напредък в консолидирането на </w:t>
      </w:r>
      <w:r>
        <w:rPr>
          <w:b/>
          <w:noProof/>
        </w:rPr>
        <w:t>публичните си финанси</w:t>
      </w:r>
      <w:r>
        <w:rPr>
          <w:noProof/>
        </w:rPr>
        <w:t xml:space="preserve"> през последните три години. Общият бюджетен дефицит, включително дефицита на дружеството за нефт и газ „Нафтогаз“, бе намален от 10 % от БВП през 2014 г. на едва 2,4 % през 2016 г. (в сравнение с целта за дефицит от 3,7 %, договорена за 2016 г. по програмата на МВФ). Изпълнението на бюджета продължи добре през 2017 г. благодарение на солидното събиране на данъци, повишаващите се плащания на дивиденти от държавни предприятия и някои еднократни фактори, като например конфискацията на замразени активи на бившия президент Янукович (възлизащи на 1 % от БВП). В резултат на това дефицитът на консолидирания държавен бюджет през 2017 г. бе приблизително 1,5 % от БВП. Квазибюджетните дефицити, свързани с рекапитализацията на държавни предприятия и банки, бяха намалени значително, по-специално поради премахването на оперативния дефицит на „Нафтогаз“. Такава фискална консолидация, съчетана с относителна стабилност на обменния курс от 2016 г. насам, също допринесе за намаляването на </w:t>
      </w:r>
      <w:r>
        <w:rPr>
          <w:b/>
          <w:noProof/>
        </w:rPr>
        <w:t>консолидирания държавен дълг</w:t>
      </w:r>
      <w:r>
        <w:rPr>
          <w:noProof/>
        </w:rPr>
        <w:t xml:space="preserve"> до около 76 % от БВП в края на 2017 г. (в сравнение с 81 % в края на 2016 г.). </w:t>
      </w:r>
    </w:p>
    <w:p>
      <w:pPr>
        <w:rPr>
          <w:noProof/>
        </w:rPr>
      </w:pPr>
      <w:r>
        <w:rPr>
          <w:noProof/>
        </w:rPr>
        <w:t xml:space="preserve">Бюджетът за 2018 г. предвижда бюджетен дефицит от 2,4 % от БВП (в съответствие с тавана от 2,5 %, предвиден в програмата на МВФ) и се основава на предположения за растеж на реалния БВП от 3 % и 9 % </w:t>
      </w:r>
      <w:r>
        <w:rPr>
          <w:b/>
          <w:noProof/>
        </w:rPr>
        <w:t>инфлация</w:t>
      </w:r>
      <w:r>
        <w:rPr>
          <w:noProof/>
        </w:rPr>
        <w:t xml:space="preserve"> на потребителските цени. Тенденцията към дезинфлация, която преобладаваше от пролетта на 2015 г. (60,9 % през април 2015 г.) до средата на 2016 г. (6,9 % през юни 2016 г.), бе постепенно обърната. Оттогава увеличението на инфлацията (14,1 % през януари 2018 г.) се дължи на нарастващите производствени разходи и на потребителското търсене (по-специално вследствие на увеличението на заплатите), както и на покачването на цените на суровите храни (поради сланата в началото на 2017 г., която унищожи реколтата) и цените на горивата. Нарастващият инфлационен натиск принуди централната банка да повиши </w:t>
      </w:r>
      <w:r>
        <w:rPr>
          <w:b/>
          <w:noProof/>
        </w:rPr>
        <w:t xml:space="preserve">лихвения </w:t>
      </w:r>
      <w:r>
        <w:rPr>
          <w:noProof/>
        </w:rPr>
        <w:t xml:space="preserve">си </w:t>
      </w:r>
      <w:r>
        <w:rPr>
          <w:b/>
          <w:noProof/>
        </w:rPr>
        <w:t>процент</w:t>
      </w:r>
      <w:r>
        <w:rPr>
          <w:noProof/>
        </w:rPr>
        <w:t xml:space="preserve"> с общо 4,5 процентни пункта от октомври 2017 г. насам — на 17 % от 2 март 2018 г.</w:t>
      </w:r>
    </w:p>
    <w:p>
      <w:pPr>
        <w:rPr>
          <w:noProof/>
        </w:rPr>
      </w:pPr>
      <w:r>
        <w:rPr>
          <w:noProof/>
        </w:rPr>
        <w:t xml:space="preserve">Що се отнася до външния сектор, дефицитът по </w:t>
      </w:r>
      <w:r>
        <w:rPr>
          <w:b/>
          <w:noProof/>
        </w:rPr>
        <w:t>текущата сметка</w:t>
      </w:r>
      <w:r>
        <w:rPr>
          <w:noProof/>
        </w:rPr>
        <w:t xml:space="preserve"> на Украйна постепенно нарасна (3,5 % от БВП през 2017 г.) след рязкото намаление, породено от икономическата криза (от 9 % от БВП през 2013 г. на 0,3 % през 2015 г.). Това се дължеше предимно на възстановяването на инвестиционния внос (в съответствие с повишената увереност на бизнеса) и на солидното вътрешно потребление. Допълнителното нарастване на дефицита по текущата сметка бе овладяно от силното увеличение на износа (17 % на годишна база през 2017 г.) в контекста на глобален икономически растеж и благоприятни условия за търговия. Частните, нечислящи се към преките чуждестранни инвестиции входящи капиталови потоци също се увеличиха, по-конкретно в резултат на продажбата на еврооблигации на стойност 3 милиарда щатски долара, извършена от правителството през септември 2017 г. Подкрепата от многостранните и двустранните партньори на Украйна, съчетана с корекцията на текущата сметка и постепенно възстановяване на частните финансови потоци, помогна на Украйна за запълни </w:t>
      </w:r>
      <w:r>
        <w:rPr>
          <w:b/>
          <w:noProof/>
        </w:rPr>
        <w:t xml:space="preserve">международните </w:t>
      </w:r>
      <w:r>
        <w:rPr>
          <w:noProof/>
        </w:rPr>
        <w:t>си</w:t>
      </w:r>
      <w:r>
        <w:rPr>
          <w:b/>
          <w:noProof/>
        </w:rPr>
        <w:t xml:space="preserve"> резерви</w:t>
      </w:r>
      <w:r>
        <w:rPr>
          <w:noProof/>
        </w:rPr>
        <w:t xml:space="preserve">, които достигнаха 18,6 милиарда щатски долара към края на януари 2018 г., въпреки слабите преки чуждестранни инвестиции. </w:t>
      </w:r>
    </w:p>
    <w:p>
      <w:pPr>
        <w:rPr>
          <w:b/>
          <w:noProof/>
        </w:rPr>
      </w:pPr>
      <w:r>
        <w:rPr>
          <w:b/>
          <w:noProof/>
        </w:rPr>
        <w:t>Въпреки подобряването на икономическата ситуация от 2015 г. насам, продължават да съществуват редица слабости</w:t>
      </w:r>
      <w:r>
        <w:rPr>
          <w:noProof/>
        </w:rPr>
        <w:t>, които се дължат на силната зависимост на държавата от износа на стоки, по-бавното от очакваното запълване на международните ѝ резерви и високата ѝ външна задлъжнялост.</w:t>
      </w:r>
      <w:r>
        <w:rPr>
          <w:b/>
          <w:noProof/>
        </w:rPr>
        <w:t xml:space="preserve"> </w:t>
      </w:r>
      <w:r>
        <w:rPr>
          <w:noProof/>
        </w:rPr>
        <w:t>Освен това нестабилният вътрешен политически климат и постоянната заплаха от засилване на напрежението в източната част на държавата са отрицателни рискове, които могат да затруднят все още несигурното възстановяване.</w:t>
      </w:r>
    </w:p>
    <w:p>
      <w:pPr>
        <w:rPr>
          <w:noProof/>
          <w:szCs w:val="24"/>
        </w:rPr>
      </w:pPr>
      <w:r>
        <w:rPr>
          <w:noProof/>
        </w:rPr>
        <w:t xml:space="preserve">Като износител на стоки (селскостопанските продукти и металите представляват приблизително 70 % от износа на стоки на Украйна) Украйна остава особено уязвима, що се отнася до </w:t>
      </w:r>
      <w:r>
        <w:rPr>
          <w:b/>
          <w:noProof/>
        </w:rPr>
        <w:t>влошаването на условията за търговия</w:t>
      </w:r>
      <w:r>
        <w:rPr>
          <w:noProof/>
        </w:rPr>
        <w:t xml:space="preserve"> и до мерките, въведени от Русия за ограничаване на транзитното преминаване, идващо от Украйна. Всъщност глобалният спад на цените на стоките бе ключов фактор за кризите с платежния баланс, през които Украйна мина през 2009 г. и в периода 2014—2015 г. </w:t>
      </w:r>
    </w:p>
    <w:p>
      <w:pPr>
        <w:rPr>
          <w:noProof/>
        </w:rPr>
      </w:pPr>
      <w:r>
        <w:rPr>
          <w:b/>
          <w:noProof/>
        </w:rPr>
        <w:t>Високата външна задлъжнялост</w:t>
      </w:r>
      <w:r>
        <w:rPr>
          <w:noProof/>
        </w:rPr>
        <w:t xml:space="preserve"> на Украйна е друг източник на уязвимост. Въпреки рязкото намаляване на задлъжнялостта на корпоративния и банковия сектор от кризата от 2014 г. насам, брутният външен дълг възлизаше на 117,3 милиарда щатски долара към 1 октомври 2017 г. (111 % от БВП), включително краткосрочни заеми на стойност 47,5 милиарда щатски долара (45 % от БВП). Въпреки че този дълг е най-вече на частния сектор и като такъв не представлява пряко задължение за държавата, част от него е на предприятия, които са държавна собственост (понякога гарантирани от държавата), поради което представлява условно задължение за органите. Размерът на прекия държавен външен дълг, чийто падеж настъпва през следващата година, намаля значително с кризата, тъй като органите прибегнаха до вземането на дългосрочни заеми от международни финансови институции и отсрочиха дълг по облигации на стойност около 15 милиарда щатски долара (както притежаван пряко, така и гарантиран) чрез така наречената си дългова операция от ноември 2015 г. Той обаче остава сравнително висок и задълженията във връзка с погасяването му през 2018 и 2019 г. са значителни.</w:t>
      </w:r>
    </w:p>
    <w:p>
      <w:pPr>
        <w:rPr>
          <w:noProof/>
        </w:rPr>
      </w:pPr>
      <w:r>
        <w:rPr>
          <w:b/>
          <w:noProof/>
        </w:rPr>
        <w:t>Резерви на МВФ продължават да бъдат под стандартите за адекватност</w:t>
      </w:r>
      <w:r>
        <w:rPr>
          <w:noProof/>
        </w:rPr>
        <w:t xml:space="preserve">, по-специално в контекста на високата външна задлъжнялост. Въпреки че Украйна успя да запълни брутните си </w:t>
      </w:r>
      <w:r>
        <w:rPr>
          <w:b/>
          <w:noProof/>
        </w:rPr>
        <w:t>международни резерви</w:t>
      </w:r>
      <w:r>
        <w:rPr>
          <w:noProof/>
        </w:rPr>
        <w:t xml:space="preserve"> през последните три години, процесът отне повече време, отколкото МВФ беше предвидил първоначално. С 18,6 милиарда щатски долара към края на януари 2018 г. резервите остават под равнището си преди кризата и равнището, предвидено за края на 2017 г. при стартирането на програмата на МВФ (22,3 милиарда щатски долара). Резервите могат отново да бъдат подложени на натиск през периода 2018—2019 г., когато се очаква държавата да извърши плащания от над 12 милиарда щатски долара (лихви и главници) по държавни и квазидържавни външни дългове. Този пик в погасяването на дългове ще съвпадне с провеждането на президентски и парламентарни избори през 2019 г. В този контекст изглежда необходимо международните резерви на Украйна да бъдат запълнени с още средства и допълнителната МФП от ЕС може да подпомогне това усилие по полезен начин както пряко (като бъде изплатена), така и косвено (като катализатор на частни входящи капиталови потоци и като вдъхне доверие в местната валута). </w:t>
      </w:r>
    </w:p>
    <w:p>
      <w:pPr>
        <w:rPr>
          <w:noProof/>
        </w:rPr>
      </w:pPr>
      <w:r>
        <w:rPr>
          <w:b/>
          <w:noProof/>
        </w:rPr>
        <w:t xml:space="preserve">В този контекст постоянната помощ, оказвана от МВФ и от международните партньори на Украйна, включително ЕС, продължава да е жизненоважна. </w:t>
      </w:r>
      <w:r>
        <w:rPr>
          <w:noProof/>
        </w:rPr>
        <w:t>От началото на кризата програмата за Разширен фонд за финансиране за Украйна на стойност 17,5 милиарда щатски долара, която МВФ одобри през март 2015 г., бе допълнена със значителна подкрепа от двустранните партньори на Украйна, включително ЕС. Други международни финансови институции, като Световната банка, ЕБВР и ЕИБ, също увеличиха значително подкрепата си за икономическия преход на държавата. При все това, тъй като икономиката на Украйна все още е нестабилна и се характеризира с редица слабости, МВФ счита, че държавата ще изпита през 2018 г. и в началото на 2019 г. допълнителни нужди от външно финансиране в размер на 4,5 милиарда щатски долара (приблизително 3,8 милиарда евро</w:t>
      </w:r>
      <w:r>
        <w:rPr>
          <w:rStyle w:val="FootnoteReference"/>
          <w:noProof/>
        </w:rPr>
        <w:footnoteReference w:id="2"/>
      </w:r>
      <w:r>
        <w:rPr>
          <w:noProof/>
        </w:rPr>
        <w:t>). Предложената МФП ще покрие 26,5 % от общия допълнителен недостиг на финансиране. Световната банка също подготвя нов заем във връзка с политиката за развитие в размер на 800 милиона щатски долара, предназначен за преодоляване на недостига на финансиране. След като потенциалният принос на Световната банка бъде взет предвид, МФП от ЕС ще финансира 32 % от оставащия недостиг от 3,7 милиарда щатски долара.</w:t>
      </w:r>
    </w:p>
    <w:p>
      <w:pPr>
        <w:pStyle w:val="Bullet0"/>
        <w:rPr>
          <w:noProof/>
        </w:rPr>
      </w:pPr>
      <w:r>
        <w:rPr>
          <w:noProof/>
        </w:rPr>
        <w:t xml:space="preserve">Действащи разпоредби в областта на предложението </w:t>
      </w:r>
    </w:p>
    <w:p>
      <w:pPr>
        <w:rPr>
          <w:noProof/>
        </w:rPr>
      </w:pPr>
      <w:r>
        <w:rPr>
          <w:noProof/>
        </w:rPr>
        <w:t>МФП за Украйна е била предоставяна по силата на четири отделни решения:</w:t>
      </w:r>
    </w:p>
    <w:p>
      <w:pPr>
        <w:pStyle w:val="Tiret1"/>
        <w:numPr>
          <w:ilvl w:val="0"/>
          <w:numId w:val="17"/>
        </w:numPr>
        <w:rPr>
          <w:noProof/>
        </w:rPr>
      </w:pPr>
      <w:r>
        <w:rPr>
          <w:noProof/>
        </w:rPr>
        <w:t>Решение на Съвета от 12 юли 2002 г. за предоставяне на допълнителна макрофинансова помощ на Украйна (2002/639/ЕО)</w:t>
      </w:r>
      <w:r>
        <w:rPr>
          <w:rStyle w:val="FootnoteReference"/>
          <w:noProof/>
        </w:rPr>
        <w:footnoteReference w:id="3"/>
      </w:r>
    </w:p>
    <w:p>
      <w:pPr>
        <w:pStyle w:val="Tiret1"/>
        <w:rPr>
          <w:noProof/>
        </w:rPr>
      </w:pPr>
      <w:r>
        <w:rPr>
          <w:noProof/>
        </w:rPr>
        <w:t>Решение № 646/2010/ЕС на Европейския парламент и на Съвета от 7 юли 2010 г. за предоставяне на макрофинансова помощ на Украйна</w:t>
      </w:r>
      <w:r>
        <w:rPr>
          <w:rStyle w:val="FootnoteReference"/>
          <w:noProof/>
        </w:rPr>
        <w:footnoteReference w:id="4"/>
      </w:r>
      <w:r>
        <w:rPr>
          <w:noProof/>
        </w:rPr>
        <w:t xml:space="preserve"> </w:t>
      </w:r>
    </w:p>
    <w:p>
      <w:pPr>
        <w:pStyle w:val="Tiret1"/>
        <w:rPr>
          <w:noProof/>
        </w:rPr>
      </w:pPr>
      <w:r>
        <w:rPr>
          <w:noProof/>
        </w:rPr>
        <w:t>Решение на Съвета от 14 април 2014 г. за предоставяне на макрофинансова помощ на Украйна (2014/215/ЕС)</w:t>
      </w:r>
      <w:r>
        <w:rPr>
          <w:rStyle w:val="FootnoteReference"/>
          <w:noProof/>
        </w:rPr>
        <w:footnoteReference w:id="5"/>
      </w:r>
    </w:p>
    <w:p>
      <w:pPr>
        <w:pStyle w:val="Tiret1"/>
        <w:rPr>
          <w:noProof/>
        </w:rPr>
      </w:pPr>
      <w:r>
        <w:rPr>
          <w:noProof/>
        </w:rPr>
        <w:t>Решение (ЕС) 2015/601 на Европейския парламент и на Съвета от 15 април 2015 г. за предоставяне на макрофинансова помощ на Украйна</w:t>
      </w:r>
      <w:r>
        <w:rPr>
          <w:rStyle w:val="FootnoteReference"/>
          <w:noProof/>
        </w:rPr>
        <w:footnoteReference w:id="6"/>
      </w:r>
      <w:r>
        <w:rPr>
          <w:noProof/>
        </w:rPr>
        <w:t xml:space="preserve"> </w:t>
      </w:r>
    </w:p>
    <w:p>
      <w:pPr>
        <w:pStyle w:val="Bullet0"/>
        <w:rPr>
          <w:noProof/>
        </w:rPr>
      </w:pPr>
      <w:r>
        <w:rPr>
          <w:noProof/>
        </w:rPr>
        <w:t xml:space="preserve">Съгласуваност с другите политики и цели на Съюза </w:t>
      </w:r>
    </w:p>
    <w:p>
      <w:pPr>
        <w:rPr>
          <w:noProof/>
        </w:rPr>
      </w:pPr>
      <w:r>
        <w:rPr>
          <w:noProof/>
        </w:rPr>
        <w:t>Предложената МФП е в съответствие с ангажимента на ЕС за подпомагане на икономическия и политически преход на Украйна. Тя е съгласувана с принципите, уреждащи използването на инструмента МФП, сред които са извънредният характер на помощта, предварителните политически условия, допълването, условията и финансовата дисциплина</w:t>
      </w:r>
    </w:p>
    <w:p>
      <w:pPr>
        <w:rPr>
          <w:noProof/>
        </w:rPr>
      </w:pPr>
      <w:r>
        <w:rPr>
          <w:noProof/>
        </w:rPr>
        <w:t xml:space="preserve">Предложената МФП съответства на целите на европейската политика за съседство (ЕПС). Тя подпомага постигането на целите на Европейския съюз за икономическа стабилност и развитие в Украйна и — в по-общ контекст — устойчивостта в съседните на ЕС източни държави. Като подкрепя усилията на органите за създаване на стабилна макроикономическа рамка и за провеждане на амбициозни структурни реформи, предложената операция повишава добавената стойност от цялостната намеса на ЕС в Украйна и подобрява ефективността на други форми на финансова помощ от ЕС за държавата, включително операции за бюджетна подкрепа и безвъзмездни средства, отпускани по линия на външни финансови инструменти съгласно настоящата многогодишна финансова рамка за периода 2014—2020 г. Предложената МФП е също неразделна част от цялостната международна подкрепа за Украйна и ще продължи да допълва помощта, отпускана от други многостранни и двустранни донори. </w:t>
      </w:r>
    </w:p>
    <w:p>
      <w:pPr>
        <w:rPr>
          <w:noProof/>
        </w:rPr>
      </w:pPr>
      <w:r>
        <w:rPr>
          <w:noProof/>
        </w:rPr>
        <w:t xml:space="preserve">Украйна има важни икономически връзки с ЕС. На 1 септември 2017 г. влезе в сила Споразумението за асоцииране между ЕС и Украйна. Разпоредбите относно задълбочената и всеобхватна зона за свободна търговия (ЗВЗСТ) се прилагаха временно от 1 януари 2016 г., когато ЕС и Украйна започнаха взаимно да отварят пазарите си за стоки и услуги. ЕС е първият търговски партньор на Украйна. На него се падат 40,6 % (в стойностно изражение) от общата търговия на Украйна за 2016 г. Двустранната търговия нарасна допълнително през 2017 г. Украинският износ за ЕС нарасна с 27,3 % в сравнение със същия период на предходната година, докато вносът от ЕС нарасна с 22,1 % (в стойностно изражение). </w:t>
      </w:r>
    </w:p>
    <w:p>
      <w:pPr>
        <w:pStyle w:val="ManualHeading1"/>
        <w:rPr>
          <w:noProof/>
        </w:rPr>
      </w:pPr>
      <w:r>
        <w:t>2.</w:t>
      </w:r>
      <w:r>
        <w:tab/>
      </w:r>
      <w:r>
        <w:rPr>
          <w:noProof/>
        </w:rPr>
        <w:t xml:space="preserve">ПРАВНИ ЕЛЕМЕНТИ НА ПРЕДЛОЖЕНИЕТО </w:t>
      </w:r>
    </w:p>
    <w:p>
      <w:pPr>
        <w:pStyle w:val="Bullet0"/>
        <w:rPr>
          <w:noProof/>
        </w:rPr>
      </w:pPr>
      <w:r>
        <w:rPr>
          <w:noProof/>
        </w:rPr>
        <w:t>Обобщена информация за предлаганото действие</w:t>
      </w:r>
    </w:p>
    <w:p>
      <w:pPr>
        <w:rPr>
          <w:noProof/>
          <w:spacing w:val="6"/>
        </w:rPr>
      </w:pPr>
      <w:r>
        <w:rPr>
          <w:noProof/>
          <w:spacing w:val="6"/>
        </w:rPr>
        <w:t xml:space="preserve">Европейският съюз ще отпусне на Украйна МФП на стойност до 1 милиард евро под формата на средносрочни и дългосрочни заеми, която ще помогне за покриване на оставащите нужди на Украйна от външно финансиране през периода 2018—2019 г. Планира се помощта да бъде отпусната на два транша. Ако мерките в областта на политиката, с които е обвързан всеки транш, бъдат изпълнени своевременно, се очаква първият транш да бъде отпуснат през втората половина на 2018 г., а вторият може да бъде предоставен през първата половина на 2019 г. Помощта ще бъде управлявана от Комисията. Прилагат се специални разпоредби, съобразени с Финансовия регламент, за предотвратяване на измами и други нередности. </w:t>
      </w:r>
    </w:p>
    <w:p>
      <w:pPr>
        <w:rPr>
          <w:noProof/>
          <w:spacing w:val="4"/>
        </w:rPr>
      </w:pPr>
      <w:r>
        <w:rPr>
          <w:noProof/>
          <w:spacing w:val="4"/>
        </w:rPr>
        <w:t>Комисията и украинските органи ще договорят меморандум за разбирателство, в който ще бъдат определени мерките за структурни реформи, свързани с предложената операция за МФП, включително някои аспекти по отношение на сроковете и последователността. Освен това, както е обичайно при МФП, отпускането на отделните траншове ще зависи и от това дали прегледите по програмата на МВФ показват задоволителни резултати и дали Украйна продължава да усвоява средства от МВФ.</w:t>
      </w:r>
    </w:p>
    <w:p>
      <w:pPr>
        <w:pStyle w:val="Bullet0"/>
        <w:rPr>
          <w:noProof/>
        </w:rPr>
      </w:pPr>
      <w:r>
        <w:rPr>
          <w:noProof/>
        </w:rPr>
        <w:t>Правно основание</w:t>
      </w:r>
    </w:p>
    <w:p>
      <w:pPr>
        <w:rPr>
          <w:noProof/>
        </w:rPr>
      </w:pPr>
      <w:r>
        <w:rPr>
          <w:noProof/>
        </w:rPr>
        <w:t xml:space="preserve">Правното основание за настоящото предложение е член 212 от ДФЕС. </w:t>
      </w:r>
    </w:p>
    <w:p>
      <w:pPr>
        <w:pStyle w:val="Bullet0"/>
        <w:rPr>
          <w:noProof/>
        </w:rPr>
      </w:pPr>
      <w:r>
        <w:rPr>
          <w:noProof/>
        </w:rPr>
        <w:t>Принцип на субсидиарност</w:t>
      </w:r>
    </w:p>
    <w:p>
      <w:pPr>
        <w:rPr>
          <w:noProof/>
        </w:rPr>
      </w:pPr>
      <w:r>
        <w:rPr>
          <w:noProof/>
        </w:rPr>
        <w:t xml:space="preserve">Принципът на субсидиарност е спазен, тъй като целите за възстановяване на краткосрочната макроикономическа стабилност в Украйна не могат да бъдат постигнати в достатъчна степен самостоятелно от държавите членки, а могат да бъдат постигнати по-добре от Европейския съюз. Основните причини са бюджетните ограничения на национално равнище и нуждата от добра координация на донорите с цел постигане на максимален обхват и максимална ефективност на помощта. </w:t>
      </w:r>
    </w:p>
    <w:p>
      <w:pPr>
        <w:pStyle w:val="Bullet0"/>
        <w:rPr>
          <w:noProof/>
        </w:rPr>
      </w:pPr>
      <w:r>
        <w:rPr>
          <w:noProof/>
        </w:rPr>
        <w:t>Принцип на пропорционалност</w:t>
      </w:r>
    </w:p>
    <w:p>
      <w:pPr>
        <w:rPr>
          <w:noProof/>
        </w:rPr>
      </w:pPr>
      <w:r>
        <w:rPr>
          <w:noProof/>
        </w:rPr>
        <w:t xml:space="preserve">Предложението е в съответствие с принципа на пропорционалност: то се ограничава до необходимия минимум за постигането на краткосрочна макроикономическа стабилност и не надхвърля необходимото за постигането на тази цел. </w:t>
      </w:r>
    </w:p>
    <w:p>
      <w:pPr>
        <w:rPr>
          <w:noProof/>
        </w:rPr>
      </w:pPr>
      <w:r>
        <w:rPr>
          <w:noProof/>
        </w:rPr>
        <w:t>Както бе установено от Комисията въз основа на прогнозите на МВФ в рамките на стендбай споразумението, размерът на помощта съответства на 26,5 % от прогнозирания допълнителен недостиг на финансиране за периода 2018—2019 г. Този значителен ангажимент се обосновава със следното: политическата значимост на Украйна за стабилността в съседните на ЕС държави; политическото асоцииране и икономическото интегриране на държавата към ЕС, за които свидетелства Споразумението за асоцииране между двете страни, влязло в сила на 1 септември 2017 г.; и трудната ситуация, пред която Украйна продължава да е изправена, по-конкретно вследствие на конфликта в източната част на държавата.</w:t>
      </w:r>
    </w:p>
    <w:p>
      <w:pPr>
        <w:pStyle w:val="Bullet0"/>
        <w:rPr>
          <w:noProof/>
        </w:rPr>
      </w:pPr>
      <w:r>
        <w:rPr>
          <w:noProof/>
        </w:rPr>
        <w:t>Избор на инструменти</w:t>
      </w:r>
    </w:p>
    <w:p>
      <w:pPr>
        <w:rPr>
          <w:noProof/>
        </w:rPr>
      </w:pPr>
      <w:r>
        <w:rPr>
          <w:noProof/>
        </w:rPr>
        <w:t xml:space="preserve">Финансирането на проекти и техническата помощ не биха били подходящи за постигане на макроикономическите цели. В сравнение с другите инструменти на ЕС основната добавена стойност от МФП ще бъдат бързото облекчаване на външните финансови ограничения и подкрепата за създаване на стабилна макроикономическа рамка, включително чрез насърчаване на устойчивостта на платежния баланс и бюджета, както и на подходяща рамка за структурни реформи. Като подпомага въвеждането на подходяща рамка за макроикономически и структурни политики, МФП може да увеличи ефективността на мерките, финансирани в Украйна чрез други, по-тясно специализирани финансови инструменти на ЕС. </w:t>
      </w:r>
    </w:p>
    <w:p>
      <w:pPr>
        <w:pStyle w:val="ManualHeading1"/>
        <w:rPr>
          <w:noProof/>
        </w:rPr>
      </w:pPr>
      <w:r>
        <w:t>3.</w:t>
      </w:r>
      <w:r>
        <w:tab/>
      </w:r>
      <w:r>
        <w:rPr>
          <w:noProof/>
        </w:rPr>
        <w:t xml:space="preserve">РЕЗУЛТАТИ ОТ КОНСУЛТАЦИИТЕ СЪС ЗАИНТЕРЕСОВАНИТЕ СТРАНИ И ОТ ОЦЕНКИТЕ НА ВЪЗДЕЙСТВИЕТО </w:t>
      </w:r>
    </w:p>
    <w:p>
      <w:pPr>
        <w:pStyle w:val="Bullet0"/>
        <w:rPr>
          <w:noProof/>
        </w:rPr>
      </w:pPr>
      <w:r>
        <w:rPr>
          <w:noProof/>
        </w:rPr>
        <w:t>Консултация със заинтересованите страни</w:t>
      </w:r>
    </w:p>
    <w:p>
      <w:pPr>
        <w:rPr>
          <w:noProof/>
        </w:rPr>
      </w:pPr>
      <w:r>
        <w:rPr>
          <w:noProof/>
        </w:rPr>
        <w:t xml:space="preserve">При изготвянето на настоящото предложение за МФП службите на Комисията поддържаха редовна връзка с украинските органи, за да се насърчи ангажираността на Украйна с програмата. Освен това, тъй като МФП се предоставя като неразделна част от международната подкрепа за икономическото стабилизиране на Украйна, Комисията се консултира и с международни партньори на Украйна, като Международния валутен фонд и Световната банка, които подкрепят държавата чрез мащабни програми за финансиране. </w:t>
      </w:r>
    </w:p>
    <w:p>
      <w:pPr>
        <w:pStyle w:val="Bullet0"/>
        <w:rPr>
          <w:noProof/>
        </w:rPr>
      </w:pPr>
      <w:r>
        <w:rPr>
          <w:noProof/>
        </w:rPr>
        <w:t>Събиране и използване на експертни знания и опит</w:t>
      </w:r>
    </w:p>
    <w:p>
      <w:pPr>
        <w:rPr>
          <w:noProof/>
        </w:rPr>
      </w:pPr>
      <w:r>
        <w:rPr>
          <w:noProof/>
        </w:rPr>
        <w:t xml:space="preserve">С помощта на външни експерти Комисията извърши оперативна оценка на качеството и надеждността на публичните финансови потоци и на административните процедури в областта на публичните финанси на Украйна. Окончателният доклад бе съставен през август 2014 г. Предвижда се нова оперативна оценка да бъде извършена през второто тримесечие на 2018 г., за да се вземат под внимание последните настъпили промени. </w:t>
      </w:r>
    </w:p>
    <w:p>
      <w:pPr>
        <w:pStyle w:val="Bullet0"/>
        <w:rPr>
          <w:noProof/>
        </w:rPr>
      </w:pPr>
      <w:r>
        <w:rPr>
          <w:noProof/>
        </w:rPr>
        <w:t>Оценка на въздействието</w:t>
      </w:r>
    </w:p>
    <w:p>
      <w:pPr>
        <w:rPr>
          <w:noProof/>
        </w:rPr>
      </w:pPr>
      <w:r>
        <w:rPr>
          <w:noProof/>
        </w:rPr>
        <w:t>Макрофинансовата помощ от ЕС е изключителен инструмент за спешни случаи, насочен към преодоляването на сериозни затруднения в платежния баланс на трети държави. Поради това настоящото предложение за МФП е освободено от изискването за извършване на оценка на въздействието в съответствие с Насоките на Комисията за по-добро регулиране (SWD(2015) 111 final), тъй като от политическа гледна точка са наложителни бързи действия в тази извънредна ситуация, която изисква бързо реагиране.</w:t>
      </w:r>
    </w:p>
    <w:p>
      <w:pPr>
        <w:rPr>
          <w:noProof/>
        </w:rPr>
      </w:pPr>
      <w:r>
        <w:rPr>
          <w:noProof/>
        </w:rPr>
        <w:t>В по-общ план предложенията на Комисията за МФП се основават на поуките, извлечени от последващите оценки, извършени за минали операции в съседните на ЕС държави. МФП и свързаната с нея програма за икономически корекции и реформи ще спомогнат за облекчаване на нуждите на Украйна от финансиране в краткосрочен план, като в същото време подкрепят мерки на политиката, насочени към укрепване на фискалната и външната позиция на държавата в средносрочен план и към подготвяне на условията за устойчив растеж.</w:t>
      </w:r>
    </w:p>
    <w:p>
      <w:pPr>
        <w:pStyle w:val="ManualHeading1"/>
        <w:rPr>
          <w:noProof/>
        </w:rPr>
      </w:pPr>
      <w:r>
        <w:t>4.</w:t>
      </w:r>
      <w:r>
        <w:tab/>
      </w:r>
      <w:r>
        <w:rPr>
          <w:noProof/>
        </w:rPr>
        <w:t xml:space="preserve">ОТРАЖЕНИЕ ВЪРХУ БЮДЖЕТА </w:t>
      </w:r>
    </w:p>
    <w:p>
      <w:pPr>
        <w:rPr>
          <w:noProof/>
        </w:rPr>
      </w:pPr>
      <w:r>
        <w:rPr>
          <w:noProof/>
        </w:rPr>
        <w:t xml:space="preserve">Планираната помощ ще бъде предоставена под формата на заеми и следва да се финансира чрез операции по получаване на заеми, които Комисията ще осъществи от името на ЕС. Бюджетните разходи за помощта ще съответстват на обезпечаването (при ставка 9 %) на преведените суми в Гаранционния фонд за външни заеми на ЕС, от бюджетен ред 01 03 06 („Обезпечаване на Гаранционния фонд“). Ако се допусне, че първите средства по заема ще бъдат преведени през 2018 г. и ще бъдат на обща стойност 500 милиона евро, а второто плащане по заема ще бъде извършено през 2019 г. и ще бъде на стойност 500 милиона евро, в съответствие с правилата, уреждащи механизма на Гаранционния фонд, обезпечаването ще бъде предвидено в бюджетите за 2020 г. (45 милиона евро) и 2021 г. (45 милиона евро). </w:t>
      </w:r>
    </w:p>
    <w:p>
      <w:pPr>
        <w:rPr>
          <w:noProof/>
          <w:szCs w:val="24"/>
        </w:rPr>
      </w:pPr>
      <w:r>
        <w:rPr>
          <w:noProof/>
          <w:color w:val="000000"/>
          <w:position w:val="3"/>
          <w:u w:color="000000"/>
        </w:rPr>
        <w:t>Въз основа на настоящите прогнози за усвояването на средствата по бюджетен ред 01 03 06 Комисията преценява, че въздействието на предложената операция за МФП за Украйна върху бюджета може да бъде поето.</w:t>
      </w:r>
    </w:p>
    <w:p>
      <w:pPr>
        <w:pStyle w:val="ManualHeading1"/>
        <w:rPr>
          <w:noProof/>
        </w:rPr>
      </w:pPr>
      <w:r>
        <w:t>5.</w:t>
      </w:r>
      <w:r>
        <w:tab/>
      </w:r>
      <w:r>
        <w:rPr>
          <w:noProof/>
        </w:rPr>
        <w:t>НЕЗАДЪЛЖИТЕЛНИ ЕЛЕМЕНТИ</w:t>
      </w:r>
    </w:p>
    <w:p>
      <w:pPr>
        <w:pStyle w:val="Bullet0"/>
        <w:rPr>
          <w:noProof/>
        </w:rPr>
      </w:pPr>
      <w:r>
        <w:rPr>
          <w:noProof/>
        </w:rPr>
        <w:t>Преглед/преразглеждане/клауза за изтичане на срока на действие</w:t>
      </w:r>
    </w:p>
    <w:p>
      <w:pPr>
        <w:rPr>
          <w:noProof/>
        </w:rPr>
      </w:pPr>
      <w:r>
        <w:rPr>
          <w:noProof/>
        </w:rPr>
        <w:t>Предложението включва клауза за изтичане на срока на действие. Предложената МФП ще бъде предоставена на разположение за срок от две години и половина, считано от първия ден след влизането в сила на меморандума за разбирателство.</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2018/0058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предоставяне на допълнителна макрофинансова помощ на Украйна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212, параграф 2 от него,</w:t>
      </w:r>
    </w:p>
    <w:p>
      <w:pPr>
        <w:rPr>
          <w:noProof/>
        </w:rPr>
      </w:pPr>
      <w:r>
        <w:rPr>
          <w:noProof/>
        </w:rPr>
        <w:t xml:space="preserve">като взеха предвид предложението на Европейската комисия, </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rPr>
          <w:noProof/>
          <w:szCs w:val="24"/>
        </w:rPr>
      </w:pPr>
      <w:r>
        <w:rPr>
          <w:noProof/>
        </w:rPr>
        <w:t>(1)</w:t>
      </w:r>
      <w:r>
        <w:rPr>
          <w:noProof/>
        </w:rPr>
        <w:tab/>
        <w:t>Отношенията между Европейския съюз и Украйна продължават да се развиват в рамките на европейската политика за съседство и Източното партньорство. На 1 септември 2017 г. влезе в сила Споразумение за асоцииране между Съюза и Украйна, включително задълбочена и всеобхватна зона за свободна търговия (ЗВЗСТ).</w:t>
      </w:r>
    </w:p>
    <w:p>
      <w:pPr>
        <w:rPr>
          <w:noProof/>
        </w:rPr>
      </w:pPr>
      <w:r>
        <w:rPr>
          <w:noProof/>
        </w:rPr>
        <w:t>(2)</w:t>
      </w:r>
      <w:r>
        <w:rPr>
          <w:noProof/>
        </w:rPr>
        <w:tab/>
        <w:t xml:space="preserve">От пролетта на 2014 г. Украйна започна да изпълнява </w:t>
      </w:r>
      <w:r>
        <w:rPr>
          <w:rStyle w:val="Strong"/>
          <w:rFonts w:ascii="Times New Roman" w:hAnsi="Times New Roman"/>
          <w:b w:val="0"/>
          <w:noProof/>
        </w:rPr>
        <w:t>амбициозна програма за реформи</w:t>
      </w:r>
      <w:r>
        <w:rPr>
          <w:noProof/>
        </w:rPr>
        <w:t>, имаща за цел стабилизиране на икономиката и подобряване на поминъка на гражданите. Украйна и Съюзът изготвиха съвместно програма за реформи (</w:t>
      </w:r>
      <w:r>
        <w:rPr>
          <w:rStyle w:val="Strong"/>
          <w:rFonts w:ascii="Times New Roman" w:hAnsi="Times New Roman"/>
          <w:b w:val="0"/>
          <w:noProof/>
        </w:rPr>
        <w:t>Програмата за асоцииране</w:t>
      </w:r>
      <w:r>
        <w:rPr>
          <w:noProof/>
        </w:rPr>
        <w:t>, която последно бе актуализирана през март 2015 г.). Едни от най-важните приоритети в програмата са борбата срещу корупцията и конституционната, изборната и съдебната реформа.</w:t>
      </w:r>
    </w:p>
    <w:p>
      <w:pPr>
        <w:rPr>
          <w:noProof/>
        </w:rPr>
      </w:pPr>
      <w:r>
        <w:rPr>
          <w:noProof/>
        </w:rPr>
        <w:t>(3)</w:t>
      </w:r>
      <w:r>
        <w:rPr>
          <w:noProof/>
        </w:rPr>
        <w:tab/>
        <w:t>В допълнение към политическата подкрепа, която оказва, през март 2014 г. Съюзът се ангажира да отпусне финансов пакет на стойност над 11 милиарда евро за подпомагане на икономическото стабилизиране и провеждането на реформи в Украйна, включително 1,6 милиарда евро макрофинансова помощ съгласно Решение 2002/639/ЕО на Съвета</w:t>
      </w:r>
      <w:r>
        <w:rPr>
          <w:rStyle w:val="FootnoteReference"/>
          <w:noProof/>
        </w:rPr>
        <w:footnoteReference w:id="7"/>
      </w:r>
      <w:r>
        <w:rPr>
          <w:noProof/>
        </w:rPr>
        <w:t>, Решение № 646/2010/ЕС на Европейския парламент и на Съвета</w:t>
      </w:r>
      <w:r>
        <w:rPr>
          <w:rStyle w:val="FootnoteReference"/>
          <w:noProof/>
        </w:rPr>
        <w:footnoteReference w:id="8"/>
      </w:r>
      <w:r>
        <w:rPr>
          <w:noProof/>
        </w:rPr>
        <w:t xml:space="preserve"> и Решение 2014/215/ЕС на Съвета</w:t>
      </w:r>
      <w:r>
        <w:rPr>
          <w:rStyle w:val="FootnoteReference"/>
          <w:noProof/>
        </w:rPr>
        <w:footnoteReference w:id="9"/>
      </w:r>
      <w:r>
        <w:rPr>
          <w:noProof/>
        </w:rPr>
        <w:t>. Поради съществените нужди от външно финансиране на Украйна, през април 2015 г. на държавата бяха предоставени още 1,8 милиарда евро макрофинансова помощ съгласно Решение (ЕС) 2015/601 на Европейския парламент и на Съвета</w:t>
      </w:r>
      <w:r>
        <w:rPr>
          <w:rStyle w:val="FootnoteReference"/>
          <w:noProof/>
        </w:rPr>
        <w:footnoteReference w:id="10"/>
      </w:r>
      <w:r>
        <w:rPr>
          <w:noProof/>
        </w:rPr>
        <w:t xml:space="preserve">. </w:t>
      </w:r>
    </w:p>
    <w:p>
      <w:pPr>
        <w:rPr>
          <w:noProof/>
        </w:rPr>
      </w:pPr>
      <w:r>
        <w:rPr>
          <w:noProof/>
        </w:rPr>
        <w:t>(4)</w:t>
      </w:r>
      <w:r>
        <w:rPr>
          <w:noProof/>
        </w:rPr>
        <w:tab/>
        <w:t xml:space="preserve">От май 2014 г. Украйна е получила от Съюза 2,81 милиарда евро макрофинансова помощ, включително 1,2 милиарда евро от осигурените 1,8 милиарда евро по силата на Решение (ЕС) 2015/601 на Европейския парламент и на Съвета. Третият и последен транш от 600 милиона евро макрофинансова помощ съгласно Решение (ЕС) 2015/601 бе отменен на 18 януари 2018 г., поради това че Украйна не изпълни изцяло програмата за структурни реформи, с която бе обвързан траншът. </w:t>
      </w:r>
    </w:p>
    <w:p>
      <w:pPr>
        <w:rPr>
          <w:noProof/>
        </w:rPr>
      </w:pPr>
      <w:r>
        <w:rPr>
          <w:noProof/>
        </w:rPr>
        <w:t>(5)</w:t>
      </w:r>
      <w:r>
        <w:rPr>
          <w:noProof/>
        </w:rPr>
        <w:tab/>
        <w:t>На 11 март 2015 г. Международният валутен фонд одобри четиригодишна програма за Разширен фонд за финансиране за Украйна на стойност 17,5 милиарда щатски долара в подкрепа на програмата за икономически корекции и реформи на държавата, от които 8,5 милиарда щатски долара бяха преведени през периода 2015—2017 г. Финансовата помощ от МВФ бе допълнена със значителна подкрепа от редица двустранни партньори (включително Съюза и неговите държави членки, както и САЩ, Япония и Канада). Други международни финансови институции, като Световната банка, Европейската банка за възстановяване и развитие (ЕБВР) и Европейската инвестиционна банка (ЕИБ), също засилиха съществено дейността си в подкрепа на икономическия преход на Украйна.</w:t>
      </w:r>
    </w:p>
    <w:p>
      <w:pPr>
        <w:rPr>
          <w:noProof/>
        </w:rPr>
      </w:pPr>
      <w:r>
        <w:rPr>
          <w:noProof/>
        </w:rPr>
        <w:t>(6)</w:t>
      </w:r>
      <w:r>
        <w:rPr>
          <w:noProof/>
        </w:rPr>
        <w:tab/>
        <w:t xml:space="preserve">След техническата си мисия, проведена през ноември 2017 г., МВФ преразгледа прогнозите си за нуждите от външно финансиране на Украйна, като установи наличие на допълнителен недостиг на средства в размер на 4,5 милиарда щатски долара за 2018 г. и 2019 г. Тези нужди от финансиране надхвърлят финансирането, обещано до момента от международната общност, което включва макрофинансовата помощ от Съюза съгласно Решение 2002/639/ЕО на Съвета, Решение № 646/2010/ЕС на Европейския парламент и на Съвета, Решение 2014/215/ЕС на Съвета и Решение (ЕС) 2015/601 на Европейския парламент и на Съвета. </w:t>
      </w:r>
    </w:p>
    <w:p>
      <w:pPr>
        <w:rPr>
          <w:noProof/>
        </w:rPr>
      </w:pPr>
      <w:r>
        <w:rPr>
          <w:noProof/>
        </w:rPr>
        <w:t>(7)</w:t>
      </w:r>
      <w:r>
        <w:rPr>
          <w:noProof/>
        </w:rPr>
        <w:tab/>
        <w:t>Поради продължаващата трудна икономическа и финансова обстановка в Украйна, през ноември 2017 г. органите на държавата поискаха от Съюза допълнителна макрофинансова помощ.</w:t>
      </w:r>
    </w:p>
    <w:p>
      <w:pPr>
        <w:rPr>
          <w:noProof/>
        </w:rPr>
      </w:pPr>
      <w:r>
        <w:rPr>
          <w:noProof/>
        </w:rPr>
        <w:t>(8)</w:t>
      </w:r>
      <w:r>
        <w:rPr>
          <w:noProof/>
        </w:rPr>
        <w:tab/>
        <w:t>На заседанието на Съвета за асоцииране между ЕС и Украйна, проведено на 8 декември 2017 г., Съюзът потвърди подкрепата си за значителните усилия за реформа на Украйна, включително финансова помощ, обвързана с конкретен напредък по реформите.</w:t>
      </w:r>
    </w:p>
    <w:p>
      <w:pPr>
        <w:rPr>
          <w:noProof/>
        </w:rPr>
      </w:pPr>
      <w:r>
        <w:rPr>
          <w:noProof/>
        </w:rPr>
        <w:t>(9)</w:t>
      </w:r>
      <w:r>
        <w:rPr>
          <w:noProof/>
        </w:rPr>
        <w:tab/>
        <w:t>Като се има предвид, че Украйна е държава, която попада в обхвата на европейската политика за съседство, следва да се счита, че тя отговаря на условията за получаване на макрофинансова помощ от Съюза.</w:t>
      </w:r>
    </w:p>
    <w:p>
      <w:pPr>
        <w:rPr>
          <w:noProof/>
        </w:rPr>
      </w:pPr>
      <w:r>
        <w:rPr>
          <w:noProof/>
        </w:rPr>
        <w:t>(10)</w:t>
      </w:r>
      <w:r>
        <w:rPr>
          <w:noProof/>
        </w:rPr>
        <w:tab/>
        <w:t>Макрофинансовата помощ от Съюза следва да бъде извънреден финансов инструмент за необвързана и нецелева подкрепа за платежния баланс, предназначена за покриване на непосредствените нужди на бенефициера от външно финансиране, и следва да бъде в основата на изпълнението на програма в областта на политиката, съдържаща силни незабавни мерки за корекции и структурни реформи, насочени към подобряване на състоянието на платежния баланс на бенефициера в краткосрочен план.</w:t>
      </w:r>
    </w:p>
    <w:p>
      <w:pPr>
        <w:rPr>
          <w:noProof/>
        </w:rPr>
      </w:pPr>
      <w:r>
        <w:rPr>
          <w:noProof/>
        </w:rPr>
        <w:t>(11)</w:t>
      </w:r>
      <w:r>
        <w:rPr>
          <w:noProof/>
        </w:rPr>
        <w:tab/>
        <w:t>Тъй като в платежния баланс на Украйна има остатъчен недостиг на външно финансиране, който надвишава средствата, предоставени от МВФ и други многостранни институции, се счита, че при настоящите извънредни обстоятелства предвидената за Украйна макрофинансова помощ от Съюза, във връзка с програмата на МВФ, представлява подходящ отговор на искането на Украйна за подкрепа за икономическото ѝ стабилизиране. Макрофинансовата помощ от Съюза ще подпомогне икономическото стабилизиране и програмата за структурни реформи на Украйна, като допълни средствата, предоставени по линия на финансовото споразумение с МВФ.</w:t>
      </w:r>
    </w:p>
    <w:p>
      <w:pPr>
        <w:rPr>
          <w:noProof/>
        </w:rPr>
      </w:pPr>
      <w:r>
        <w:rPr>
          <w:noProof/>
        </w:rPr>
        <w:t>(12)</w:t>
      </w:r>
      <w:r>
        <w:rPr>
          <w:noProof/>
        </w:rPr>
        <w:tab/>
        <w:t>Макрофинансовата помощ от Съюза следва да е насочена към подпомагане на възстановяването на устойчиво външно финансиране за Украйна, като по този начин подкрепи нейното икономическо и социално развитие.</w:t>
      </w:r>
    </w:p>
    <w:p>
      <w:pPr>
        <w:rPr>
          <w:noProof/>
        </w:rPr>
      </w:pPr>
      <w:r>
        <w:rPr>
          <w:noProof/>
        </w:rPr>
        <w:t>(13)</w:t>
      </w:r>
      <w:r>
        <w:rPr>
          <w:noProof/>
        </w:rPr>
        <w:tab/>
        <w:t xml:space="preserve">Определянето на размера на макрофинансовата помощ от Съюза се основава на изчерпателна количествена оценка на остатъчните нужди на Украйна от външно финансиране и взема предвид способността ѝ да се финансира със собствени средства, по-конкретно с международните резерви, с които разполага. Макрофинансовата помощ от Съюза следва да допълва програмите и средствата, осигурени от МВФ и Световната банка. При определянето на размера на помощта се отчитат и очакваният финансов принос от двустранни и многостранни донори и нуждата да се осигури справедливо разпределение на тежестта между Съюза и другите донори, както и другите инструменти на Съюза за външно финансиране, които вече се използват в Украйна, и добавената стойност от цялостната намеса на Съюза. </w:t>
      </w:r>
    </w:p>
    <w:p>
      <w:pPr>
        <w:rPr>
          <w:noProof/>
        </w:rPr>
      </w:pPr>
      <w:r>
        <w:rPr>
          <w:noProof/>
        </w:rPr>
        <w:t>(14)</w:t>
      </w:r>
      <w:r>
        <w:rPr>
          <w:noProof/>
        </w:rPr>
        <w:tab/>
        <w:t>Комисията следва да гарантира, че макрофинансовата помощ от Съюза съответства в правно отношение и по същество на основните принципи, целите и мерките, предприети в различните области на външната дейност и в рамките на други съответни политики на Съюза.</w:t>
      </w:r>
    </w:p>
    <w:p>
      <w:pPr>
        <w:rPr>
          <w:noProof/>
        </w:rPr>
      </w:pPr>
      <w:r>
        <w:rPr>
          <w:noProof/>
        </w:rPr>
        <w:t>(15)</w:t>
      </w:r>
      <w:r>
        <w:rPr>
          <w:noProof/>
        </w:rPr>
        <w:tab/>
        <w:t>Макрофинансовата помощ от Съюза следва да подкрепя външната политика на Съюза по отношение на Украйна. Службите на Комисията и Европейската служба за външна дейност следва да работят в тясно сътрудничество през цялото времетраене на операцията за макрофинансова помощ, за да координират външната политика на Съюза и да гарантират нейната последователност.</w:t>
      </w:r>
    </w:p>
    <w:p>
      <w:pPr>
        <w:rPr>
          <w:noProof/>
        </w:rPr>
      </w:pPr>
      <w:r>
        <w:rPr>
          <w:noProof/>
        </w:rPr>
        <w:t>(16)</w:t>
      </w:r>
      <w:r>
        <w:rPr>
          <w:noProof/>
        </w:rPr>
        <w:tab/>
        <w:t>Макрофинансовата помощ от Съюза следва да подкрепя ангажимента на Украйна по отношение на общите ценности със Съюза, включително демокрацията, правовата държава, доброто управление, зачитането на правата на човека, устойчивото развитие и намаляването на бедността, както и ангажираността ѝ с принципите за отворена, основана на правила и справедлива търговия.</w:t>
      </w:r>
    </w:p>
    <w:p>
      <w:pPr>
        <w:rPr>
          <w:noProof/>
        </w:rPr>
      </w:pPr>
      <w:r>
        <w:rPr>
          <w:noProof/>
        </w:rPr>
        <w:t>(17)</w:t>
      </w:r>
      <w:r>
        <w:rPr>
          <w:noProof/>
        </w:rPr>
        <w:tab/>
        <w:t>Зачитането от страна на Украйна на ефективни демократични механизми — включително многопартийна парламентарна система — и на правовата държава и осигуряването на гаранции за зачитането на правата на човека са предварително условие за предоставянето на макрофинансовата помощ от Съюза. Освен това конкретните цели на макрофинансовата помощ от Съюза следва да подобрят ефикасността, прозрачността и отчетността на системите за управление на публичните финанси в Украйна и да насърчат структурните реформи, насочени към подпомагане на устойчивия и приобщаващ растеж, създаването на работни места и фискалната консолидация. Комисията и Европейската служба за външна дейност следва редовно да наблюдават спазването на предварителните условия и напредъка в постигането на тези цели.</w:t>
      </w:r>
    </w:p>
    <w:p>
      <w:pPr>
        <w:rPr>
          <w:noProof/>
        </w:rPr>
      </w:pPr>
      <w:r>
        <w:rPr>
          <w:noProof/>
        </w:rPr>
        <w:t>(18)</w:t>
      </w:r>
      <w:r>
        <w:rPr>
          <w:noProof/>
        </w:rPr>
        <w:tab/>
        <w:t>За да се осигури ефикасна защита на финансовите интереси на Съюза, свързани с макрофинансовата помощ от Съюза, Украйна следва да предприеме подходящи мерки за предотвратяване на измамите, корупцията и всички други нередности, свързани с помощта, и за борба с тях. Освен това следва да се предвиди възможност Комисията да извършва проверки, а Сметната палата — одити.</w:t>
      </w:r>
    </w:p>
    <w:p>
      <w:pPr>
        <w:rPr>
          <w:noProof/>
        </w:rPr>
      </w:pPr>
      <w:r>
        <w:rPr>
          <w:noProof/>
        </w:rPr>
        <w:t>(19)</w:t>
      </w:r>
      <w:r>
        <w:rPr>
          <w:noProof/>
        </w:rPr>
        <w:tab/>
        <w:t xml:space="preserve">Отпускането на макрофинансовата помощ от Съюза не засяга правомощията на Европейския парламент и на Съвета в качеството им на бюджетен орган. </w:t>
      </w:r>
    </w:p>
    <w:p>
      <w:pPr>
        <w:rPr>
          <w:noProof/>
        </w:rPr>
      </w:pPr>
      <w:r>
        <w:rPr>
          <w:noProof/>
        </w:rPr>
        <w:t>(20)</w:t>
      </w:r>
      <w:r>
        <w:rPr>
          <w:noProof/>
        </w:rPr>
        <w:tab/>
        <w:t>Размерът на средствата, необходими за отпускането на макрофинансова помощ, следва да е съобразен с бюджетните кредити, предвидени в многогодишната финансова рамка.</w:t>
      </w:r>
    </w:p>
    <w:p>
      <w:pPr>
        <w:rPr>
          <w:noProof/>
        </w:rPr>
      </w:pPr>
      <w:r>
        <w:rPr>
          <w:noProof/>
        </w:rPr>
        <w:t>(21)</w:t>
      </w:r>
      <w:r>
        <w:rPr>
          <w:noProof/>
        </w:rPr>
        <w:tab/>
        <w:t>Макрофинансовата помощ от Съюза следва да бъде управлявана от Комисията. За да се гарантира, че Европейският парламент и Съветът могат да следят изпълнението на настоящото решение, Комисията следва редовно да ги информира за настъпилите обстоятелства, свързани с помощта, и да им предоставя съответните документи.</w:t>
      </w:r>
    </w:p>
    <w:p>
      <w:pPr>
        <w:rPr>
          <w:noProof/>
        </w:rPr>
      </w:pPr>
      <w:r>
        <w:rPr>
          <w:noProof/>
        </w:rPr>
        <w:t>(22)</w:t>
      </w:r>
      <w:r>
        <w:rPr>
          <w:noProof/>
        </w:rPr>
        <w:tab/>
        <w:t>За да се осигурят еднакви условия за изпълнението на настоящото решение, на Комисията следва да се предоставят изпълнителни правомощия. Тези правомощия следва да бъдат упражнявани в съответствие с разпоредбите на Регламент (ЕС) № 182/2011 на Европейския парламент и на Съвета</w:t>
      </w:r>
      <w:r>
        <w:rPr>
          <w:rStyle w:val="FootnoteReference"/>
          <w:noProof/>
        </w:rPr>
        <w:footnoteReference w:id="11"/>
      </w:r>
      <w:r>
        <w:rPr>
          <w:noProof/>
        </w:rPr>
        <w:t>.</w:t>
      </w:r>
    </w:p>
    <w:p>
      <w:pPr>
        <w:rPr>
          <w:noProof/>
        </w:rPr>
      </w:pPr>
      <w:r>
        <w:rPr>
          <w:noProof/>
        </w:rPr>
        <w:t>(23)</w:t>
      </w:r>
      <w:r>
        <w:rPr>
          <w:noProof/>
        </w:rPr>
        <w:tab/>
        <w:t>Макрофинансовата помощ от Съюза следва да бъде обвързана с изпълнението на условия в областта на икономическата политика, които ще бъдат определени в меморандум за разбирателство. За да се осигурят еднакви условия на изпълнение и с цел по-голяма ефикасност, на Комисията следва да бъде предоставено правомощието да договори тези условия с украинските органи под надзора на комитета на представителите на държавите членки в съответствие с Регламент (ЕС) № 182/2011. Съгласно този регламент процедурата по консултиране следва по принцип да се прилага за всички случаи с изключение на предвидените в Регламента. Като се има предвид потенциално значителното въздействие на помощ, чийто размер надхвърля 90 милиона евро, е целесъобразно за операциите над този праг да се използва процедурата по разглеждане. Поради размера на макрофинансовата помощ от Съюза за Украйна процедурата по разглеждане следва да се прилага за приемането на меморандума за разбирателство, както и за всяко намаляване, спиране или отмяна на помощта,</w:t>
      </w:r>
    </w:p>
    <w:p>
      <w:pPr>
        <w:pStyle w:val="Formuledadoption"/>
        <w:rPr>
          <w:noProof/>
        </w:rPr>
      </w:pPr>
      <w:r>
        <w:rPr>
          <w:noProof/>
        </w:rPr>
        <w:t>ПРИЕХА НАСТОЯЩОТО РЕШЕНИЕ:</w:t>
      </w:r>
    </w:p>
    <w:p>
      <w:pPr>
        <w:pStyle w:val="Titrearticle"/>
        <w:rPr>
          <w:noProof/>
        </w:rPr>
      </w:pPr>
      <w:r>
        <w:rPr>
          <w:noProof/>
        </w:rPr>
        <w:t>Член 1</w:t>
      </w:r>
    </w:p>
    <w:p>
      <w:pPr>
        <w:pStyle w:val="ManualNumPar1"/>
        <w:rPr>
          <w:noProof/>
        </w:rPr>
      </w:pPr>
      <w:r>
        <w:t>1.</w:t>
      </w:r>
      <w:r>
        <w:tab/>
      </w:r>
      <w:r>
        <w:rPr>
          <w:noProof/>
        </w:rPr>
        <w:t xml:space="preserve">Съюзът предоставя макрофинансова помощ в максимален размер от 1 милиард евро за Украйна (наричана по-нататък „макрофинансовата помощ от Съюза“) с цел подпомагане на икономическото стабилизиране на Украйна и програма за провеждането на съществени реформи. Помощта е предназначена за покриване на нуждите на Украйна по отношение на платежния баланс, набелязани в програмата на МВФ. </w:t>
      </w:r>
    </w:p>
    <w:p>
      <w:pPr>
        <w:pStyle w:val="ManualNumPar1"/>
        <w:rPr>
          <w:noProof/>
        </w:rPr>
      </w:pPr>
      <w:r>
        <w:t>2.</w:t>
      </w:r>
      <w:r>
        <w:tab/>
      </w:r>
      <w:r>
        <w:rPr>
          <w:noProof/>
        </w:rPr>
        <w:t>Пълният размер на макрофинансовата помощ от Съюза се предоставя на Украйна под формата на заеми. Комисията се оправомощава от името на Съюза да взема назаем необходимите средства на капиталовите пазари или от финансови институции и на свой ред да ги предоставя като заем на Украйна. Максималният среден срок на заемите е 15 години.</w:t>
      </w:r>
    </w:p>
    <w:p>
      <w:pPr>
        <w:pStyle w:val="ManualNumPar1"/>
        <w:rPr>
          <w:noProof/>
        </w:rPr>
      </w:pPr>
      <w:r>
        <w:t>3.</w:t>
      </w:r>
      <w:r>
        <w:tab/>
      </w:r>
      <w:r>
        <w:rPr>
          <w:noProof/>
        </w:rPr>
        <w:t>Отпускането на макрофинансовата помощ от Съюза се управлява от Комисията в съответствие със споразуменията или договореностите, постигнати между Международния валутен фонд (МВФ) и Украйна, и с основните принципи и цели на икономическите реформи, заложени в Споразумението за асоцииране ЕС—Украйна, включително ЗВЗСТ, договорено по линия на eвропейската политика за съседство (ЕПС).</w:t>
      </w:r>
    </w:p>
    <w:p>
      <w:pPr>
        <w:pStyle w:val="Text1"/>
        <w:rPr>
          <w:noProof/>
        </w:rPr>
      </w:pPr>
      <w:r>
        <w:rPr>
          <w:noProof/>
        </w:rPr>
        <w:t>Комисията осведомява редовно Европейския парламент и Съвета за развитието във връзка с макрофинансовата помощ от Съюза, включително плащанията, и предоставя своевременно на тези институции съответните документи.</w:t>
      </w:r>
    </w:p>
    <w:p>
      <w:pPr>
        <w:pStyle w:val="ManualNumPar1"/>
        <w:rPr>
          <w:noProof/>
        </w:rPr>
      </w:pPr>
      <w:r>
        <w:t>4.</w:t>
      </w:r>
      <w:r>
        <w:tab/>
      </w:r>
      <w:r>
        <w:rPr>
          <w:noProof/>
        </w:rPr>
        <w:t>Макрофинансовата помощ от Съюза</w:t>
      </w:r>
      <w:r>
        <w:rPr>
          <w:b/>
          <w:i/>
          <w:noProof/>
        </w:rPr>
        <w:t xml:space="preserve"> </w:t>
      </w:r>
      <w:r>
        <w:rPr>
          <w:noProof/>
        </w:rPr>
        <w:t>се предоставя за период от две години и половина, считано от първия ден след влизането в сила на Меморандума за разбирателство, посочен в член 3, параграф 1.</w:t>
      </w:r>
    </w:p>
    <w:p>
      <w:pPr>
        <w:pStyle w:val="ManualNumPar1"/>
        <w:rPr>
          <w:noProof/>
        </w:rPr>
      </w:pPr>
      <w:r>
        <w:t>5.</w:t>
      </w:r>
      <w:r>
        <w:tab/>
      </w:r>
      <w:r>
        <w:rPr>
          <w:noProof/>
        </w:rPr>
        <w:t>Ако финансовите нужди на Украйна намалеят съществено през периода на отпускане на макрофинансовата помощ от Съюза в сравнение с първоначалните прогнози, Комисията намалява размера на помощта, спира я или я отменя, като прилага процедурата по разглеждане, посочена в член 7, параграф 2.</w:t>
      </w:r>
    </w:p>
    <w:p>
      <w:pPr>
        <w:pStyle w:val="Titrearticle"/>
        <w:rPr>
          <w:noProof/>
        </w:rPr>
      </w:pPr>
      <w:r>
        <w:rPr>
          <w:noProof/>
        </w:rPr>
        <w:t>Член 2</w:t>
      </w:r>
    </w:p>
    <w:p>
      <w:pPr>
        <w:pStyle w:val="ManualNumPar1"/>
        <w:rPr>
          <w:noProof/>
        </w:rPr>
      </w:pPr>
      <w:r>
        <w:t>1.</w:t>
      </w:r>
      <w:r>
        <w:tab/>
      </w:r>
      <w:r>
        <w:rPr>
          <w:noProof/>
        </w:rPr>
        <w:t>Зачитането от страна на Украйна на ефективни демократични механизми, включително многопартийна парламентарна система, и правовата държава и осигуряването на гаранции за зачитането на правата на човека са предварителни условия за предоставянето на макрофинансовата помощ от Съюза.</w:t>
      </w:r>
    </w:p>
    <w:p>
      <w:pPr>
        <w:pStyle w:val="ManualNumPar1"/>
        <w:rPr>
          <w:noProof/>
        </w:rPr>
      </w:pPr>
      <w:r>
        <w:t>2.</w:t>
      </w:r>
      <w:r>
        <w:tab/>
      </w:r>
      <w:r>
        <w:rPr>
          <w:noProof/>
        </w:rPr>
        <w:t xml:space="preserve">През целия цикъл на макрофинансовата помощ от Съюза Комисията и Европейската служба за външна дейност следят за изпълнението на това задължително предварително условие. </w:t>
      </w:r>
    </w:p>
    <w:p>
      <w:pPr>
        <w:pStyle w:val="ManualNumPar1"/>
        <w:rPr>
          <w:noProof/>
        </w:rPr>
      </w:pPr>
      <w:r>
        <w:t>3.</w:t>
      </w:r>
      <w:r>
        <w:tab/>
      </w:r>
      <w:r>
        <w:rPr>
          <w:noProof/>
        </w:rPr>
        <w:t>Параграфи 1 и 2 от настоящия член се прилагат в съответствие с Решение 2010/427/ЕС на Съвета</w:t>
      </w:r>
      <w:r>
        <w:rPr>
          <w:rStyle w:val="FootnoteReference"/>
          <w:noProof/>
        </w:rPr>
        <w:footnoteReference w:id="12"/>
      </w:r>
      <w:r>
        <w:rPr>
          <w:noProof/>
        </w:rPr>
        <w:t>.</w:t>
      </w:r>
    </w:p>
    <w:p>
      <w:pPr>
        <w:pStyle w:val="Titrearticle"/>
        <w:rPr>
          <w:noProof/>
        </w:rPr>
      </w:pPr>
      <w:r>
        <w:rPr>
          <w:noProof/>
        </w:rPr>
        <w:t>Член 3</w:t>
      </w:r>
    </w:p>
    <w:p>
      <w:pPr>
        <w:pStyle w:val="ManualNumPar1"/>
        <w:rPr>
          <w:noProof/>
        </w:rPr>
      </w:pPr>
      <w:r>
        <w:t>1.</w:t>
      </w:r>
      <w:r>
        <w:tab/>
      </w:r>
      <w:r>
        <w:rPr>
          <w:noProof/>
        </w:rPr>
        <w:t xml:space="preserve">В съответствие с посочената в член 7, параграф 2 процедура по разглеждане Комисията договаря с украинските органи ясно определени условия на икономическата политика и финансови условия, като акцентът се поставя на структурните реформи и солидните публични финанси, от които условия зависи макрофинансовата помощ от Съюза. Тези условия следва да бъдат установени в Меморандума за разбирателство (наричан по-нататък „Меморандумът за разбирателство“), съдържащ график за тяхното изпълнение. Условията на икономическата политика и финансовите условия, определени в Меморандума за разбирателство, съответстват на споразуменията или договореностите, посочени в член 1, параграф 3, включително на програмите за макроикономически корекции и структурни реформи, изпълнявани от Украйна с подкрепата на МВФ. </w:t>
      </w:r>
    </w:p>
    <w:p>
      <w:pPr>
        <w:pStyle w:val="ManualNumPar1"/>
        <w:rPr>
          <w:noProof/>
        </w:rPr>
      </w:pPr>
      <w:r>
        <w:t>2.</w:t>
      </w:r>
      <w:r>
        <w:tab/>
      </w:r>
      <w:r>
        <w:rPr>
          <w:noProof/>
        </w:rPr>
        <w:t>С посочените в параграф 1 условия се цели по-специално повишаване на ефикасността, прозрачността и отчетността на системите за управление на публичните финанси в Украйна, включително по отношение на използването на макрофинансовата помощ от Съюза. Напредъкът по отношение на взаимното отваряне на пазара, развиването на справедлива търговия, основана на правила, и другите приоритети в рамките на външната политика на Съюза също се вземат надлежно предвид при определянето на мерките на политиката. Комисията редовно следи постигнатия при осъществяването на тези цели напредък.</w:t>
      </w:r>
    </w:p>
    <w:p>
      <w:pPr>
        <w:pStyle w:val="ManualNumPar1"/>
        <w:rPr>
          <w:noProof/>
        </w:rPr>
      </w:pPr>
      <w:r>
        <w:t>3.</w:t>
      </w:r>
      <w:r>
        <w:tab/>
      </w:r>
      <w:r>
        <w:rPr>
          <w:noProof/>
        </w:rPr>
        <w:t xml:space="preserve">Подробните финансови условия във връзка с макрофинансовата помощ от Съюза се определят в споразумение за заем, което трябва да бъде сключено между Комисията и органите на Украйна. </w:t>
      </w:r>
    </w:p>
    <w:p>
      <w:pPr>
        <w:pStyle w:val="ManualNumPar1"/>
        <w:rPr>
          <w:noProof/>
        </w:rPr>
      </w:pPr>
      <w:r>
        <w:t>4.</w:t>
      </w:r>
      <w:r>
        <w:tab/>
      </w:r>
      <w:r>
        <w:rPr>
          <w:noProof/>
        </w:rPr>
        <w:t>Комисията редовно проверява дали продължават да са изпълнени условията в член 4, параграф 3, включително дали икономическите политики на Украйна са в съответствие с целите на макрофинансовата помощ от Съюза. В този процес Комисията си сътрудничи тясно с МВФ и Световната банка, а при необходимост — и с Европейския парламент и Съвета.</w:t>
      </w:r>
    </w:p>
    <w:p>
      <w:pPr>
        <w:pStyle w:val="Titrearticle"/>
        <w:rPr>
          <w:noProof/>
        </w:rPr>
      </w:pPr>
      <w:r>
        <w:rPr>
          <w:noProof/>
        </w:rPr>
        <w:t>Член 4</w:t>
      </w:r>
    </w:p>
    <w:p>
      <w:pPr>
        <w:pStyle w:val="ManualNumPar1"/>
        <w:rPr>
          <w:noProof/>
        </w:rPr>
      </w:pPr>
      <w:r>
        <w:t>1.</w:t>
      </w:r>
      <w:r>
        <w:tab/>
      </w:r>
      <w:r>
        <w:rPr>
          <w:noProof/>
        </w:rPr>
        <w:t xml:space="preserve">Ако бъдат спазени посочените в параграф 3 условия, Комисията предоставя макрофинансовата помощ от Съюза на два транша под формата на заем. Размерът на всеки транш се определя в Меморандума за разбирателство, посочен в член 3. </w:t>
      </w:r>
    </w:p>
    <w:p>
      <w:pPr>
        <w:pStyle w:val="ManualNumPar1"/>
        <w:rPr>
          <w:noProof/>
        </w:rPr>
      </w:pPr>
      <w:r>
        <w:t>2.</w:t>
      </w:r>
      <w:r>
        <w:tab/>
      </w:r>
      <w:r>
        <w:rPr>
          <w:noProof/>
        </w:rPr>
        <w:t>Сумите на предоставената от Съюза макрофинансова помощ се обезпечават, когато това е необходимо, в съответствие с Регламент (ЕО, Евратом) № 480/2009</w:t>
      </w:r>
      <w:r>
        <w:rPr>
          <w:rStyle w:val="FootnoteReference"/>
          <w:noProof/>
        </w:rPr>
        <w:footnoteReference w:id="13"/>
      </w:r>
      <w:r>
        <w:rPr>
          <w:noProof/>
        </w:rPr>
        <w:t xml:space="preserve">. </w:t>
      </w:r>
    </w:p>
    <w:p>
      <w:pPr>
        <w:pStyle w:val="ManualNumPar1"/>
        <w:rPr>
          <w:noProof/>
        </w:rPr>
      </w:pPr>
      <w:r>
        <w:t>3.</w:t>
      </w:r>
      <w:r>
        <w:tab/>
      </w:r>
      <w:r>
        <w:rPr>
          <w:noProof/>
        </w:rPr>
        <w:t>Комисията взема решение за отпускането на траншовете, при условие че са спазени всички условия по-долу:</w:t>
      </w:r>
    </w:p>
    <w:p>
      <w:pPr>
        <w:pStyle w:val="Point1"/>
        <w:rPr>
          <w:noProof/>
        </w:rPr>
      </w:pPr>
      <w:r>
        <w:rPr>
          <w:noProof/>
        </w:rPr>
        <w:t>а)</w:t>
      </w:r>
      <w:r>
        <w:rPr>
          <w:noProof/>
        </w:rPr>
        <w:tab/>
        <w:t>предварителното условие, посочено в член 2;</w:t>
      </w:r>
    </w:p>
    <w:p>
      <w:pPr>
        <w:pStyle w:val="Point1"/>
        <w:rPr>
          <w:noProof/>
        </w:rPr>
      </w:pPr>
      <w:r>
        <w:rPr>
          <w:noProof/>
        </w:rPr>
        <w:t>б)</w:t>
      </w:r>
      <w:r>
        <w:rPr>
          <w:noProof/>
        </w:rPr>
        <w:tab/>
        <w:t>постигането на задоволителни резултати при изпълнението на програма в областта на политиката, съдържаща строги мерки за корекции и структурни реформи, подкрепена от кредитно споразумение с МВФ като непредпазна мярка; както и</w:t>
      </w:r>
    </w:p>
    <w:p>
      <w:pPr>
        <w:pStyle w:val="Point1"/>
        <w:rPr>
          <w:noProof/>
        </w:rPr>
      </w:pPr>
      <w:r>
        <w:rPr>
          <w:noProof/>
        </w:rPr>
        <w:t>в)</w:t>
      </w:r>
      <w:r>
        <w:rPr>
          <w:noProof/>
        </w:rPr>
        <w:tab/>
        <w:t>задоволителното изпълнение на икономическата политика и на финансовите условия, договорени в Меморандума за разбирателство.</w:t>
      </w:r>
    </w:p>
    <w:p>
      <w:pPr>
        <w:pStyle w:val="Text1"/>
        <w:rPr>
          <w:noProof/>
        </w:rPr>
      </w:pPr>
      <w:r>
        <w:rPr>
          <w:noProof/>
        </w:rPr>
        <w:t xml:space="preserve">Отпускането на втория транш по принцип се извършва не по-рано от три месеца след отпускането на първия транш. </w:t>
      </w:r>
    </w:p>
    <w:p>
      <w:pPr>
        <w:pStyle w:val="ManualNumPar1"/>
        <w:rPr>
          <w:noProof/>
        </w:rPr>
      </w:pPr>
      <w:r>
        <w:t>4.</w:t>
      </w:r>
      <w:r>
        <w:tab/>
      </w:r>
      <w:r>
        <w:rPr>
          <w:noProof/>
        </w:rPr>
        <w:t xml:space="preserve">Ако Комисията прецени, че предвидените в параграф 3 условия не са изпълнени, тя временно спира или отменя изплащането на макрофинансовата помощ от Съюза. В такъв случай тя информира Европейския парламент и Съвета за причините за това спиране или тази отмяна. </w:t>
      </w:r>
    </w:p>
    <w:p>
      <w:pPr>
        <w:pStyle w:val="ManualNumPar1"/>
        <w:rPr>
          <w:noProof/>
        </w:rPr>
      </w:pPr>
      <w:r>
        <w:t>5.</w:t>
      </w:r>
      <w:r>
        <w:tab/>
      </w:r>
      <w:r>
        <w:rPr>
          <w:noProof/>
        </w:rPr>
        <w:t xml:space="preserve">Макрофинансовата помощ от Съюза се изплаща на Националната банка на Украйна. В зависимост от разпоредбите, които следва да бъдат договорени в Меморандума за разбирателство, включително потвърждение на остатъчните нужди от бюджетно финансиране, финансовите средства от Съюза могат да бъдат преведени на Министерството на финансите на Украйна като краен бенефициер. </w:t>
      </w:r>
    </w:p>
    <w:p>
      <w:pPr>
        <w:pStyle w:val="Titrearticle"/>
        <w:rPr>
          <w:noProof/>
        </w:rPr>
      </w:pPr>
      <w:r>
        <w:rPr>
          <w:noProof/>
        </w:rPr>
        <w:t>Член 5</w:t>
      </w:r>
    </w:p>
    <w:p>
      <w:pPr>
        <w:pStyle w:val="ManualNumPar1"/>
        <w:rPr>
          <w:noProof/>
        </w:rPr>
      </w:pPr>
      <w:r>
        <w:t>1.</w:t>
      </w:r>
      <w:r>
        <w:tab/>
      </w:r>
      <w:r>
        <w:rPr>
          <w:noProof/>
        </w:rPr>
        <w:t>Операциите по получаване и отпускане на заеми, свързани с макрофинансовата помощ от Съюза, се извършват в евро, с един и същ вальор и не ангажират Съюза с преобразуване на падежи, нито го излагат на валутни или лихвени рискове или на други търговски рискове.</w:t>
      </w:r>
    </w:p>
    <w:p>
      <w:pPr>
        <w:pStyle w:val="ManualNumPar1"/>
        <w:rPr>
          <w:noProof/>
        </w:rPr>
      </w:pPr>
      <w:r>
        <w:t>2.</w:t>
      </w:r>
      <w:r>
        <w:tab/>
      </w:r>
      <w:r>
        <w:rPr>
          <w:noProof/>
        </w:rPr>
        <w:t xml:space="preserve">Ако обстоятелствата го позволяват и при искане от Украйна, Комисията може да предприеме необходимите стъпки, за да гарантира, че в условията на заема ще бъде включена клауза за преждевременното му погасяване, съпроводена от съответна клауза в условията на операциите по получаване на заем. </w:t>
      </w:r>
    </w:p>
    <w:p>
      <w:pPr>
        <w:pStyle w:val="ManualNumPar1"/>
        <w:rPr>
          <w:noProof/>
        </w:rPr>
      </w:pPr>
      <w:r>
        <w:t>3.</w:t>
      </w:r>
      <w:r>
        <w:tab/>
      </w:r>
      <w:r>
        <w:rPr>
          <w:noProof/>
        </w:rPr>
        <w:t>Ако обстоятелствата позволяват подобряване на лихвения процент по заема и по искане на Украйна, Комисията може да реши да рефинансира изцяло или отчасти първоначалните си взети заеми или може да преструктурира съответните финансови условия. Операциите по рефинансиране или преструктуриране се извършват в съответствие с параграфи 1 и 4 и не могат да водят до удължаване на срока на съответните взети заеми или до увеличаване на непогасената главница към датата на рефинансиране или преструктуриране.</w:t>
      </w:r>
    </w:p>
    <w:p>
      <w:pPr>
        <w:pStyle w:val="ManualNumPar1"/>
        <w:rPr>
          <w:noProof/>
        </w:rPr>
      </w:pPr>
      <w:r>
        <w:t>4.</w:t>
      </w:r>
      <w:r>
        <w:tab/>
      </w:r>
      <w:r>
        <w:rPr>
          <w:noProof/>
        </w:rPr>
        <w:t>Всички разходи на Съюза, свързани с операциите по получаване и предоставяне на заем съгласно настоящото решение, са за сметка на Украйна.</w:t>
      </w:r>
    </w:p>
    <w:p>
      <w:pPr>
        <w:pStyle w:val="ManualNumPar1"/>
        <w:rPr>
          <w:noProof/>
        </w:rPr>
      </w:pPr>
      <w:r>
        <w:t>5.</w:t>
      </w:r>
      <w:r>
        <w:tab/>
      </w:r>
      <w:r>
        <w:rPr>
          <w:noProof/>
        </w:rPr>
        <w:t>Комисията информира Европейския парламент и Съвета за развитието на операциите, посочени в параграфи 2 и 3.</w:t>
      </w:r>
    </w:p>
    <w:p>
      <w:pPr>
        <w:pStyle w:val="Titrearticle"/>
        <w:rPr>
          <w:noProof/>
        </w:rPr>
      </w:pPr>
      <w:r>
        <w:rPr>
          <w:noProof/>
        </w:rPr>
        <w:t>Член 6</w:t>
      </w:r>
    </w:p>
    <w:p>
      <w:pPr>
        <w:pStyle w:val="ManualNumPar1"/>
        <w:rPr>
          <w:noProof/>
        </w:rPr>
      </w:pPr>
      <w:r>
        <w:t>1.</w:t>
      </w:r>
      <w:r>
        <w:tab/>
      </w:r>
      <w:r>
        <w:rPr>
          <w:noProof/>
        </w:rPr>
        <w:t>Макрофинансовата помощ от Съюза се предоставя в съответствие с Регламент (ЕС, Евратом) № 966/2012 на Европейския парламент и на Съвета</w:t>
      </w:r>
      <w:r>
        <w:rPr>
          <w:rStyle w:val="FootnoteReference"/>
          <w:noProof/>
        </w:rPr>
        <w:footnoteReference w:id="14"/>
      </w:r>
      <w:r>
        <w:rPr>
          <w:noProof/>
        </w:rPr>
        <w:t xml:space="preserve"> и </w:t>
      </w:r>
      <w:r>
        <w:rPr>
          <w:noProof/>
          <w:color w:val="000000"/>
        </w:rPr>
        <w:t>Делегиран регламент (ЕС) № 1268/2012 на Комисията</w:t>
      </w:r>
      <w:r>
        <w:rPr>
          <w:rStyle w:val="FootnoteReference"/>
          <w:noProof/>
        </w:rPr>
        <w:footnoteReference w:id="15"/>
      </w:r>
      <w:r>
        <w:rPr>
          <w:noProof/>
        </w:rPr>
        <w:t>.</w:t>
      </w:r>
    </w:p>
    <w:p>
      <w:pPr>
        <w:pStyle w:val="ManualNumPar1"/>
        <w:rPr>
          <w:noProof/>
        </w:rPr>
      </w:pPr>
      <w:r>
        <w:t>2.</w:t>
      </w:r>
      <w:r>
        <w:tab/>
      </w:r>
      <w:r>
        <w:rPr>
          <w:noProof/>
        </w:rPr>
        <w:t xml:space="preserve">Макрофинансовата помощ от Съюза се изразходва под режим пряко управление. </w:t>
      </w:r>
    </w:p>
    <w:p>
      <w:pPr>
        <w:pStyle w:val="ManualNumPar1"/>
        <w:rPr>
          <w:noProof/>
        </w:rPr>
      </w:pPr>
      <w:r>
        <w:t>3.</w:t>
      </w:r>
      <w:r>
        <w:tab/>
      </w:r>
      <w:r>
        <w:rPr>
          <w:noProof/>
        </w:rPr>
        <w:t xml:space="preserve">Споразумението за заем, посочено в член 3, параграф 3, съдържа разпоредби, с които: </w:t>
      </w:r>
    </w:p>
    <w:p>
      <w:pPr>
        <w:pStyle w:val="Point1"/>
        <w:rPr>
          <w:noProof/>
        </w:rPr>
      </w:pPr>
      <w:r>
        <w:rPr>
          <w:noProof/>
        </w:rPr>
        <w:t>а)</w:t>
      </w:r>
      <w:r>
        <w:rPr>
          <w:noProof/>
        </w:rPr>
        <w:tab/>
        <w:t>се гарантира, че Украйна извършва редовни проверки за правилното използване на финансирането от бюджета на Съюза, предприема съответните мерки за предотвратяване на нередности и измами и, ако е необходимо, предприема правни действия за събиране на средствата, предоставени съгласно настоящото решение, които са били незаконно присвоени;</w:t>
      </w:r>
    </w:p>
    <w:p>
      <w:pPr>
        <w:pStyle w:val="Point1"/>
        <w:rPr>
          <w:noProof/>
        </w:rPr>
      </w:pPr>
      <w:r>
        <w:rPr>
          <w:noProof/>
        </w:rPr>
        <w:t>б)</w:t>
      </w:r>
      <w:r>
        <w:rPr>
          <w:noProof/>
        </w:rPr>
        <w:tab/>
        <w:t>се осигурява защитата на финансовите интереси на Съюза, по-специално като се предвиждат конкретни мерки във връзка с предотвратяването и борбата с измамите, корупцията и всички други нередности, засягащи макрофинансовата помощ от Съюза, в съответствие с Регламент (ЕО, Евратом) № 2988/95 на Съвета</w:t>
      </w:r>
      <w:r>
        <w:rPr>
          <w:rStyle w:val="FootnoteReference"/>
          <w:noProof/>
        </w:rPr>
        <w:footnoteReference w:id="16"/>
      </w:r>
      <w:r>
        <w:rPr>
          <w:noProof/>
        </w:rPr>
        <w:t>, Регламент (ЕС, Евратом) № 2185/96 на Съвета</w:t>
      </w:r>
      <w:r>
        <w:rPr>
          <w:rStyle w:val="FootnoteReference"/>
          <w:noProof/>
        </w:rPr>
        <w:footnoteReference w:id="17"/>
      </w:r>
      <w:r>
        <w:rPr>
          <w:noProof/>
        </w:rPr>
        <w:t xml:space="preserve"> и Регламент (ЕС, Евратом) №</w:t>
      </w:r>
      <w:r>
        <w:rPr>
          <w:noProof/>
          <w:color w:val="000000"/>
        </w:rPr>
        <w:t>883/2013</w:t>
      </w:r>
      <w:r>
        <w:rPr>
          <w:noProof/>
        </w:rPr>
        <w:t xml:space="preserve"> на Европейския парламент и на Съвета</w:t>
      </w:r>
      <w:r>
        <w:rPr>
          <w:rStyle w:val="FootnoteReference"/>
          <w:noProof/>
        </w:rPr>
        <w:footnoteReference w:id="18"/>
      </w:r>
      <w:r>
        <w:rPr>
          <w:noProof/>
        </w:rPr>
        <w:t xml:space="preserve">; </w:t>
      </w:r>
    </w:p>
    <w:p>
      <w:pPr>
        <w:pStyle w:val="Point1"/>
        <w:rPr>
          <w:noProof/>
        </w:rPr>
      </w:pPr>
      <w:r>
        <w:rPr>
          <w:noProof/>
        </w:rPr>
        <w:t>в)</w:t>
      </w:r>
      <w:r>
        <w:rPr>
          <w:noProof/>
        </w:rPr>
        <w:tab/>
        <w:t xml:space="preserve">Комисията, включително Европейската служба за борба с измамите, или нейните представители се упълномощават изрично да провеждат проверки, включително проверки на място и инспекции; </w:t>
      </w:r>
    </w:p>
    <w:p>
      <w:pPr>
        <w:pStyle w:val="Point1"/>
        <w:rPr>
          <w:noProof/>
        </w:rPr>
      </w:pPr>
      <w:r>
        <w:rPr>
          <w:noProof/>
        </w:rPr>
        <w:t>г)</w:t>
      </w:r>
      <w:r>
        <w:rPr>
          <w:noProof/>
        </w:rPr>
        <w:tab/>
        <w:t>се упълномощават изрично Комисията и Сметната палата да извършват одити по време на срока на предоставяне на макрофинансовата помощ от Съюза и след него, включително одити на документи и одити на място, напр. оперативни оценки;</w:t>
      </w:r>
    </w:p>
    <w:p>
      <w:pPr>
        <w:pStyle w:val="Point1"/>
        <w:rPr>
          <w:noProof/>
        </w:rPr>
      </w:pPr>
      <w:r>
        <w:rPr>
          <w:noProof/>
        </w:rPr>
        <w:t>д)</w:t>
      </w:r>
      <w:r>
        <w:rPr>
          <w:noProof/>
        </w:rPr>
        <w:tab/>
        <w:t>се гарантира, че Съюзът има право на предсрочно погасяване на заема, ако бъде установено, че във връзка с управлението на макрофинансовата помощ от Съюза Украйна е участвала в измама или корупция или друга незаконна дейност, която е в ущърб на финансовите интереси на Съюза.</w:t>
      </w:r>
    </w:p>
    <w:p>
      <w:pPr>
        <w:pStyle w:val="ManualNumPar1"/>
        <w:rPr>
          <w:noProof/>
        </w:rPr>
      </w:pPr>
      <w:r>
        <w:t>4.</w:t>
      </w:r>
      <w:r>
        <w:tab/>
      </w:r>
      <w:r>
        <w:rPr>
          <w:noProof/>
        </w:rPr>
        <w:t>Преди привеждането в действие на макрофинансовата помощ от Съюза Комисията преценява в рамките на оперативна оценка надеждността на финансовата уредба на Украйна, административните процедури и механизмите за вътрешен и външен контрол, които са от значение за помощта.</w:t>
      </w:r>
    </w:p>
    <w:p>
      <w:pPr>
        <w:pStyle w:val="Titrearticle"/>
        <w:rPr>
          <w:noProof/>
        </w:rPr>
      </w:pPr>
      <w:r>
        <w:rPr>
          <w:noProof/>
        </w:rPr>
        <w:t>Член 7</w:t>
      </w:r>
    </w:p>
    <w:p>
      <w:pPr>
        <w:pStyle w:val="ManualNumPar1"/>
        <w:rPr>
          <w:noProof/>
        </w:rPr>
      </w:pPr>
      <w:r>
        <w:t>1.</w:t>
      </w:r>
      <w:r>
        <w:tab/>
      </w:r>
      <w:r>
        <w:rPr>
          <w:noProof/>
        </w:rPr>
        <w:t>Комисията се подпомага от комитет. Последният е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Titrearticle"/>
        <w:rPr>
          <w:noProof/>
        </w:rPr>
      </w:pPr>
      <w:r>
        <w:rPr>
          <w:noProof/>
        </w:rPr>
        <w:t>Член 8</w:t>
      </w:r>
    </w:p>
    <w:p>
      <w:pPr>
        <w:pStyle w:val="ManualNumPar1"/>
        <w:rPr>
          <w:noProof/>
        </w:rPr>
      </w:pPr>
      <w:r>
        <w:t>1.</w:t>
      </w:r>
      <w:r>
        <w:tab/>
      </w:r>
      <w:r>
        <w:rPr>
          <w:noProof/>
        </w:rPr>
        <w:t>До 30 юни всяка година Комисията представя на Европейския парламент и на Съвета доклад относно изпълнението на настоящото решение през предходната година, включващ оценка на изпълнението. В този доклад:</w:t>
      </w:r>
    </w:p>
    <w:p>
      <w:pPr>
        <w:pStyle w:val="Point1"/>
        <w:rPr>
          <w:noProof/>
        </w:rPr>
      </w:pPr>
      <w:r>
        <w:rPr>
          <w:noProof/>
        </w:rPr>
        <w:t>а)</w:t>
      </w:r>
      <w:r>
        <w:rPr>
          <w:noProof/>
        </w:rPr>
        <w:tab/>
        <w:t>се разглежда напредъкът при усвояването на макрофинансовата помощ от Съюза;</w:t>
      </w:r>
    </w:p>
    <w:p>
      <w:pPr>
        <w:pStyle w:val="Point1"/>
        <w:rPr>
          <w:noProof/>
        </w:rPr>
      </w:pPr>
      <w:r>
        <w:rPr>
          <w:noProof/>
        </w:rPr>
        <w:t>б)</w:t>
      </w:r>
      <w:r>
        <w:rPr>
          <w:noProof/>
        </w:rPr>
        <w:tab/>
        <w:t>се прави оценка на икономическото състояние и на перспективите пред Украйна, както и на напредъка при изпълнението на мерките на политиката, посочени в член 3, параграф 1;</w:t>
      </w:r>
    </w:p>
    <w:p>
      <w:pPr>
        <w:pStyle w:val="Point1"/>
        <w:rPr>
          <w:noProof/>
        </w:rPr>
      </w:pPr>
      <w:r>
        <w:rPr>
          <w:noProof/>
        </w:rPr>
        <w:t>в)</w:t>
      </w:r>
      <w:r>
        <w:rPr>
          <w:noProof/>
        </w:rPr>
        <w:tab/>
        <w:t>се посочва връзката между условията на икономическата политика, определени в Меморандума за разбирателство, текущите икономически и бюджетни показатели на Украйна и решенията на Комисията за изплащане на траншовете по макрофинансовата помощ от Съюза.</w:t>
      </w:r>
    </w:p>
    <w:p>
      <w:pPr>
        <w:pStyle w:val="ManualNumPar1"/>
        <w:rPr>
          <w:noProof/>
        </w:rPr>
      </w:pPr>
      <w:r>
        <w:t>2.</w:t>
      </w:r>
      <w:r>
        <w:tab/>
      </w:r>
      <w:r>
        <w:rPr>
          <w:noProof/>
        </w:rPr>
        <w:t>Не по-късно от две години след изтичането на срока за предоставяне на помощта, посочен в член 1, параграф 4, Комисията представя на Европейския парламент и на Съвета доклад за последваща оценка на резултатите и ефикасността на предоставената макрофинансова помощ от Съюза и на степента, до която тя е допринесла за постигане на целите на помощта.</w:t>
      </w:r>
    </w:p>
    <w:p>
      <w:pPr>
        <w:pStyle w:val="Titrearticle"/>
        <w:rPr>
          <w:noProof/>
        </w:rPr>
      </w:pPr>
      <w:r>
        <w:rPr>
          <w:noProof/>
        </w:rPr>
        <w:t>Член 9</w:t>
      </w:r>
    </w:p>
    <w:p>
      <w:pPr>
        <w:rPr>
          <w:noProof/>
        </w:rPr>
      </w:pPr>
      <w:r>
        <w:rPr>
          <w:noProof/>
        </w:rPr>
        <w:t xml:space="preserve">Настоящото решение влиза в сила на третия ден след деня на публикуването му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r>
      <w:r>
        <w:rPr>
          <w:noProof/>
        </w:rPr>
        <w:tab/>
      </w:r>
      <w:r>
        <w:rPr>
          <w:noProof/>
        </w:rPr>
        <w:tab/>
        <w:t>За Съвета</w:t>
      </w:r>
    </w:p>
    <w:p>
      <w:pPr>
        <w:pStyle w:val="Personnequisigne"/>
        <w:rPr>
          <w:noProof/>
        </w:rPr>
      </w:pPr>
      <w:r>
        <w:rPr>
          <w:noProof/>
        </w:rPr>
        <w:t>Председател</w:t>
      </w:r>
      <w:r>
        <w:rPr>
          <w:noProof/>
        </w:rPr>
        <w:tab/>
      </w:r>
      <w:r>
        <w:rPr>
          <w:noProof/>
        </w:rPr>
        <w:tab/>
      </w:r>
      <w:r>
        <w:rPr>
          <w:noProof/>
        </w:rPr>
        <w:tab/>
        <w:t>Председател</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ЗАКОНОДАТЕЛНА ФИНАНСОВА ОБОСНОВКА</w:t>
      </w:r>
    </w:p>
    <w:p>
      <w:pPr>
        <w:keepNext/>
        <w:tabs>
          <w:tab w:val="left" w:pos="850"/>
        </w:tabs>
        <w:spacing w:before="360"/>
        <w:ind w:left="850" w:hanging="850"/>
        <w:outlineLvl w:val="0"/>
        <w:rPr>
          <w:b/>
          <w:smallCaps/>
          <w:noProof/>
          <w:szCs w:val="20"/>
        </w:rPr>
      </w:pPr>
      <w:r>
        <w:rPr>
          <w:b/>
          <w:smallCaps/>
          <w:noProof/>
        </w:rPr>
        <w:t>1.</w:t>
      </w:r>
      <w:r>
        <w:rPr>
          <w:noProof/>
        </w:rPr>
        <w:tab/>
      </w:r>
      <w:r>
        <w:rPr>
          <w:b/>
          <w:smallCaps/>
          <w:noProof/>
        </w:rPr>
        <w:t xml:space="preserve">РАМКА НА ПРЕДЛОЖЕНИЕТО/ИНИЦИАТИВАТА </w:t>
      </w:r>
    </w:p>
    <w:p>
      <w:pPr>
        <w:keepNext/>
        <w:tabs>
          <w:tab w:val="left" w:pos="850"/>
        </w:tabs>
        <w:ind w:left="850" w:hanging="850"/>
        <w:outlineLvl w:val="1"/>
        <w:rPr>
          <w:b/>
          <w:noProof/>
          <w:szCs w:val="20"/>
        </w:rPr>
      </w:pPr>
      <w:r>
        <w:rPr>
          <w:b/>
          <w:noProof/>
        </w:rPr>
        <w:t>1.1.</w:t>
      </w:r>
      <w:r>
        <w:rPr>
          <w:noProof/>
        </w:rPr>
        <w:tab/>
      </w:r>
      <w:r>
        <w:rPr>
          <w:b/>
          <w:noProof/>
        </w:rPr>
        <w:t xml:space="preserve">Наименование на предложението/инициативата </w:t>
      </w:r>
    </w:p>
    <w:p>
      <w:pPr>
        <w:ind w:left="850"/>
        <w:rPr>
          <w:noProof/>
          <w:szCs w:val="20"/>
        </w:rPr>
      </w:pPr>
      <w:r>
        <w:rPr>
          <w:noProof/>
        </w:rPr>
        <w:t>Макрофинансова помощ за Украйна</w:t>
      </w:r>
    </w:p>
    <w:p>
      <w:pPr>
        <w:keepNext/>
        <w:tabs>
          <w:tab w:val="left" w:pos="850"/>
        </w:tabs>
        <w:ind w:left="850" w:hanging="850"/>
        <w:outlineLvl w:val="1"/>
        <w:rPr>
          <w:b/>
          <w:noProof/>
          <w:szCs w:val="20"/>
        </w:rPr>
      </w:pPr>
      <w:r>
        <w:rPr>
          <w:b/>
          <w:noProof/>
        </w:rPr>
        <w:t>1.2.</w:t>
      </w:r>
      <w:r>
        <w:rPr>
          <w:noProof/>
        </w:rPr>
        <w:tab/>
      </w:r>
      <w:r>
        <w:rPr>
          <w:b/>
          <w:noProof/>
        </w:rPr>
        <w:t>Съответни области на политиката в структурата на УД/БД</w:t>
      </w:r>
      <w:r>
        <w:rPr>
          <w:rStyle w:val="FootnoteReference"/>
          <w:b/>
          <w:noProof/>
        </w:rPr>
        <w:footnoteReference w:id="19"/>
      </w:r>
      <w:r>
        <w:rPr>
          <w:b/>
          <w:noProof/>
        </w:rPr>
        <w:t xml:space="preserve"> </w:t>
      </w:r>
    </w:p>
    <w:p>
      <w:pPr>
        <w:ind w:left="850"/>
        <w:rPr>
          <w:noProof/>
          <w:szCs w:val="20"/>
        </w:rPr>
      </w:pPr>
      <w:r>
        <w:rPr>
          <w:noProof/>
        </w:rPr>
        <w:t>Област на политиката:</w:t>
      </w:r>
      <w:r>
        <w:rPr>
          <w:noProof/>
        </w:rPr>
        <w:tab/>
        <w:t>Дял 01 — Икономически и финансови въпроси</w:t>
      </w:r>
    </w:p>
    <w:p>
      <w:pPr>
        <w:ind w:left="850"/>
        <w:rPr>
          <w:noProof/>
          <w:szCs w:val="20"/>
        </w:rPr>
      </w:pPr>
      <w:r>
        <w:rPr>
          <w:noProof/>
        </w:rPr>
        <w:t>Дейност:</w:t>
      </w:r>
      <w:r>
        <w:rPr>
          <w:noProof/>
        </w:rPr>
        <w:tab/>
        <w:t>03 – Международни икономически и финансови въпроси</w:t>
      </w:r>
    </w:p>
    <w:p>
      <w:pPr>
        <w:keepNext/>
        <w:tabs>
          <w:tab w:val="left" w:pos="850"/>
        </w:tabs>
        <w:ind w:left="850" w:hanging="850"/>
        <w:outlineLvl w:val="1"/>
        <w:rPr>
          <w:b/>
          <w:noProof/>
          <w:szCs w:val="20"/>
        </w:rPr>
      </w:pPr>
      <w:r>
        <w:rPr>
          <w:b/>
          <w:noProof/>
        </w:rPr>
        <w:t>1.3.</w:t>
      </w:r>
      <w:r>
        <w:rPr>
          <w:noProof/>
        </w:rPr>
        <w:tab/>
      </w:r>
      <w:r>
        <w:rPr>
          <w:b/>
          <w:noProof/>
        </w:rPr>
        <w:t xml:space="preserve">Естество на предложението/инициативата </w:t>
      </w:r>
    </w:p>
    <w:p>
      <w:pPr>
        <w:ind w:left="850"/>
        <w:rPr>
          <w:b/>
          <w:noProof/>
          <w:szCs w:val="20"/>
        </w:rPr>
      </w:pPr>
      <w:r>
        <w:rPr>
          <w:noProof/>
        </w:rPr>
        <w:t xml:space="preserve">X </w:t>
      </w:r>
      <w:r>
        <w:rPr>
          <w:noProof/>
          <w:sz w:val="22"/>
        </w:rPr>
        <w:t xml:space="preserve">Предложението/инициативата е във връзка с </w:t>
      </w:r>
      <w:r>
        <w:rPr>
          <w:b/>
          <w:noProof/>
          <w:sz w:val="22"/>
        </w:rPr>
        <w:t>нова дейност</w:t>
      </w:r>
      <w:r>
        <w:rPr>
          <w:b/>
          <w:noProof/>
        </w:rPr>
        <w:t xml:space="preserve"> </w:t>
      </w:r>
    </w:p>
    <w:p>
      <w:pPr>
        <w:keepNext/>
        <w:tabs>
          <w:tab w:val="left" w:pos="850"/>
        </w:tabs>
        <w:ind w:left="850" w:hanging="850"/>
        <w:outlineLvl w:val="1"/>
        <w:rPr>
          <w:b/>
          <w:noProof/>
          <w:szCs w:val="20"/>
        </w:rPr>
      </w:pPr>
      <w:r>
        <w:rPr>
          <w:b/>
          <w:noProof/>
        </w:rPr>
        <w:t>1.4.</w:t>
      </w:r>
      <w:r>
        <w:rPr>
          <w:noProof/>
        </w:rPr>
        <w:tab/>
      </w:r>
      <w:r>
        <w:rPr>
          <w:b/>
          <w:noProof/>
        </w:rPr>
        <w:t>Цели</w:t>
      </w:r>
    </w:p>
    <w:p>
      <w:pPr>
        <w:keepNext/>
        <w:tabs>
          <w:tab w:val="left" w:pos="850"/>
        </w:tabs>
        <w:ind w:left="850" w:hanging="850"/>
        <w:outlineLvl w:val="2"/>
        <w:rPr>
          <w:i/>
          <w:noProof/>
          <w:szCs w:val="20"/>
        </w:rPr>
      </w:pPr>
      <w:r>
        <w:rPr>
          <w:i/>
          <w:noProof/>
        </w:rPr>
        <w:t>1.4.1.</w:t>
      </w:r>
      <w:r>
        <w:rPr>
          <w:noProof/>
        </w:rPr>
        <w:tab/>
      </w:r>
      <w:r>
        <w:rPr>
          <w:i/>
          <w:noProof/>
        </w:rPr>
        <w:t xml:space="preserve">Многогодишни стратегически цели на Комисията, за чието изпълнение е предназначено предложението/инициативата </w:t>
      </w:r>
    </w:p>
    <w:p>
      <w:pPr>
        <w:pStyle w:val="Text1"/>
        <w:rPr>
          <w:noProof/>
        </w:rPr>
      </w:pPr>
      <w:r>
        <w:rPr>
          <w:noProof/>
        </w:rPr>
        <w:t>„Нови стимули за работните места, растежа и инвестициите: насърчаване на просперитета извън границите на ЕС“</w:t>
      </w:r>
    </w:p>
    <w:p>
      <w:pPr>
        <w:pStyle w:val="Text1"/>
        <w:rPr>
          <w:noProof/>
        </w:rPr>
      </w:pPr>
      <w:r>
        <w:rPr>
          <w:noProof/>
        </w:rPr>
        <w:t xml:space="preserve">Дейностите в компетентността на ГД „Икономически и финансови въпроси“ включват: </w:t>
      </w:r>
    </w:p>
    <w:p>
      <w:pPr>
        <w:pStyle w:val="Point1"/>
        <w:rPr>
          <w:noProof/>
        </w:rPr>
      </w:pPr>
      <w:bookmarkStart w:id="1" w:name="DQPStarAt1DQPStarAt351C4F57ADBE4CD1A629F"/>
      <w:r>
        <w:rPr>
          <w:noProof/>
        </w:rPr>
        <w:t>а)</w:t>
      </w:r>
      <w:r>
        <w:rPr>
          <w:noProof/>
        </w:rPr>
        <w:tab/>
        <w:t xml:space="preserve">подпомагане на макрофинансовата стабилност и насърчаване на стимулиращи растежа реформи извън ЕС, включително чрез редовни икономически диалози с ключови партньори, както и чрез предоставяне на макрофинансова помощ; както и </w:t>
      </w:r>
    </w:p>
    <w:bookmarkEnd w:id="1"/>
    <w:p>
      <w:pPr>
        <w:pStyle w:val="Point1"/>
        <w:rPr>
          <w:noProof/>
        </w:rPr>
      </w:pPr>
      <w:r>
        <w:rPr>
          <w:noProof/>
        </w:rPr>
        <w:t>б)</w:t>
      </w:r>
      <w:r>
        <w:rPr>
          <w:noProof/>
        </w:rPr>
        <w:tab/>
        <w:t xml:space="preserve">подпомагане на процеса на разширяване, прилагането на европейската политика за съседство и приоритетите на ЕС в други трети държави чрез провеждането на икономически анализ и предоставяне на оценки и съвети в областта на политиката. </w:t>
      </w:r>
    </w:p>
    <w:p>
      <w:pPr>
        <w:keepNext/>
        <w:tabs>
          <w:tab w:val="left" w:pos="850"/>
        </w:tabs>
        <w:ind w:left="850" w:hanging="850"/>
        <w:outlineLvl w:val="2"/>
        <w:rPr>
          <w:i/>
          <w:noProof/>
          <w:szCs w:val="20"/>
        </w:rPr>
      </w:pPr>
      <w:r>
        <w:rPr>
          <w:i/>
          <w:noProof/>
        </w:rPr>
        <w:t>1.4.2.</w:t>
      </w:r>
      <w:r>
        <w:rPr>
          <w:noProof/>
        </w:rPr>
        <w:tab/>
      </w:r>
      <w:r>
        <w:rPr>
          <w:i/>
          <w:noProof/>
        </w:rPr>
        <w:t xml:space="preserve">Конкретни цели и съответни дейности във връзка с УД/БД </w:t>
      </w:r>
    </w:p>
    <w:p>
      <w:pPr>
        <w:ind w:left="850"/>
        <w:rPr>
          <w:noProof/>
          <w:szCs w:val="20"/>
        </w:rPr>
      </w:pPr>
      <w:r>
        <w:rPr>
          <w:noProof/>
          <w:u w:val="single"/>
        </w:rPr>
        <w:t>Специфична цел:</w:t>
      </w:r>
      <w:r>
        <w:rPr>
          <w:noProof/>
        </w:rPr>
        <w:t xml:space="preserve"> „Насърчаване на просперитета извън границите на ЕС“</w:t>
      </w:r>
    </w:p>
    <w:p>
      <w:pPr>
        <w:ind w:left="850"/>
        <w:rPr>
          <w:noProof/>
          <w:szCs w:val="20"/>
        </w:rPr>
      </w:pPr>
      <w:r>
        <w:rPr>
          <w:noProof/>
          <w:u w:val="single"/>
        </w:rPr>
        <w:t>Съответни дейности във връзка с УД/БД:</w:t>
      </w:r>
      <w:r>
        <w:rPr>
          <w:noProof/>
        </w:rPr>
        <w:t xml:space="preserve"> Международни икономически и финансови въпроси</w:t>
      </w:r>
    </w:p>
    <w:p>
      <w:pPr>
        <w:keepNext/>
        <w:tabs>
          <w:tab w:val="left" w:pos="850"/>
        </w:tabs>
        <w:ind w:left="850" w:hanging="850"/>
        <w:outlineLvl w:val="2"/>
        <w:rPr>
          <w:i/>
          <w:noProof/>
          <w:szCs w:val="20"/>
        </w:rPr>
      </w:pPr>
      <w:r>
        <w:rPr>
          <w:i/>
          <w:noProof/>
        </w:rPr>
        <w:t>1.4.3.</w:t>
      </w:r>
      <w:r>
        <w:rPr>
          <w:noProof/>
        </w:rPr>
        <w:tab/>
      </w:r>
      <w:r>
        <w:rPr>
          <w:i/>
          <w:noProof/>
        </w:rPr>
        <w:t>Очаквани резултати и отражение</w:t>
      </w:r>
    </w:p>
    <w:p>
      <w:pPr>
        <w:ind w:left="850"/>
        <w:rPr>
          <w:noProof/>
          <w:szCs w:val="20"/>
        </w:rPr>
      </w:pPr>
      <w:r>
        <w:rPr>
          <w:noProof/>
        </w:rPr>
        <w:t xml:space="preserve">Предложената помощ включва заем от ЕС в размер на максимум 1 милиард евро за Украйна, чиято цел е да допринесе за повишаване на устойчивостта на платежния баланс. Помощта, която ще бъде изплатена на два транша, следва да помогне на страната да преодолее тежката икономическа ситуация и тежкото състояние на платежния си баланс. Чрез нея също така ще се насърчават структурните реформи, насочени към увеличаване на устойчивия икономически растеж и подобряване на управлението на публичните финанси. </w:t>
      </w:r>
    </w:p>
    <w:p>
      <w:pPr>
        <w:keepNext/>
        <w:tabs>
          <w:tab w:val="left" w:pos="850"/>
        </w:tabs>
        <w:ind w:left="850" w:hanging="850"/>
        <w:outlineLvl w:val="2"/>
        <w:rPr>
          <w:i/>
          <w:noProof/>
          <w:szCs w:val="20"/>
        </w:rPr>
      </w:pPr>
      <w:r>
        <w:rPr>
          <w:i/>
          <w:noProof/>
        </w:rPr>
        <w:t>1.4.4.</w:t>
      </w:r>
      <w:r>
        <w:rPr>
          <w:noProof/>
        </w:rPr>
        <w:tab/>
      </w:r>
      <w:r>
        <w:rPr>
          <w:i/>
          <w:noProof/>
        </w:rPr>
        <w:t xml:space="preserve">Показатели за резултатите и за отражението </w:t>
      </w:r>
    </w:p>
    <w:p>
      <w:pPr>
        <w:ind w:left="850"/>
        <w:rPr>
          <w:noProof/>
          <w:szCs w:val="20"/>
        </w:rPr>
      </w:pPr>
      <w:r>
        <w:rPr>
          <w:noProof/>
        </w:rPr>
        <w:t xml:space="preserve">Органите ще са задължени редовно да докладват по набор от показатели пред службите на Комисията и да предоставят подробен отчет за спазването на договорените условия на политиката преди изплащането на траншовете от помощта. </w:t>
      </w:r>
    </w:p>
    <w:p>
      <w:pPr>
        <w:ind w:left="850"/>
        <w:rPr>
          <w:noProof/>
          <w:szCs w:val="20"/>
        </w:rPr>
      </w:pPr>
      <w:r>
        <w:rPr>
          <w:noProof/>
        </w:rPr>
        <w:t xml:space="preserve">Службите на Комисията ще продължат да следят управлението на публичните финанси след оперативната оценка на финансовите потоци и административните процедури, която се планира да бъде извършена в Украйна през второто тримесечие на 2018 г. Делегацията на ЕС в Украйна също ще предоставя редовни доклади по проблеми, свързани с мониторинга на помощта. Службите на Комисията ще продължат да поддържат тесни връзки с МВФ и Световната банка, за да се възползват от техния опит, натрупан в рамките на текущата им дейност в Украйна. </w:t>
      </w:r>
    </w:p>
    <w:p>
      <w:pPr>
        <w:ind w:left="850"/>
        <w:rPr>
          <w:noProof/>
          <w:szCs w:val="20"/>
        </w:rPr>
      </w:pPr>
      <w:r>
        <w:rPr>
          <w:noProof/>
        </w:rPr>
        <w:t>В предложеното законодателно решение се предвижда да бъде изготвян годишен доклад до Европейския парламент и Съвета, който да включва оценка на изпълнението на тази операция. Планира се извършването на независима последваща оценка на помощта в срок от две години след края на периода за изпълнение.</w:t>
      </w:r>
    </w:p>
    <w:p>
      <w:pPr>
        <w:keepNext/>
        <w:tabs>
          <w:tab w:val="left" w:pos="850"/>
        </w:tabs>
        <w:ind w:left="850" w:hanging="850"/>
        <w:outlineLvl w:val="1"/>
        <w:rPr>
          <w:b/>
          <w:noProof/>
          <w:szCs w:val="20"/>
        </w:rPr>
      </w:pPr>
      <w:r>
        <w:rPr>
          <w:b/>
          <w:noProof/>
        </w:rPr>
        <w:t>1.5.</w:t>
      </w:r>
      <w:r>
        <w:rPr>
          <w:noProof/>
        </w:rPr>
        <w:tab/>
      </w:r>
      <w:r>
        <w:rPr>
          <w:b/>
          <w:noProof/>
        </w:rPr>
        <w:t xml:space="preserve">Мотиви за предложението/инициативата </w:t>
      </w:r>
    </w:p>
    <w:p>
      <w:pPr>
        <w:keepNext/>
        <w:tabs>
          <w:tab w:val="left" w:pos="850"/>
        </w:tabs>
        <w:ind w:left="850" w:hanging="850"/>
        <w:outlineLvl w:val="2"/>
        <w:rPr>
          <w:i/>
          <w:noProof/>
          <w:szCs w:val="20"/>
        </w:rPr>
      </w:pPr>
      <w:r>
        <w:rPr>
          <w:i/>
          <w:noProof/>
        </w:rPr>
        <w:t>1.5.1.</w:t>
      </w:r>
      <w:r>
        <w:rPr>
          <w:noProof/>
        </w:rPr>
        <w:tab/>
      </w:r>
      <w:r>
        <w:rPr>
          <w:i/>
          <w:noProof/>
        </w:rPr>
        <w:t xml:space="preserve">Изисквания, които трябва да бъдат изпълнени в краткосрочен или дългосрочен план </w:t>
      </w:r>
    </w:p>
    <w:p>
      <w:pPr>
        <w:ind w:left="850"/>
        <w:rPr>
          <w:noProof/>
          <w:szCs w:val="20"/>
        </w:rPr>
      </w:pPr>
      <w:r>
        <w:rPr>
          <w:noProof/>
        </w:rPr>
        <w:t>Изплащането на помощта ще зависи от изпълнението на предварителното политическо условие и от постигането на задоволителни резултати при изпълнението на финансово споразумение между Украйна и МВФ. Освен това Комисията и украинските органи ще договорят съвместно конкретни условия на политиката, които ще бъдат включени в Меморандума за разбирателство.</w:t>
      </w:r>
    </w:p>
    <w:p>
      <w:pPr>
        <w:keepNext/>
        <w:tabs>
          <w:tab w:val="left" w:pos="850"/>
        </w:tabs>
        <w:ind w:left="850" w:hanging="850"/>
        <w:outlineLvl w:val="2"/>
        <w:rPr>
          <w:i/>
          <w:noProof/>
          <w:szCs w:val="20"/>
        </w:rPr>
      </w:pPr>
      <w:r>
        <w:rPr>
          <w:i/>
          <w:noProof/>
        </w:rPr>
        <w:t>1.5.2.</w:t>
      </w:r>
      <w:r>
        <w:rPr>
          <w:noProof/>
        </w:rPr>
        <w:tab/>
      </w:r>
      <w:r>
        <w:rPr>
          <w:i/>
          <w:noProof/>
        </w:rPr>
        <w:t>Добавена стойност от намесата на ЕС</w:t>
      </w:r>
    </w:p>
    <w:p>
      <w:pPr>
        <w:ind w:left="850"/>
        <w:rPr>
          <w:noProof/>
          <w:szCs w:val="20"/>
          <w:highlight w:val="yellow"/>
        </w:rPr>
      </w:pPr>
      <w:r>
        <w:rPr>
          <w:noProof/>
        </w:rPr>
        <w:t xml:space="preserve">Като подпомогне Украйна в изграждането на нейната външна икономическа устойчивост, предложената МФП ще допринесе за насърчаване на макроикономическата стабилност и икономическите реформи в страната. Като допълва средствата, осигурени от други инструменти на ЕС, международните финансови институции и други донори, помощта ще повиши цялостната ефективност на пакета от мерки за финансова подкрепа, одобрен от международната донорска общност след кризата. </w:t>
      </w:r>
    </w:p>
    <w:p>
      <w:pPr>
        <w:ind w:left="850"/>
        <w:rPr>
          <w:noProof/>
          <w:szCs w:val="20"/>
        </w:rPr>
      </w:pPr>
      <w:r>
        <w:rPr>
          <w:noProof/>
        </w:rPr>
        <w:t xml:space="preserve">Предлаганата програма ще допринесе също за утвърждаването на ангажимента на правителството за провеждане на реформи. Този резултат ще бъде постигнат, </w:t>
      </w:r>
      <w:r>
        <w:rPr>
          <w:i/>
          <w:noProof/>
        </w:rPr>
        <w:t>inter alia,</w:t>
      </w:r>
      <w:r>
        <w:rPr>
          <w:noProof/>
        </w:rPr>
        <w:t xml:space="preserve"> чрез съответните условия за изплащането на помощта. В по-широк контекст програмата ще покаже на другите държави в региона, че ЕС е готов да подкрепя държави, започващи уверено провеждането на реформи във времена на икономически трудности.</w:t>
      </w:r>
    </w:p>
    <w:p>
      <w:pPr>
        <w:keepNext/>
        <w:tabs>
          <w:tab w:val="left" w:pos="850"/>
        </w:tabs>
        <w:ind w:left="850" w:hanging="850"/>
        <w:outlineLvl w:val="2"/>
        <w:rPr>
          <w:i/>
          <w:noProof/>
          <w:szCs w:val="20"/>
        </w:rPr>
      </w:pPr>
      <w:r>
        <w:rPr>
          <w:i/>
          <w:noProof/>
        </w:rPr>
        <w:t>1.5.3.</w:t>
      </w:r>
      <w:r>
        <w:rPr>
          <w:noProof/>
        </w:rPr>
        <w:tab/>
      </w:r>
      <w:r>
        <w:rPr>
          <w:i/>
          <w:noProof/>
        </w:rPr>
        <w:t>Поуки от подобен опит в миналото</w:t>
      </w:r>
    </w:p>
    <w:p>
      <w:pPr>
        <w:ind w:left="850"/>
        <w:rPr>
          <w:noProof/>
        </w:rPr>
      </w:pPr>
      <w:r>
        <w:rPr>
          <w:noProof/>
        </w:rPr>
        <w:t xml:space="preserve">От 2004 г. насам са извършени петнадесет последващи оценки на операции за макрофинансова помощ. Изводът от тези оценки е, че операциите за предоставяне на МФП действително допринасят, макар и понякога в слаба степен и непряко, за подобряване на външната устойчивост, макроикономическата стабилност и осъществяването на структурни реформи в държавата получател. В повечето случаи операциите за предоставяне на МФП са имали положителен ефект върху платежния баланс на държавата получател и са помогнали за облекчаване на нейните бюджетни ограничения. Те са довели и до леко повишение на икономическия растеж. </w:t>
      </w:r>
    </w:p>
    <w:p>
      <w:pPr>
        <w:ind w:left="850"/>
        <w:rPr>
          <w:noProof/>
        </w:rPr>
      </w:pPr>
      <w:r>
        <w:rPr>
          <w:noProof/>
        </w:rPr>
        <w:t>През 2017 г. бе извършена независима оценка на добавената стойност, въздействието, планирането и изпълнението на две предходни операции за МФП в Украйна (МФП I и МФП II за обща сума в размер на 1,61 милиарда евро, отпуснати през периода 2014—2015 г.), в която бе установено, че те са били актуални, ефективни и ефикасно осъществени. Според основните заключения от оценката МФП е оказала положително въздействие върху икономиката на Украйна, отчасти поради бързината на разгръщането ѝ, като е допринесла за стабилизиране на финансовото положение и благодарение на нея са избегнати мерки, които щяха да имат сериозни отрицателни социални въздействия (например допълнителни съкращения на разходите в публичния сектор). Тя също така е допринесла за усилията за реформа в страната.</w:t>
      </w:r>
    </w:p>
    <w:p>
      <w:pPr>
        <w:keepNext/>
        <w:tabs>
          <w:tab w:val="left" w:pos="851"/>
        </w:tabs>
        <w:ind w:left="850" w:hanging="850"/>
        <w:outlineLvl w:val="2"/>
        <w:rPr>
          <w:i/>
          <w:noProof/>
          <w:szCs w:val="20"/>
        </w:rPr>
      </w:pPr>
      <w:r>
        <w:rPr>
          <w:i/>
          <w:noProof/>
        </w:rPr>
        <w:t>1.5.4.</w:t>
      </w:r>
      <w:r>
        <w:rPr>
          <w:noProof/>
        </w:rPr>
        <w:tab/>
      </w:r>
      <w:r>
        <w:rPr>
          <w:i/>
          <w:noProof/>
        </w:rPr>
        <w:t>Съгласуваност и евентуални взаимодействия с други подходящи инструменти</w:t>
      </w:r>
    </w:p>
    <w:p>
      <w:pPr>
        <w:ind w:left="850"/>
        <w:rPr>
          <w:noProof/>
          <w:szCs w:val="20"/>
          <w:highlight w:val="yellow"/>
        </w:rPr>
      </w:pPr>
      <w:r>
        <w:rPr>
          <w:noProof/>
        </w:rPr>
        <w:t>ЕС е сред най-големите донори на Украйна, като подпомага нейните икономически, структурни и институционални реформи, както и гражданското общество. Целта е да се запази сегашното равнище на подкрепа в размер до 200 милиона евро годишно под формата на безвъзмездни средства за периода 2018—2020 г., при условие че страната продължи да постига напредък в реформите. Освен подкрепа за икономически и правителствени реформи, помощта от ЕС ще има за цел да осигури по-добър достъп до образование, работни места и здравеопазване за украинските граждани, особено за най-уязвимите лица, включително засегнатите от конфликта в източната част на страната.</w:t>
      </w:r>
    </w:p>
    <w:p>
      <w:pPr>
        <w:ind w:left="850"/>
        <w:rPr>
          <w:noProof/>
          <w:szCs w:val="20"/>
        </w:rPr>
      </w:pPr>
      <w:r>
        <w:rPr>
          <w:noProof/>
        </w:rPr>
        <w:t xml:space="preserve">В сравнение с други инструменти на ЕС основната добавена стойност от МФП ще бъде приносът ѝ за създаването на стабилна макроикономическа рамка, включително чрез насърчаване на стабилността на платежния баланс и бюджетната ситуация, както и на целесъобразна рамка за постигане на напредък в структурните реформи. МФП не предоставя редовна финансова подкрепа. Тя трябва да бъде незабавно преустановена, когато състоянието на външните финанси на страната бъде отново стабилизирано. </w:t>
      </w:r>
    </w:p>
    <w:p>
      <w:pPr>
        <w:ind w:left="850"/>
        <w:rPr>
          <w:noProof/>
          <w:szCs w:val="20"/>
        </w:rPr>
      </w:pPr>
      <w:r>
        <w:rPr>
          <w:noProof/>
        </w:rPr>
        <w:t>МФП също ще допълва действията на международните финансови институции, по-специално програмите за корекции и реформи, подкрепени от МВФ и Световната банка.</w:t>
      </w:r>
    </w:p>
    <w:p>
      <w:pPr>
        <w:keepNext/>
        <w:tabs>
          <w:tab w:val="left" w:pos="850"/>
        </w:tabs>
        <w:ind w:left="850" w:hanging="850"/>
        <w:outlineLvl w:val="1"/>
        <w:rPr>
          <w:b/>
          <w:noProof/>
          <w:szCs w:val="20"/>
        </w:rPr>
      </w:pPr>
      <w:r>
        <w:rPr>
          <w:b/>
          <w:noProof/>
        </w:rPr>
        <w:t>1.6.</w:t>
      </w:r>
      <w:r>
        <w:rPr>
          <w:noProof/>
        </w:rPr>
        <w:tab/>
      </w:r>
      <w:r>
        <w:rPr>
          <w:b/>
          <w:noProof/>
        </w:rPr>
        <w:t xml:space="preserve">Срок на действие и финансово отражение </w:t>
      </w:r>
    </w:p>
    <w:p>
      <w:pPr>
        <w:ind w:left="850"/>
        <w:rPr>
          <w:noProof/>
          <w:szCs w:val="20"/>
        </w:rPr>
      </w:pPr>
      <w:r>
        <w:rPr>
          <w:noProof/>
        </w:rPr>
        <w:t xml:space="preserve">X Предложение/инициатива с </w:t>
      </w:r>
      <w:r>
        <w:rPr>
          <w:b/>
          <w:noProof/>
        </w:rPr>
        <w:t xml:space="preserve">ограничен срок на действие </w:t>
      </w:r>
    </w:p>
    <w:p>
      <w:pPr>
        <w:tabs>
          <w:tab w:val="num" w:pos="1134"/>
        </w:tabs>
        <w:ind w:left="1134" w:hanging="283"/>
        <w:rPr>
          <w:noProof/>
          <w:szCs w:val="20"/>
        </w:rPr>
      </w:pPr>
      <w:r>
        <w:rPr>
          <w:noProof/>
        </w:rPr>
        <w:t>X</w:t>
      </w:r>
      <w:r>
        <w:rPr>
          <w:noProof/>
        </w:rPr>
        <w:tab/>
        <w:t xml:space="preserve">Предложение/инициатива в сила за срок от 2,5 години от влизането в сила на Меморандума за разбирателство, както е посочено в член 1, параграф 4 от Решението </w:t>
      </w:r>
    </w:p>
    <w:p>
      <w:pPr>
        <w:tabs>
          <w:tab w:val="num" w:pos="1134"/>
        </w:tabs>
        <w:ind w:left="1134" w:hanging="283"/>
        <w:rPr>
          <w:noProof/>
          <w:szCs w:val="20"/>
        </w:rPr>
      </w:pPr>
      <w:r>
        <w:rPr>
          <w:noProof/>
        </w:rPr>
        <w:t>X</w:t>
      </w:r>
      <w:r>
        <w:rPr>
          <w:noProof/>
        </w:rPr>
        <w:tab/>
        <w:t xml:space="preserve">Финансово отражение от 2018 г. до 2021 г. </w:t>
      </w:r>
    </w:p>
    <w:p>
      <w:pPr>
        <w:keepNext/>
        <w:tabs>
          <w:tab w:val="left" w:pos="850"/>
        </w:tabs>
        <w:ind w:left="850" w:hanging="850"/>
        <w:outlineLvl w:val="1"/>
        <w:rPr>
          <w:b/>
          <w:noProof/>
          <w:szCs w:val="20"/>
        </w:rPr>
      </w:pPr>
      <w:r>
        <w:rPr>
          <w:b/>
          <w:noProof/>
        </w:rPr>
        <w:t>1.7.</w:t>
      </w:r>
      <w:r>
        <w:rPr>
          <w:noProof/>
        </w:rPr>
        <w:tab/>
      </w:r>
      <w:r>
        <w:rPr>
          <w:b/>
          <w:noProof/>
        </w:rPr>
        <w:t>Предвиден(и) метод(и) на управление</w:t>
      </w:r>
      <w:r>
        <w:rPr>
          <w:rStyle w:val="FootnoteReference"/>
          <w:b/>
          <w:noProof/>
        </w:rPr>
        <w:footnoteReference w:id="20"/>
      </w:r>
      <w:r>
        <w:rPr>
          <w:b/>
          <w:noProof/>
          <w:vertAlign w:val="superscript"/>
        </w:rPr>
        <w:t xml:space="preserve"> </w:t>
      </w:r>
    </w:p>
    <w:p>
      <w:pPr>
        <w:ind w:left="850"/>
        <w:rPr>
          <w:noProof/>
          <w:szCs w:val="20"/>
        </w:rPr>
      </w:pPr>
      <w:r>
        <w:rPr>
          <w:noProof/>
        </w:rPr>
        <w:t xml:space="preserve">X </w:t>
      </w:r>
      <w:r>
        <w:rPr>
          <w:b/>
          <w:noProof/>
        </w:rPr>
        <w:t>Пряко централизирано управление</w:t>
      </w:r>
      <w:r>
        <w:rPr>
          <w:noProof/>
        </w:rPr>
        <w:t xml:space="preserve"> от Комисията </w:t>
      </w:r>
    </w:p>
    <w:p>
      <w:pPr>
        <w:keepNext/>
        <w:tabs>
          <w:tab w:val="left" w:pos="850"/>
        </w:tabs>
        <w:spacing w:before="360"/>
        <w:ind w:left="850" w:hanging="850"/>
        <w:outlineLvl w:val="0"/>
        <w:rPr>
          <w:b/>
          <w:smallCaps/>
          <w:noProof/>
          <w:szCs w:val="20"/>
        </w:rPr>
      </w:pPr>
      <w:r>
        <w:rPr>
          <w:b/>
          <w:smallCaps/>
          <w:noProof/>
        </w:rPr>
        <w:t>2.</w:t>
      </w:r>
      <w:r>
        <w:rPr>
          <w:noProof/>
        </w:rPr>
        <w:tab/>
      </w:r>
      <w:r>
        <w:rPr>
          <w:b/>
          <w:smallCaps/>
          <w:noProof/>
        </w:rPr>
        <w:t xml:space="preserve">МЕРКИ ЗА УПРАВЛЕНИЕ </w:t>
      </w:r>
    </w:p>
    <w:p>
      <w:pPr>
        <w:keepNext/>
        <w:tabs>
          <w:tab w:val="left" w:pos="850"/>
        </w:tabs>
        <w:ind w:left="850" w:hanging="850"/>
        <w:outlineLvl w:val="1"/>
        <w:rPr>
          <w:b/>
          <w:noProof/>
          <w:szCs w:val="20"/>
        </w:rPr>
      </w:pPr>
      <w:r>
        <w:rPr>
          <w:b/>
          <w:noProof/>
        </w:rPr>
        <w:t>2.1.</w:t>
      </w:r>
      <w:r>
        <w:rPr>
          <w:noProof/>
        </w:rPr>
        <w:tab/>
      </w:r>
      <w:r>
        <w:rPr>
          <w:b/>
          <w:noProof/>
        </w:rPr>
        <w:t xml:space="preserve">Правила за мониторинг и докладване </w:t>
      </w:r>
    </w:p>
    <w:p>
      <w:pPr>
        <w:ind w:left="850"/>
        <w:rPr>
          <w:noProof/>
          <w:szCs w:val="20"/>
        </w:rPr>
      </w:pPr>
      <w:r>
        <w:rPr>
          <w:noProof/>
        </w:rPr>
        <w:t>Помощта е от макроикономическо естество и е планирана в съответствие с подкрепяната от МВФ икономическа програма. Службите на Комисията ще извършват мониторинг на дейността на базата на напредъка при изпълнението на споразумението с МВФ и конкретни мерки за реформи, които предстои да бъдат договорени с органите на Украйна в Меморандум за разбирателство (вж. също точка 1.4.4).</w:t>
      </w:r>
    </w:p>
    <w:p>
      <w:pPr>
        <w:keepNext/>
        <w:tabs>
          <w:tab w:val="left" w:pos="850"/>
        </w:tabs>
        <w:ind w:left="850" w:hanging="850"/>
        <w:outlineLvl w:val="1"/>
        <w:rPr>
          <w:b/>
          <w:noProof/>
          <w:szCs w:val="20"/>
        </w:rPr>
      </w:pPr>
      <w:r>
        <w:rPr>
          <w:b/>
          <w:noProof/>
        </w:rPr>
        <w:t>2.2.</w:t>
      </w:r>
      <w:r>
        <w:rPr>
          <w:noProof/>
        </w:rPr>
        <w:tab/>
      </w:r>
      <w:r>
        <w:rPr>
          <w:b/>
          <w:noProof/>
        </w:rPr>
        <w:t xml:space="preserve">Система за управление и контрол </w:t>
      </w:r>
    </w:p>
    <w:p>
      <w:pPr>
        <w:keepNext/>
        <w:tabs>
          <w:tab w:val="left" w:pos="850"/>
        </w:tabs>
        <w:ind w:left="850" w:hanging="850"/>
        <w:outlineLvl w:val="2"/>
        <w:rPr>
          <w:i/>
          <w:noProof/>
          <w:szCs w:val="20"/>
        </w:rPr>
      </w:pPr>
      <w:r>
        <w:rPr>
          <w:i/>
          <w:noProof/>
        </w:rPr>
        <w:t>2.2.1.</w:t>
      </w:r>
      <w:r>
        <w:rPr>
          <w:noProof/>
        </w:rPr>
        <w:tab/>
      </w:r>
      <w:r>
        <w:rPr>
          <w:i/>
          <w:noProof/>
        </w:rPr>
        <w:t xml:space="preserve">Установени рискове </w:t>
      </w:r>
    </w:p>
    <w:p>
      <w:pPr>
        <w:ind w:left="850"/>
        <w:rPr>
          <w:noProof/>
          <w:szCs w:val="20"/>
        </w:rPr>
      </w:pPr>
      <w:r>
        <w:rPr>
          <w:noProof/>
        </w:rPr>
        <w:t xml:space="preserve">Съществуват фидуциарни, стратегически и политически рискове, свързани с предложената операция за МФП. </w:t>
      </w:r>
    </w:p>
    <w:p>
      <w:pPr>
        <w:ind w:left="850"/>
        <w:rPr>
          <w:noProof/>
          <w:szCs w:val="20"/>
        </w:rPr>
      </w:pPr>
      <w:r>
        <w:rPr>
          <w:noProof/>
        </w:rPr>
        <w:t>Има опасност МФП да бъде използвана по неправомерен начин. Тъй като МФП не е предназначена за специфични разходи на Украйна (за разлика например от финансирането на проекти), този риск е свързан с фактори като например общото качество на системите за управление в Националната банка на Украйна и Министерството на финансите, административните процедури, процедурите за контрол и надзор, сигурността на информационните системи, както и наличието на подходящи структури за вътрешен и външен одит.</w:t>
      </w:r>
    </w:p>
    <w:p>
      <w:pPr>
        <w:ind w:left="850"/>
        <w:rPr>
          <w:noProof/>
          <w:szCs w:val="20"/>
        </w:rPr>
      </w:pPr>
      <w:r>
        <w:rPr>
          <w:noProof/>
        </w:rPr>
        <w:t xml:space="preserve">Вторият риск произтича от възможността Украйна да не обслужва финансовите задължения към ЕС в резултат от предложената МФП под формата на заеми (риск от неизпълнение или кредитен риск), който би могъл да бъде причинен например от значително допълнително влошаване на платежния баланс и фискалната позиция на страната. </w:t>
      </w:r>
    </w:p>
    <w:p>
      <w:pPr>
        <w:ind w:left="850"/>
        <w:rPr>
          <w:noProof/>
          <w:szCs w:val="20"/>
        </w:rPr>
      </w:pPr>
      <w:r>
        <w:rPr>
          <w:noProof/>
        </w:rPr>
        <w:t xml:space="preserve">Друг основен риск за операцията произтича от геополитическата обстановка в региона, по-специално продължаващия конфликт в източната част на държавата, който се явява важен възпиращ фактор за частните входящи капиталови потоци. Влошаването на геополитическата обстановка в региона би могло да има отрицателно въздействие върху макроикономическата стабилност на Украйна и да засегне изпълнението на програмата на МВФ и отпускането и/или погасяването на предложената МФП. Все още трудните отношения на Украйна с Русия, която е един от нейните основни експортни пазари, също се отразяват отрицателно на икономическото възстановяване на страната. </w:t>
      </w:r>
    </w:p>
    <w:p>
      <w:pPr>
        <w:ind w:left="850"/>
        <w:rPr>
          <w:noProof/>
          <w:szCs w:val="20"/>
        </w:rPr>
      </w:pPr>
      <w:r>
        <w:rPr>
          <w:noProof/>
        </w:rPr>
        <w:t xml:space="preserve">Във вътрешен план основните рискове произтичат от сложната политическа обстановка и от дълбоко залегналите интереси срещу осъществяването на реформи. Това би могло да доведе до недостатъчно провеждане на реформите, по-специално преди националните избори през 2019 г., и по този начин да се възпрепятства привеждането в действие на предложената МФП, в т.ч. чрез възпрепятстване на напредъка по програмата на МВФ. </w:t>
      </w:r>
    </w:p>
    <w:p>
      <w:pPr>
        <w:keepNext/>
        <w:tabs>
          <w:tab w:val="left" w:pos="850"/>
        </w:tabs>
        <w:ind w:left="850" w:hanging="850"/>
        <w:outlineLvl w:val="2"/>
        <w:rPr>
          <w:i/>
          <w:noProof/>
          <w:szCs w:val="20"/>
        </w:rPr>
      </w:pPr>
      <w:r>
        <w:rPr>
          <w:i/>
          <w:noProof/>
        </w:rPr>
        <w:t>2.2.2.</w:t>
      </w:r>
      <w:r>
        <w:rPr>
          <w:noProof/>
        </w:rPr>
        <w:tab/>
      </w:r>
      <w:r>
        <w:rPr>
          <w:i/>
          <w:noProof/>
        </w:rPr>
        <w:t xml:space="preserve">Предвиден(и) метод(и) на контрол </w:t>
      </w:r>
    </w:p>
    <w:p>
      <w:pPr>
        <w:ind w:left="850"/>
        <w:rPr>
          <w:noProof/>
          <w:szCs w:val="20"/>
        </w:rPr>
      </w:pPr>
      <w:r>
        <w:rPr>
          <w:noProof/>
        </w:rPr>
        <w:t>По отношение на макрофинансовата помощ ще се прилагат процедурите по проверка, контрол и одит, за които отговарят Комисията, включително Европейската служба за борба с измамите (OLAF), и Европейската сметна палата.</w:t>
      </w:r>
    </w:p>
    <w:p>
      <w:pPr>
        <w:keepNext/>
        <w:tabs>
          <w:tab w:val="left" w:pos="850"/>
        </w:tabs>
        <w:ind w:left="850" w:hanging="850"/>
        <w:outlineLvl w:val="2"/>
        <w:rPr>
          <w:i/>
          <w:noProof/>
          <w:szCs w:val="20"/>
        </w:rPr>
      </w:pPr>
      <w:r>
        <w:rPr>
          <w:i/>
          <w:noProof/>
        </w:rPr>
        <w:t>2.2.3.</w:t>
      </w:r>
      <w:r>
        <w:rPr>
          <w:noProof/>
        </w:rPr>
        <w:tab/>
      </w:r>
      <w:r>
        <w:rPr>
          <w:i/>
          <w:noProof/>
        </w:rPr>
        <w:t>Разходи за контрола и ползи от него и вероятен процент на нарушенията</w:t>
      </w:r>
    </w:p>
    <w:p>
      <w:pPr>
        <w:ind w:left="850"/>
        <w:rPr>
          <w:noProof/>
          <w:szCs w:val="20"/>
        </w:rPr>
      </w:pPr>
      <w:r>
        <w:rPr>
          <w:noProof/>
        </w:rPr>
        <w:t>Основните разходи за Комисията, свързани с методите за проверка и контрол, както и разходите за оперативна оценка на финансовите и административните процедури, проведена преди започването на операцията, са описани в таблица 3.2.1. Освен това съществуват и разходи за Европейската сметна палата и за евентуални намеси на OLAF. Оперативната оценка помага не само за оценката на риска от злоупотреба със средствата, но като допълнителна полза тя предоставя полезна информация относно необходимите реформи в областта на управлението на публичните финанси. Що се отнася до вероятния процент на нарушенията, рискът от нарушения (под формата на неизплащане на заема или злоупотреба със средствата) се оценява като нисък въз основа на опита, натрупан от създаването на инструмента за МФП до момента.</w:t>
      </w:r>
    </w:p>
    <w:p>
      <w:pPr>
        <w:keepNext/>
        <w:tabs>
          <w:tab w:val="left" w:pos="850"/>
        </w:tabs>
        <w:ind w:left="850" w:hanging="850"/>
        <w:outlineLvl w:val="1"/>
        <w:rPr>
          <w:b/>
          <w:noProof/>
          <w:szCs w:val="20"/>
        </w:rPr>
      </w:pPr>
      <w:r>
        <w:rPr>
          <w:b/>
          <w:noProof/>
        </w:rPr>
        <w:t>2.3.</w:t>
      </w:r>
      <w:r>
        <w:rPr>
          <w:noProof/>
        </w:rPr>
        <w:tab/>
      </w:r>
      <w:r>
        <w:rPr>
          <w:b/>
          <w:noProof/>
        </w:rPr>
        <w:t xml:space="preserve">Мерки за предотвратяване на измами и нередности </w:t>
      </w:r>
    </w:p>
    <w:p>
      <w:pPr>
        <w:ind w:left="850"/>
        <w:rPr>
          <w:noProof/>
          <w:szCs w:val="20"/>
        </w:rPr>
      </w:pPr>
      <w:r>
        <w:rPr>
          <w:noProof/>
        </w:rPr>
        <w:t xml:space="preserve">За намаляване на риска от неправомерно използване на средствата бяха и ще бъдат предприети няколко мерки: </w:t>
      </w:r>
    </w:p>
    <w:p>
      <w:pPr>
        <w:ind w:left="850"/>
        <w:rPr>
          <w:noProof/>
          <w:szCs w:val="20"/>
        </w:rPr>
      </w:pPr>
      <w:r>
        <w:rPr>
          <w:noProof/>
        </w:rPr>
        <w:t xml:space="preserve">Първо, Споразумението за заем ще обхваща набор от разпоредби, свързани с провеждането на проверки, предотвратяването на измами, одитите и възстановяването на средства в случай на измама или корупция. С оглед подобряване на ефикасността, прозрачността и отчетността се предвижда да бъдат поставени определени условия на политиката, свързани с помощта, включително в областта на управлението на публичните финанси. Освен това помощта ще се изплаща по специална сметка в Националната банка на Украйна. </w:t>
      </w:r>
    </w:p>
    <w:p>
      <w:pPr>
        <w:ind w:left="850"/>
        <w:rPr>
          <w:noProof/>
          <w:szCs w:val="20"/>
        </w:rPr>
      </w:pPr>
      <w:r>
        <w:rPr>
          <w:noProof/>
        </w:rPr>
        <w:t>В съответствие с изискванията на Финансовия регламент службите на Комисията ще извършат оперативна оценка на финансовите и административните процедури на Украйна, за да се уверят, че действащите процедури за управление на помощ по линия на програми, включително МФП, предоставят подходящи гаранции. Тази оценка ще обхваща области като подготовката и изпълнението на бюджета, публичния вътрешен финансов контрол, вътрешния и външния одит, възлагането на обществени поръчки, управлението на паричните средства и на публичния дълг, както и независимостта на централната банка. Предварителните заключения на консултантската фирма, извършваща тази оперативна оценка, се очакват през второто тримесечие на 2018 г. Промените в тази област ще продължат да бъдат наблюдавани отблизо от делегацията на ЕС в Киев. Комисията също така използва бюджетна подкрепа, за да помогне на украинските органи да подобрят системите си за управление на публичните финанси, като тези усилия получават сериозна подкрепа и от други донори.</w:t>
      </w:r>
    </w:p>
    <w:p>
      <w:pPr>
        <w:ind w:left="850"/>
        <w:rPr>
          <w:noProof/>
          <w:szCs w:val="20"/>
        </w:rPr>
      </w:pPr>
      <w:r>
        <w:rPr>
          <w:noProof/>
        </w:rPr>
        <w:t>Накрая, по отношение на помощта ще се прилагат процедурите по проверка, контрол и одит, за които отговарят Комисията, включително Европейската служба за борба с измамите (OLAF), и Европейската сметна палата.</w:t>
      </w:r>
    </w:p>
    <w:p>
      <w:pPr>
        <w:keepNext/>
        <w:tabs>
          <w:tab w:val="left" w:pos="850"/>
        </w:tabs>
        <w:spacing w:before="360"/>
        <w:ind w:left="850" w:hanging="850"/>
        <w:outlineLvl w:val="0"/>
        <w:rPr>
          <w:b/>
          <w:smallCaps/>
          <w:noProof/>
          <w:szCs w:val="20"/>
        </w:rPr>
      </w:pPr>
      <w:r>
        <w:rPr>
          <w:noProof/>
        </w:rPr>
        <w:br w:type="page"/>
      </w:r>
      <w:r>
        <w:rPr>
          <w:b/>
          <w:smallCaps/>
          <w:noProof/>
        </w:rPr>
        <w:t>3.</w:t>
      </w:r>
      <w:r>
        <w:rPr>
          <w:noProof/>
        </w:rPr>
        <w:tab/>
      </w:r>
      <w:r>
        <w:rPr>
          <w:b/>
          <w:smallCaps/>
          <w:noProof/>
        </w:rPr>
        <w:t xml:space="preserve">ОЧАКВАНО ФИНАНСОВО ОТРАЖЕНИЕ НА ПРЕДЛОЖЕНИЕТО/ИНИЦИАТИВАТА </w:t>
      </w:r>
    </w:p>
    <w:p>
      <w:pPr>
        <w:keepNext/>
        <w:tabs>
          <w:tab w:val="left" w:pos="850"/>
        </w:tabs>
        <w:ind w:left="850" w:hanging="850"/>
        <w:outlineLvl w:val="1"/>
        <w:rPr>
          <w:b/>
          <w:noProof/>
          <w:szCs w:val="20"/>
        </w:rPr>
      </w:pPr>
      <w:r>
        <w:rPr>
          <w:b/>
          <w:noProof/>
        </w:rPr>
        <w:t>3.1.</w:t>
      </w:r>
      <w:r>
        <w:rPr>
          <w:noProof/>
        </w:rPr>
        <w:tab/>
      </w:r>
      <w:r>
        <w:rPr>
          <w:b/>
          <w:noProof/>
        </w:rPr>
        <w:t xml:space="preserve">Съответни функции от многогодишната финансова рамка и разходни бюджетни редове </w:t>
      </w:r>
    </w:p>
    <w:p>
      <w:pPr>
        <w:tabs>
          <w:tab w:val="num" w:pos="1134"/>
        </w:tabs>
        <w:ind w:left="1134" w:hanging="283"/>
        <w:rPr>
          <w:noProof/>
          <w:szCs w:val="20"/>
        </w:rPr>
      </w:pPr>
      <w:r>
        <w:rPr>
          <w:noProof/>
        </w:rPr>
        <w:t xml:space="preserve">Съществуващи бюджетни редове за разходите </w:t>
      </w:r>
    </w:p>
    <w:p>
      <w:pPr>
        <w:ind w:left="850"/>
        <w:rPr>
          <w:noProof/>
          <w:szCs w:val="20"/>
        </w:rPr>
      </w:pPr>
      <w:r>
        <w:rPr>
          <w:noProof/>
        </w:rPr>
        <w:t>01 03 02 Макрофинансова помощ</w:t>
      </w:r>
    </w:p>
    <w:p>
      <w:pPr>
        <w:ind w:left="850"/>
        <w:rPr>
          <w:noProof/>
          <w:szCs w:val="20"/>
        </w:rPr>
      </w:pPr>
      <w:r>
        <w:rPr>
          <w:noProof/>
        </w:rPr>
        <w:t>01 03 06 Обезпечаване на Гаранционния фонд</w:t>
      </w:r>
    </w:p>
    <w:p>
      <w:pPr>
        <w:ind w:left="850"/>
        <w:rPr>
          <w:noProof/>
          <w:szCs w:val="20"/>
        </w:rPr>
      </w:pPr>
      <w:r>
        <w:rPr>
          <w:noProof/>
          <w:u w:val="single"/>
        </w:rPr>
        <w:t>По реда</w:t>
      </w:r>
      <w:r>
        <w:rPr>
          <w:noProof/>
        </w:rPr>
        <w:t xml:space="preserve"> на функциите от многогодишната финансова рамка и на бюджетните редове.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276"/>
        <w:gridCol w:w="1134"/>
        <w:gridCol w:w="1275"/>
        <w:gridCol w:w="1134"/>
        <w:gridCol w:w="1134"/>
      </w:tblGrid>
      <w:tr>
        <w:tc>
          <w:tcPr>
            <w:tcW w:w="1134" w:type="dxa"/>
            <w:vMerge w:val="restart"/>
            <w:vAlign w:val="center"/>
          </w:tcPr>
          <w:p>
            <w:pPr>
              <w:spacing w:before="60" w:after="60"/>
              <w:jc w:val="center"/>
              <w:rPr>
                <w:noProof/>
                <w:szCs w:val="20"/>
              </w:rPr>
            </w:pPr>
            <w:r>
              <w:rPr>
                <w:noProof/>
                <w:sz w:val="18"/>
              </w:rPr>
              <w:t>Функция от многогодишната финансова рамка</w:t>
            </w:r>
          </w:p>
        </w:tc>
        <w:tc>
          <w:tcPr>
            <w:tcW w:w="1985" w:type="dxa"/>
            <w:vAlign w:val="center"/>
          </w:tcPr>
          <w:p>
            <w:pPr>
              <w:spacing w:before="60" w:after="60"/>
              <w:jc w:val="center"/>
              <w:rPr>
                <w:noProof/>
                <w:szCs w:val="20"/>
              </w:rPr>
            </w:pPr>
            <w:r>
              <w:rPr>
                <w:noProof/>
                <w:sz w:val="20"/>
              </w:rPr>
              <w:t>Бюджетен ред</w:t>
            </w:r>
          </w:p>
        </w:tc>
        <w:tc>
          <w:tcPr>
            <w:tcW w:w="1276" w:type="dxa"/>
            <w:vAlign w:val="center"/>
          </w:tcPr>
          <w:p>
            <w:pPr>
              <w:spacing w:before="60" w:after="60"/>
              <w:jc w:val="center"/>
              <w:rPr>
                <w:noProof/>
                <w:szCs w:val="20"/>
              </w:rPr>
            </w:pPr>
            <w:r>
              <w:rPr>
                <w:noProof/>
                <w:sz w:val="18"/>
              </w:rPr>
              <w:t>Видразход</w:t>
            </w:r>
          </w:p>
        </w:tc>
        <w:tc>
          <w:tcPr>
            <w:tcW w:w="4677" w:type="dxa"/>
            <w:gridSpan w:val="4"/>
            <w:vAlign w:val="center"/>
          </w:tcPr>
          <w:p>
            <w:pPr>
              <w:spacing w:before="60" w:after="60"/>
              <w:jc w:val="center"/>
              <w:rPr>
                <w:noProof/>
                <w:szCs w:val="20"/>
              </w:rPr>
            </w:pPr>
            <w:r>
              <w:rPr>
                <w:noProof/>
                <w:sz w:val="20"/>
              </w:rPr>
              <w:t xml:space="preserve">Вноска </w:t>
            </w:r>
          </w:p>
        </w:tc>
      </w:tr>
      <w:tr>
        <w:tc>
          <w:tcPr>
            <w:tcW w:w="1134" w:type="dxa"/>
            <w:vMerge/>
            <w:vAlign w:val="center"/>
          </w:tcPr>
          <w:p>
            <w:pPr>
              <w:jc w:val="center"/>
              <w:rPr>
                <w:noProof/>
                <w:szCs w:val="20"/>
              </w:rPr>
            </w:pPr>
          </w:p>
        </w:tc>
        <w:tc>
          <w:tcPr>
            <w:tcW w:w="1985" w:type="dxa"/>
            <w:vAlign w:val="center"/>
          </w:tcPr>
          <w:p>
            <w:pPr>
              <w:rPr>
                <w:noProof/>
                <w:szCs w:val="20"/>
              </w:rPr>
            </w:pPr>
            <w:r>
              <w:rPr>
                <w:noProof/>
                <w:sz w:val="20"/>
              </w:rPr>
              <w:t xml:space="preserve">Номер </w:t>
            </w:r>
            <w:r>
              <w:rPr>
                <w:noProof/>
                <w:sz w:val="20"/>
                <w:szCs w:val="20"/>
              </w:rPr>
              <w:br/>
            </w:r>
            <w:r>
              <w:rPr>
                <w:noProof/>
                <w:sz w:val="20"/>
              </w:rPr>
              <w:t>[Описание…...….]</w:t>
            </w:r>
          </w:p>
        </w:tc>
        <w:tc>
          <w:tcPr>
            <w:tcW w:w="1276" w:type="dxa"/>
            <w:vAlign w:val="center"/>
          </w:tcPr>
          <w:p>
            <w:pPr>
              <w:jc w:val="center"/>
              <w:rPr>
                <w:noProof/>
                <w:szCs w:val="20"/>
              </w:rPr>
            </w:pPr>
            <w:r>
              <w:rPr>
                <w:noProof/>
                <w:sz w:val="18"/>
              </w:rPr>
              <w:t>Многогод./едногод.</w:t>
            </w:r>
            <w:r>
              <w:rPr>
                <w:noProof/>
                <w:sz w:val="18"/>
                <w:szCs w:val="20"/>
              </w:rPr>
              <w:br/>
            </w:r>
            <w:r>
              <w:rPr>
                <w:noProof/>
                <w:sz w:val="18"/>
                <w:vertAlign w:val="superscript"/>
              </w:rPr>
              <w:t>(</w:t>
            </w:r>
            <w:r>
              <w:rPr>
                <w:rStyle w:val="FootnoteReference"/>
                <w:noProof/>
                <w:sz w:val="18"/>
              </w:rPr>
              <w:footnoteReference w:id="21"/>
            </w:r>
            <w:r>
              <w:rPr>
                <w:noProof/>
                <w:sz w:val="18"/>
                <w:vertAlign w:val="superscript"/>
              </w:rPr>
              <w:t>)</w:t>
            </w:r>
          </w:p>
          <w:p>
            <w:pPr>
              <w:jc w:val="center"/>
              <w:rPr>
                <w:noProof/>
                <w:szCs w:val="20"/>
              </w:rPr>
            </w:pPr>
          </w:p>
        </w:tc>
        <w:tc>
          <w:tcPr>
            <w:tcW w:w="1134" w:type="dxa"/>
            <w:vAlign w:val="center"/>
          </w:tcPr>
          <w:p>
            <w:pPr>
              <w:jc w:val="center"/>
              <w:rPr>
                <w:noProof/>
                <w:szCs w:val="20"/>
              </w:rPr>
            </w:pPr>
            <w:r>
              <w:rPr>
                <w:noProof/>
                <w:sz w:val="18"/>
              </w:rPr>
              <w:t>от държави от ЕАСТ</w:t>
            </w:r>
            <w:r>
              <w:rPr>
                <w:rStyle w:val="FootnoteReference"/>
                <w:noProof/>
                <w:sz w:val="18"/>
              </w:rPr>
              <w:footnoteReference w:id="22"/>
            </w:r>
          </w:p>
          <w:p>
            <w:pPr>
              <w:jc w:val="center"/>
              <w:rPr>
                <w:b/>
                <w:noProof/>
                <w:sz w:val="18"/>
                <w:szCs w:val="20"/>
              </w:rPr>
            </w:pPr>
          </w:p>
        </w:tc>
        <w:tc>
          <w:tcPr>
            <w:tcW w:w="1275" w:type="dxa"/>
            <w:vAlign w:val="center"/>
          </w:tcPr>
          <w:p>
            <w:pPr>
              <w:jc w:val="center"/>
              <w:rPr>
                <w:noProof/>
                <w:szCs w:val="20"/>
              </w:rPr>
            </w:pPr>
            <w:r>
              <w:rPr>
                <w:noProof/>
                <w:sz w:val="18"/>
              </w:rPr>
              <w:t>от държави кандидатки</w:t>
            </w:r>
            <w:r>
              <w:rPr>
                <w:rStyle w:val="FootnoteReference"/>
                <w:noProof/>
                <w:sz w:val="18"/>
              </w:rPr>
              <w:footnoteReference w:id="23"/>
            </w:r>
          </w:p>
          <w:p>
            <w:pPr>
              <w:jc w:val="center"/>
              <w:rPr>
                <w:noProof/>
                <w:sz w:val="18"/>
                <w:szCs w:val="20"/>
              </w:rPr>
            </w:pPr>
          </w:p>
        </w:tc>
        <w:tc>
          <w:tcPr>
            <w:tcW w:w="1134" w:type="dxa"/>
            <w:vAlign w:val="center"/>
          </w:tcPr>
          <w:p>
            <w:pPr>
              <w:jc w:val="center"/>
              <w:rPr>
                <w:noProof/>
                <w:szCs w:val="20"/>
              </w:rPr>
            </w:pPr>
            <w:r>
              <w:rPr>
                <w:noProof/>
                <w:sz w:val="18"/>
              </w:rPr>
              <w:t>от трети държави</w:t>
            </w:r>
          </w:p>
        </w:tc>
        <w:tc>
          <w:tcPr>
            <w:tcW w:w="1134" w:type="dxa"/>
            <w:vAlign w:val="center"/>
          </w:tcPr>
          <w:p>
            <w:pPr>
              <w:jc w:val="center"/>
              <w:rPr>
                <w:noProof/>
                <w:szCs w:val="20"/>
              </w:rPr>
            </w:pPr>
            <w:r>
              <w:rPr>
                <w:noProof/>
                <w:sz w:val="16"/>
              </w:rPr>
              <w:t xml:space="preserve">по смисъла на член 18, параграф 1, буква аа) от Финансовия регламент </w:t>
            </w:r>
          </w:p>
        </w:tc>
      </w:tr>
      <w:tr>
        <w:tc>
          <w:tcPr>
            <w:tcW w:w="1134" w:type="dxa"/>
            <w:vAlign w:val="center"/>
          </w:tcPr>
          <w:p>
            <w:pPr>
              <w:jc w:val="center"/>
              <w:rPr>
                <w:noProof/>
                <w:szCs w:val="20"/>
              </w:rPr>
            </w:pPr>
            <w:r>
              <w:rPr>
                <w:noProof/>
                <w:sz w:val="22"/>
              </w:rPr>
              <w:t>4</w:t>
            </w:r>
          </w:p>
        </w:tc>
        <w:tc>
          <w:tcPr>
            <w:tcW w:w="1985" w:type="dxa"/>
            <w:vAlign w:val="center"/>
          </w:tcPr>
          <w:p>
            <w:pPr>
              <w:autoSpaceDE w:val="0"/>
              <w:autoSpaceDN w:val="0"/>
              <w:adjustRightInd w:val="0"/>
              <w:spacing w:before="0"/>
              <w:jc w:val="left"/>
              <w:rPr>
                <w:noProof/>
                <w:sz w:val="23"/>
                <w:szCs w:val="23"/>
              </w:rPr>
            </w:pPr>
            <w:r>
              <w:rPr>
                <w:noProof/>
                <w:sz w:val="23"/>
              </w:rPr>
              <w:t>01 03 02</w:t>
            </w:r>
          </w:p>
          <w:p>
            <w:pPr>
              <w:spacing w:after="60"/>
              <w:rPr>
                <w:noProof/>
                <w:szCs w:val="20"/>
              </w:rPr>
            </w:pPr>
            <w:r>
              <w:rPr>
                <w:noProof/>
                <w:sz w:val="23"/>
              </w:rPr>
              <w:t>Макрофинансова помощ</w:t>
            </w:r>
          </w:p>
        </w:tc>
        <w:tc>
          <w:tcPr>
            <w:tcW w:w="1276" w:type="dxa"/>
            <w:vAlign w:val="center"/>
          </w:tcPr>
          <w:p>
            <w:pPr>
              <w:jc w:val="center"/>
              <w:rPr>
                <w:noProof/>
                <w:szCs w:val="20"/>
              </w:rPr>
            </w:pPr>
            <w:r>
              <w:rPr>
                <w:noProof/>
                <w:sz w:val="22"/>
              </w:rPr>
              <w:t>Многогод.</w:t>
            </w:r>
          </w:p>
        </w:tc>
        <w:tc>
          <w:tcPr>
            <w:tcW w:w="1134" w:type="dxa"/>
            <w:vAlign w:val="center"/>
          </w:tcPr>
          <w:p>
            <w:pPr>
              <w:jc w:val="center"/>
              <w:rPr>
                <w:noProof/>
                <w:szCs w:val="20"/>
              </w:rPr>
            </w:pPr>
            <w:r>
              <w:rPr>
                <w:noProof/>
                <w:sz w:val="22"/>
              </w:rPr>
              <w:t>НЕ</w:t>
            </w:r>
          </w:p>
        </w:tc>
        <w:tc>
          <w:tcPr>
            <w:tcW w:w="1275" w:type="dxa"/>
            <w:vAlign w:val="center"/>
          </w:tcPr>
          <w:p>
            <w:pPr>
              <w:jc w:val="center"/>
              <w:rPr>
                <w:noProof/>
                <w:szCs w:val="20"/>
              </w:rPr>
            </w:pPr>
            <w:r>
              <w:rPr>
                <w:noProof/>
                <w:sz w:val="22"/>
              </w:rPr>
              <w:t>НЕ</w:t>
            </w:r>
          </w:p>
        </w:tc>
        <w:tc>
          <w:tcPr>
            <w:tcW w:w="1134" w:type="dxa"/>
            <w:vAlign w:val="center"/>
          </w:tcPr>
          <w:p>
            <w:pPr>
              <w:jc w:val="center"/>
              <w:rPr>
                <w:noProof/>
                <w:szCs w:val="20"/>
              </w:rPr>
            </w:pPr>
            <w:r>
              <w:rPr>
                <w:noProof/>
                <w:sz w:val="22"/>
              </w:rPr>
              <w:t>НЕ</w:t>
            </w:r>
          </w:p>
        </w:tc>
        <w:tc>
          <w:tcPr>
            <w:tcW w:w="1134" w:type="dxa"/>
            <w:vAlign w:val="center"/>
          </w:tcPr>
          <w:p>
            <w:pPr>
              <w:jc w:val="center"/>
              <w:rPr>
                <w:noProof/>
                <w:szCs w:val="20"/>
              </w:rPr>
            </w:pPr>
            <w:r>
              <w:rPr>
                <w:noProof/>
                <w:sz w:val="22"/>
              </w:rPr>
              <w:t>НЕ</w:t>
            </w:r>
          </w:p>
        </w:tc>
      </w:tr>
      <w:tr>
        <w:tc>
          <w:tcPr>
            <w:tcW w:w="1134" w:type="dxa"/>
            <w:vAlign w:val="center"/>
          </w:tcPr>
          <w:p>
            <w:pPr>
              <w:jc w:val="center"/>
              <w:rPr>
                <w:noProof/>
                <w:szCs w:val="20"/>
              </w:rPr>
            </w:pPr>
            <w:r>
              <w:rPr>
                <w:noProof/>
                <w:sz w:val="22"/>
              </w:rPr>
              <w:t>4</w:t>
            </w:r>
          </w:p>
        </w:tc>
        <w:tc>
          <w:tcPr>
            <w:tcW w:w="1985" w:type="dxa"/>
            <w:vAlign w:val="center"/>
          </w:tcPr>
          <w:p>
            <w:pPr>
              <w:spacing w:before="60"/>
              <w:jc w:val="left"/>
              <w:rPr>
                <w:noProof/>
                <w:szCs w:val="20"/>
              </w:rPr>
            </w:pPr>
            <w:r>
              <w:rPr>
                <w:noProof/>
                <w:sz w:val="22"/>
              </w:rPr>
              <w:t xml:space="preserve">01 03 06 </w:t>
            </w:r>
          </w:p>
          <w:p>
            <w:pPr>
              <w:spacing w:before="60"/>
              <w:jc w:val="left"/>
              <w:rPr>
                <w:noProof/>
                <w:szCs w:val="20"/>
              </w:rPr>
            </w:pPr>
            <w:r>
              <w:rPr>
                <w:noProof/>
                <w:sz w:val="22"/>
              </w:rPr>
              <w:t>Обезпечаване на Гаранционния фонд</w:t>
            </w:r>
          </w:p>
        </w:tc>
        <w:tc>
          <w:tcPr>
            <w:tcW w:w="1276" w:type="dxa"/>
            <w:vAlign w:val="center"/>
          </w:tcPr>
          <w:p>
            <w:pPr>
              <w:jc w:val="center"/>
              <w:rPr>
                <w:noProof/>
                <w:szCs w:val="20"/>
              </w:rPr>
            </w:pPr>
            <w:r>
              <w:rPr>
                <w:noProof/>
                <w:sz w:val="22"/>
              </w:rPr>
              <w:t>Едногод.</w:t>
            </w:r>
          </w:p>
        </w:tc>
        <w:tc>
          <w:tcPr>
            <w:tcW w:w="1134" w:type="dxa"/>
            <w:vAlign w:val="center"/>
          </w:tcPr>
          <w:p>
            <w:pPr>
              <w:jc w:val="center"/>
              <w:rPr>
                <w:noProof/>
                <w:szCs w:val="20"/>
              </w:rPr>
            </w:pPr>
            <w:r>
              <w:rPr>
                <w:noProof/>
                <w:sz w:val="22"/>
              </w:rPr>
              <w:t>НЕ</w:t>
            </w:r>
          </w:p>
        </w:tc>
        <w:tc>
          <w:tcPr>
            <w:tcW w:w="1275" w:type="dxa"/>
            <w:vAlign w:val="center"/>
          </w:tcPr>
          <w:p>
            <w:pPr>
              <w:jc w:val="center"/>
              <w:rPr>
                <w:noProof/>
                <w:szCs w:val="20"/>
              </w:rPr>
            </w:pPr>
            <w:r>
              <w:rPr>
                <w:noProof/>
                <w:sz w:val="22"/>
              </w:rPr>
              <w:t>НЕ</w:t>
            </w:r>
          </w:p>
        </w:tc>
        <w:tc>
          <w:tcPr>
            <w:tcW w:w="1134" w:type="dxa"/>
            <w:vAlign w:val="center"/>
          </w:tcPr>
          <w:p>
            <w:pPr>
              <w:jc w:val="center"/>
              <w:rPr>
                <w:noProof/>
                <w:szCs w:val="20"/>
              </w:rPr>
            </w:pPr>
            <w:r>
              <w:rPr>
                <w:noProof/>
                <w:sz w:val="22"/>
              </w:rPr>
              <w:t>НЕ</w:t>
            </w:r>
          </w:p>
        </w:tc>
        <w:tc>
          <w:tcPr>
            <w:tcW w:w="1134" w:type="dxa"/>
            <w:vAlign w:val="center"/>
          </w:tcPr>
          <w:p>
            <w:pPr>
              <w:jc w:val="center"/>
              <w:rPr>
                <w:noProof/>
                <w:szCs w:val="20"/>
              </w:rPr>
            </w:pPr>
            <w:r>
              <w:rPr>
                <w:noProof/>
                <w:sz w:val="22"/>
              </w:rPr>
              <w:t>НЕ</w:t>
            </w:r>
          </w:p>
        </w:tc>
      </w:tr>
    </w:tbl>
    <w:p>
      <w:pPr>
        <w:rPr>
          <w:noProof/>
          <w:szCs w:val="20"/>
        </w:rPr>
      </w:pPr>
      <w:r>
        <w:rPr>
          <w:noProof/>
        </w:rPr>
        <w:t>01 03 06 – Според предложението на Комисията Гаранционният фонд за външни дейности ще бъде обезпечен съгласно Финансовия регламент</w:t>
      </w:r>
      <w:r>
        <w:rPr>
          <w:rStyle w:val="FootnoteReference"/>
          <w:noProof/>
        </w:rPr>
        <w:footnoteReference w:id="24"/>
      </w:r>
      <w:r>
        <w:rPr>
          <w:noProof/>
        </w:rPr>
        <w:t>, като се използват бюджетните кредити по бюджетен ред 01 03 06 („Обезпечаване на Гаранционния фонд“), в размер на 9 % от общите непогасени задължения. Размерът на финансирането се изчислява в началото на година „n“ като разликата между целевата сума и нетните активи на Фонда в края на годината „n-1“. Размерът на финансирането се вписва за годината „n“ в проектобюджета за годината „n+1“ и се изплаща реално с една операция в началото на годината „n+1“ от бюджетен ред „Обезпечаване на Гаранционния фонд“ (бюджетен ред 01 03 06). В резултат на това 9 % (т.е. не повече от 90 милиона евро) от реално платената сума ще се отчитат в целевата сума в края на година „n-1“ за изчисляване на финансирането на Фонда.</w:t>
      </w:r>
    </w:p>
    <w:p>
      <w:pPr>
        <w:rPr>
          <w:noProof/>
          <w:szCs w:val="20"/>
        </w:rPr>
      </w:pPr>
      <w:r>
        <w:rPr>
          <w:noProof/>
        </w:rPr>
        <w:t>Поискани нови бюджетни редове: Не е приложимо</w:t>
      </w:r>
    </w:p>
    <w:p>
      <w:pPr>
        <w:rPr>
          <w:noProof/>
        </w:rPr>
      </w:pPr>
      <w:r>
        <w:rPr>
          <w:noProof/>
        </w:rPr>
        <w:t>.</w:t>
      </w:r>
    </w:p>
    <w:p>
      <w:pPr>
        <w:tabs>
          <w:tab w:val="num" w:pos="1134"/>
        </w:tabs>
        <w:ind w:left="1134" w:hanging="283"/>
        <w:rPr>
          <w:noProof/>
          <w:szCs w:val="20"/>
          <w:highlight w:val="green"/>
        </w:rPr>
        <w:sectPr>
          <w:pgSz w:w="11907" w:h="16840" w:code="1"/>
          <w:pgMar w:top="1134" w:right="1418" w:bottom="1134" w:left="1418" w:header="709" w:footer="709" w:gutter="0"/>
          <w:cols w:space="708"/>
          <w:docGrid w:linePitch="360"/>
        </w:sectPr>
      </w:pPr>
    </w:p>
    <w:p>
      <w:pPr>
        <w:keepNext/>
        <w:tabs>
          <w:tab w:val="left" w:pos="850"/>
        </w:tabs>
        <w:ind w:left="850" w:hanging="850"/>
        <w:outlineLvl w:val="1"/>
        <w:rPr>
          <w:b/>
          <w:noProof/>
          <w:szCs w:val="20"/>
        </w:rPr>
      </w:pPr>
      <w:r>
        <w:rPr>
          <w:b/>
          <w:noProof/>
        </w:rPr>
        <w:t>3.2.</w:t>
      </w:r>
      <w:r>
        <w:rPr>
          <w:noProof/>
        </w:rPr>
        <w:tab/>
      </w:r>
      <w:r>
        <w:rPr>
          <w:b/>
          <w:noProof/>
        </w:rPr>
        <w:t xml:space="preserve">Очаквано отражение върху разходите </w:t>
      </w:r>
    </w:p>
    <w:p>
      <w:pPr>
        <w:keepNext/>
        <w:tabs>
          <w:tab w:val="left" w:pos="850"/>
        </w:tabs>
        <w:ind w:left="850" w:hanging="850"/>
        <w:outlineLvl w:val="2"/>
        <w:rPr>
          <w:i/>
          <w:noProof/>
          <w:szCs w:val="20"/>
          <w:u w:val="single"/>
        </w:rPr>
      </w:pPr>
      <w:r>
        <w:rPr>
          <w:i/>
          <w:noProof/>
        </w:rPr>
        <w:t>3.2.1.</w:t>
      </w:r>
      <w:r>
        <w:rPr>
          <w:noProof/>
        </w:rPr>
        <w:tab/>
      </w:r>
      <w:r>
        <w:rPr>
          <w:i/>
          <w:noProof/>
        </w:rPr>
        <w:t xml:space="preserve">Обобщение на очакваното отражение върху разходите </w:t>
      </w:r>
    </w:p>
    <w:p>
      <w:pPr>
        <w:jc w:val="right"/>
        <w:rPr>
          <w:noProof/>
          <w:sz w:val="16"/>
          <w:szCs w:val="16"/>
        </w:rPr>
      </w:pPr>
      <w:r>
        <w:rPr>
          <w:noProof/>
          <w:sz w:val="20"/>
        </w:rPr>
        <w:t>млн. евро (до 3-тия знак след десетичната запетая)</w:t>
      </w:r>
    </w:p>
    <w:tbl>
      <w:tblPr>
        <w:tblW w:w="11302" w:type="dxa"/>
        <w:tblInd w:w="-34" w:type="dxa"/>
        <w:tblLayout w:type="fixed"/>
        <w:tblLook w:val="01E0" w:firstRow="1" w:lastRow="1" w:firstColumn="1" w:lastColumn="1" w:noHBand="0" w:noVBand="0"/>
      </w:tblPr>
      <w:tblGrid>
        <w:gridCol w:w="34"/>
        <w:gridCol w:w="3652"/>
        <w:gridCol w:w="56"/>
        <w:gridCol w:w="252"/>
        <w:gridCol w:w="1393"/>
        <w:gridCol w:w="47"/>
        <w:gridCol w:w="120"/>
        <w:gridCol w:w="534"/>
        <w:gridCol w:w="8"/>
        <w:gridCol w:w="749"/>
        <w:gridCol w:w="102"/>
        <w:gridCol w:w="9"/>
        <w:gridCol w:w="841"/>
        <w:gridCol w:w="27"/>
        <w:gridCol w:w="838"/>
        <w:gridCol w:w="30"/>
        <w:gridCol w:w="757"/>
        <w:gridCol w:w="49"/>
        <w:gridCol w:w="936"/>
        <w:gridCol w:w="28"/>
        <w:gridCol w:w="840"/>
      </w:tblGrid>
      <w:tr>
        <w:trPr>
          <w:gridBefore w:val="1"/>
          <w:wBefore w:w="34" w:type="dxa"/>
        </w:trPr>
        <w:tc>
          <w:tcPr>
            <w:tcW w:w="3960" w:type="dxa"/>
            <w:gridSpan w:val="3"/>
          </w:tcPr>
          <w:p>
            <w:pPr>
              <w:jc w:val="center"/>
              <w:rPr>
                <w:noProof/>
                <w:szCs w:val="20"/>
              </w:rPr>
            </w:pPr>
            <w:r>
              <w:rPr>
                <w:b/>
                <w:noProof/>
                <w:sz w:val="22"/>
              </w:rPr>
              <w:t>Функция от многогодишната финансова рамка:</w:t>
            </w:r>
          </w:p>
        </w:tc>
        <w:tc>
          <w:tcPr>
            <w:tcW w:w="1560" w:type="dxa"/>
            <w:gridSpan w:val="3"/>
          </w:tcPr>
          <w:p>
            <w:pPr>
              <w:jc w:val="center"/>
              <w:rPr>
                <w:b/>
                <w:noProof/>
                <w:sz w:val="20"/>
                <w:szCs w:val="20"/>
              </w:rPr>
            </w:pPr>
            <w:r>
              <w:rPr>
                <w:b/>
                <w:noProof/>
                <w:sz w:val="20"/>
                <w:szCs w:val="20"/>
              </w:rPr>
              <w:br/>
            </w:r>
            <w:r>
              <w:rPr>
                <w:b/>
                <w:noProof/>
                <w:sz w:val="20"/>
              </w:rPr>
              <w:t>4</w:t>
            </w:r>
          </w:p>
        </w:tc>
        <w:tc>
          <w:tcPr>
            <w:tcW w:w="534" w:type="dxa"/>
          </w:tcPr>
          <w:p>
            <w:pPr>
              <w:jc w:val="center"/>
              <w:rPr>
                <w:noProof/>
                <w:sz w:val="20"/>
                <w:szCs w:val="20"/>
              </w:rPr>
            </w:pPr>
          </w:p>
        </w:tc>
        <w:tc>
          <w:tcPr>
            <w:tcW w:w="757" w:type="dxa"/>
            <w:gridSpan w:val="2"/>
          </w:tcPr>
          <w:p>
            <w:pPr>
              <w:jc w:val="center"/>
              <w:rPr>
                <w:noProof/>
                <w:szCs w:val="20"/>
              </w:rPr>
            </w:pPr>
          </w:p>
        </w:tc>
        <w:tc>
          <w:tcPr>
            <w:tcW w:w="4457" w:type="dxa"/>
            <w:gridSpan w:val="11"/>
          </w:tcPr>
          <w:p>
            <w:pPr>
              <w:jc w:val="center"/>
              <w:rPr>
                <w:b/>
                <w:noProof/>
                <w:sz w:val="20"/>
                <w:szCs w:val="20"/>
              </w:rPr>
            </w:pPr>
            <w:r>
              <w:rPr>
                <w:noProof/>
                <w:sz w:val="22"/>
              </w:rPr>
              <w:t>[Наименование:</w:t>
            </w:r>
            <w:r>
              <w:rPr>
                <w:noProof/>
                <w:sz w:val="23"/>
              </w:rPr>
              <w:t xml:space="preserve"> </w:t>
            </w:r>
            <w:r>
              <w:rPr>
                <w:noProof/>
                <w:sz w:val="22"/>
              </w:rPr>
              <w:t>ЕС като глобален партньор]</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960" w:type="dxa"/>
            <w:gridSpan w:val="3"/>
            <w:vAlign w:val="center"/>
          </w:tcPr>
          <w:p>
            <w:pPr>
              <w:jc w:val="center"/>
              <w:rPr>
                <w:noProof/>
                <w:szCs w:val="20"/>
              </w:rPr>
            </w:pPr>
            <w:r>
              <w:rPr>
                <w:noProof/>
                <w:sz w:val="22"/>
              </w:rPr>
              <w:t>ГД: „Икономически и финансови въпроси“:</w:t>
            </w:r>
          </w:p>
        </w:tc>
        <w:tc>
          <w:tcPr>
            <w:tcW w:w="1560" w:type="dxa"/>
            <w:gridSpan w:val="3"/>
          </w:tcPr>
          <w:p>
            <w:pPr>
              <w:rPr>
                <w:noProof/>
                <w:sz w:val="20"/>
                <w:szCs w:val="20"/>
              </w:rPr>
            </w:pPr>
          </w:p>
        </w:tc>
        <w:tc>
          <w:tcPr>
            <w:tcW w:w="534" w:type="dxa"/>
          </w:tcPr>
          <w:p>
            <w:pPr>
              <w:jc w:val="center"/>
              <w:rPr>
                <w:noProof/>
                <w:sz w:val="20"/>
                <w:szCs w:val="20"/>
              </w:rPr>
            </w:pPr>
          </w:p>
        </w:tc>
        <w:tc>
          <w:tcPr>
            <w:tcW w:w="868" w:type="dxa"/>
            <w:gridSpan w:val="4"/>
            <w:vAlign w:val="center"/>
          </w:tcPr>
          <w:p>
            <w:pPr>
              <w:jc w:val="center"/>
              <w:rPr>
                <w:noProof/>
                <w:szCs w:val="20"/>
              </w:rPr>
            </w:pPr>
            <w:r>
              <w:rPr>
                <w:noProof/>
                <w:sz w:val="20"/>
              </w:rPr>
              <w:t>Година</w:t>
            </w:r>
            <w:r>
              <w:rPr>
                <w:noProof/>
                <w:sz w:val="20"/>
                <w:szCs w:val="20"/>
              </w:rPr>
              <w:br/>
            </w:r>
            <w:r>
              <w:rPr>
                <w:b/>
                <w:noProof/>
                <w:sz w:val="20"/>
              </w:rPr>
              <w:t>2018</w:t>
            </w:r>
          </w:p>
        </w:tc>
        <w:tc>
          <w:tcPr>
            <w:tcW w:w="868" w:type="dxa"/>
            <w:gridSpan w:val="2"/>
            <w:vAlign w:val="center"/>
          </w:tcPr>
          <w:p>
            <w:pPr>
              <w:jc w:val="center"/>
              <w:rPr>
                <w:noProof/>
                <w:szCs w:val="20"/>
              </w:rPr>
            </w:pPr>
            <w:r>
              <w:rPr>
                <w:noProof/>
                <w:sz w:val="20"/>
              </w:rPr>
              <w:t>Година</w:t>
            </w:r>
            <w:r>
              <w:rPr>
                <w:noProof/>
                <w:sz w:val="20"/>
                <w:szCs w:val="20"/>
              </w:rPr>
              <w:br/>
            </w:r>
            <w:r>
              <w:rPr>
                <w:b/>
                <w:noProof/>
                <w:sz w:val="20"/>
              </w:rPr>
              <w:t>2019</w:t>
            </w:r>
          </w:p>
        </w:tc>
        <w:tc>
          <w:tcPr>
            <w:tcW w:w="868" w:type="dxa"/>
            <w:gridSpan w:val="2"/>
            <w:vAlign w:val="center"/>
          </w:tcPr>
          <w:p>
            <w:pPr>
              <w:jc w:val="center"/>
              <w:rPr>
                <w:noProof/>
                <w:szCs w:val="20"/>
              </w:rPr>
            </w:pPr>
            <w:r>
              <w:rPr>
                <w:noProof/>
                <w:sz w:val="20"/>
              </w:rPr>
              <w:t>Година</w:t>
            </w:r>
            <w:r>
              <w:rPr>
                <w:noProof/>
                <w:sz w:val="20"/>
                <w:szCs w:val="20"/>
              </w:rPr>
              <w:br/>
            </w:r>
            <w:r>
              <w:rPr>
                <w:b/>
                <w:noProof/>
                <w:sz w:val="20"/>
              </w:rPr>
              <w:t>2020</w:t>
            </w:r>
          </w:p>
        </w:tc>
        <w:tc>
          <w:tcPr>
            <w:tcW w:w="757" w:type="dxa"/>
          </w:tcPr>
          <w:p>
            <w:pPr>
              <w:jc w:val="center"/>
              <w:rPr>
                <w:b/>
                <w:noProof/>
                <w:sz w:val="20"/>
                <w:szCs w:val="20"/>
              </w:rPr>
            </w:pPr>
            <w:r>
              <w:rPr>
                <w:b/>
                <w:noProof/>
                <w:sz w:val="20"/>
              </w:rPr>
              <w:t>Година 2021</w:t>
            </w:r>
          </w:p>
        </w:tc>
        <w:tc>
          <w:tcPr>
            <w:tcW w:w="985" w:type="dxa"/>
            <w:gridSpan w:val="2"/>
            <w:vAlign w:val="center"/>
          </w:tcPr>
          <w:p>
            <w:pPr>
              <w:jc w:val="center"/>
              <w:rPr>
                <w:b/>
                <w:noProof/>
                <w:sz w:val="20"/>
                <w:szCs w:val="20"/>
              </w:rPr>
            </w:pPr>
            <w:r>
              <w:rPr>
                <w:b/>
                <w:noProof/>
                <w:sz w:val="20"/>
              </w:rPr>
              <w:t>ОБЩО</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Height w:val="213"/>
        </w:trPr>
        <w:tc>
          <w:tcPr>
            <w:tcW w:w="6054" w:type="dxa"/>
            <w:gridSpan w:val="7"/>
            <w:vAlign w:val="center"/>
          </w:tcPr>
          <w:p>
            <w:pPr>
              <w:spacing w:before="20" w:after="20"/>
              <w:rPr>
                <w:noProof/>
                <w:szCs w:val="20"/>
              </w:rPr>
            </w:pPr>
            <w:r>
              <w:rPr>
                <w:noProof/>
                <w:sz w:val="21"/>
                <w:szCs w:val="20"/>
              </w:rPr>
              <w:sym w:font="Wingdings" w:char="F09F"/>
            </w:r>
            <w:r>
              <w:rPr>
                <w:noProof/>
              </w:rPr>
              <w:t xml:space="preserve"> </w:t>
            </w:r>
            <w:r>
              <w:rPr>
                <w:noProof/>
                <w:sz w:val="21"/>
              </w:rPr>
              <w:t>Бюджетни кредити за оперативни разходи</w:t>
            </w:r>
          </w:p>
        </w:tc>
        <w:tc>
          <w:tcPr>
            <w:tcW w:w="868" w:type="dxa"/>
            <w:gridSpan w:val="4"/>
            <w:vAlign w:val="center"/>
          </w:tcPr>
          <w:p>
            <w:pPr>
              <w:rPr>
                <w:noProof/>
                <w:sz w:val="20"/>
                <w:szCs w:val="20"/>
              </w:rPr>
            </w:pPr>
          </w:p>
        </w:tc>
        <w:tc>
          <w:tcPr>
            <w:tcW w:w="868" w:type="dxa"/>
            <w:gridSpan w:val="2"/>
            <w:vAlign w:val="center"/>
          </w:tcPr>
          <w:p>
            <w:pPr>
              <w:rPr>
                <w:noProof/>
                <w:sz w:val="20"/>
                <w:szCs w:val="20"/>
              </w:rPr>
            </w:pPr>
          </w:p>
        </w:tc>
        <w:tc>
          <w:tcPr>
            <w:tcW w:w="868" w:type="dxa"/>
            <w:gridSpan w:val="2"/>
            <w:vAlign w:val="center"/>
          </w:tcPr>
          <w:p>
            <w:pPr>
              <w:rPr>
                <w:noProof/>
                <w:sz w:val="20"/>
                <w:szCs w:val="20"/>
              </w:rPr>
            </w:pPr>
          </w:p>
        </w:tc>
        <w:tc>
          <w:tcPr>
            <w:tcW w:w="757" w:type="dxa"/>
          </w:tcPr>
          <w:p>
            <w:pPr>
              <w:jc w:val="right"/>
              <w:rPr>
                <w:b/>
                <w:noProof/>
                <w:sz w:val="20"/>
                <w:szCs w:val="20"/>
              </w:rPr>
            </w:pPr>
          </w:p>
        </w:tc>
        <w:tc>
          <w:tcPr>
            <w:tcW w:w="985" w:type="dxa"/>
            <w:gridSpan w:val="2"/>
            <w:vAlign w:val="center"/>
          </w:tcPr>
          <w:p>
            <w:pPr>
              <w:jc w:val="right"/>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960" w:type="dxa"/>
            <w:gridSpan w:val="3"/>
            <w:vMerge w:val="restart"/>
            <w:vAlign w:val="center"/>
          </w:tcPr>
          <w:p>
            <w:pPr>
              <w:jc w:val="left"/>
              <w:rPr>
                <w:noProof/>
                <w:sz w:val="20"/>
                <w:szCs w:val="20"/>
              </w:rPr>
            </w:pPr>
            <w:r>
              <w:rPr>
                <w:noProof/>
                <w:sz w:val="20"/>
              </w:rPr>
              <w:t>Бюджетен ред 01 03 06 „Обезпечаване на Гаранционния фонд“</w:t>
            </w:r>
          </w:p>
        </w:tc>
        <w:tc>
          <w:tcPr>
            <w:tcW w:w="1440" w:type="dxa"/>
            <w:gridSpan w:val="2"/>
            <w:vAlign w:val="center"/>
          </w:tcPr>
          <w:p>
            <w:pPr>
              <w:spacing w:before="20" w:after="20"/>
              <w:rPr>
                <w:noProof/>
                <w:szCs w:val="20"/>
              </w:rPr>
            </w:pPr>
            <w:r>
              <w:rPr>
                <w:noProof/>
                <w:sz w:val="18"/>
              </w:rPr>
              <w:t>Поети задължения</w:t>
            </w:r>
          </w:p>
        </w:tc>
        <w:tc>
          <w:tcPr>
            <w:tcW w:w="654" w:type="dxa"/>
            <w:gridSpan w:val="2"/>
            <w:vAlign w:val="center"/>
          </w:tcPr>
          <w:p>
            <w:pPr>
              <w:spacing w:before="20" w:after="20"/>
              <w:jc w:val="center"/>
              <w:rPr>
                <w:noProof/>
                <w:sz w:val="14"/>
                <w:szCs w:val="20"/>
              </w:rPr>
            </w:pPr>
            <w:r>
              <w:rPr>
                <w:noProof/>
                <w:sz w:val="14"/>
              </w:rPr>
              <w:t>(1а)</w:t>
            </w:r>
          </w:p>
        </w:tc>
        <w:tc>
          <w:tcPr>
            <w:tcW w:w="868" w:type="dxa"/>
            <w:gridSpan w:val="4"/>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r>
              <w:rPr>
                <w:noProof/>
                <w:sz w:val="20"/>
              </w:rPr>
              <w:t>45</w:t>
            </w:r>
          </w:p>
        </w:tc>
        <w:tc>
          <w:tcPr>
            <w:tcW w:w="757" w:type="dxa"/>
          </w:tcPr>
          <w:p>
            <w:pPr>
              <w:spacing w:before="20" w:after="20"/>
              <w:jc w:val="right"/>
              <w:rPr>
                <w:noProof/>
                <w:sz w:val="20"/>
                <w:szCs w:val="20"/>
              </w:rPr>
            </w:pPr>
            <w:r>
              <w:rPr>
                <w:noProof/>
                <w:sz w:val="20"/>
              </w:rPr>
              <w:t>45</w:t>
            </w:r>
          </w:p>
        </w:tc>
        <w:tc>
          <w:tcPr>
            <w:tcW w:w="985" w:type="dxa"/>
            <w:gridSpan w:val="2"/>
            <w:vAlign w:val="center"/>
          </w:tcPr>
          <w:p>
            <w:pPr>
              <w:spacing w:before="20" w:after="20"/>
              <w:jc w:val="right"/>
              <w:rPr>
                <w:b/>
                <w:noProof/>
                <w:sz w:val="20"/>
                <w:szCs w:val="20"/>
              </w:rPr>
            </w:pPr>
            <w:r>
              <w:rPr>
                <w:b/>
                <w:noProof/>
                <w:sz w:val="20"/>
              </w:rPr>
              <w:t>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960" w:type="dxa"/>
            <w:gridSpan w:val="3"/>
            <w:vMerge/>
          </w:tcPr>
          <w:p>
            <w:pPr>
              <w:jc w:val="center"/>
              <w:rPr>
                <w:noProof/>
                <w:sz w:val="20"/>
                <w:szCs w:val="20"/>
              </w:rPr>
            </w:pPr>
          </w:p>
        </w:tc>
        <w:tc>
          <w:tcPr>
            <w:tcW w:w="1440" w:type="dxa"/>
            <w:gridSpan w:val="2"/>
            <w:vAlign w:val="center"/>
          </w:tcPr>
          <w:p>
            <w:pPr>
              <w:spacing w:before="20" w:after="20"/>
              <w:rPr>
                <w:noProof/>
                <w:szCs w:val="20"/>
              </w:rPr>
            </w:pPr>
            <w:r>
              <w:rPr>
                <w:noProof/>
                <w:sz w:val="18"/>
              </w:rPr>
              <w:t>Плащания</w:t>
            </w:r>
          </w:p>
        </w:tc>
        <w:tc>
          <w:tcPr>
            <w:tcW w:w="654" w:type="dxa"/>
            <w:gridSpan w:val="2"/>
            <w:vAlign w:val="center"/>
          </w:tcPr>
          <w:p>
            <w:pPr>
              <w:spacing w:before="20" w:after="20"/>
              <w:jc w:val="center"/>
              <w:rPr>
                <w:noProof/>
                <w:sz w:val="14"/>
                <w:szCs w:val="20"/>
              </w:rPr>
            </w:pPr>
            <w:r>
              <w:rPr>
                <w:noProof/>
                <w:sz w:val="14"/>
              </w:rPr>
              <w:t>(2а)</w:t>
            </w:r>
          </w:p>
        </w:tc>
        <w:tc>
          <w:tcPr>
            <w:tcW w:w="868" w:type="dxa"/>
            <w:gridSpan w:val="4"/>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r>
              <w:rPr>
                <w:noProof/>
                <w:sz w:val="20"/>
              </w:rPr>
              <w:t>45</w:t>
            </w:r>
          </w:p>
        </w:tc>
        <w:tc>
          <w:tcPr>
            <w:tcW w:w="757" w:type="dxa"/>
            <w:vAlign w:val="center"/>
          </w:tcPr>
          <w:p>
            <w:pPr>
              <w:spacing w:before="20" w:after="20"/>
              <w:jc w:val="right"/>
              <w:rPr>
                <w:noProof/>
                <w:sz w:val="20"/>
                <w:szCs w:val="20"/>
              </w:rPr>
            </w:pPr>
            <w:r>
              <w:rPr>
                <w:noProof/>
                <w:sz w:val="20"/>
              </w:rPr>
              <w:t>45</w:t>
            </w:r>
          </w:p>
        </w:tc>
        <w:tc>
          <w:tcPr>
            <w:tcW w:w="985" w:type="dxa"/>
            <w:gridSpan w:val="2"/>
            <w:vAlign w:val="center"/>
          </w:tcPr>
          <w:p>
            <w:pPr>
              <w:spacing w:before="20" w:after="20"/>
              <w:jc w:val="right"/>
              <w:rPr>
                <w:b/>
                <w:noProof/>
                <w:sz w:val="20"/>
                <w:szCs w:val="20"/>
              </w:rPr>
            </w:pPr>
            <w:r>
              <w:rPr>
                <w:b/>
                <w:noProof/>
                <w:sz w:val="20"/>
              </w:rPr>
              <w:t>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Height w:val="231"/>
        </w:trPr>
        <w:tc>
          <w:tcPr>
            <w:tcW w:w="6054" w:type="dxa"/>
            <w:gridSpan w:val="7"/>
            <w:vAlign w:val="center"/>
          </w:tcPr>
          <w:p>
            <w:pPr>
              <w:spacing w:before="20" w:after="20"/>
              <w:rPr>
                <w:noProof/>
                <w:sz w:val="20"/>
                <w:szCs w:val="20"/>
              </w:rPr>
            </w:pPr>
            <w:r>
              <w:rPr>
                <w:noProof/>
                <w:sz w:val="20"/>
              </w:rPr>
              <w:t xml:space="preserve">Бюджетни кредити за административни разходи, финансирани от пакета за определени програми </w:t>
            </w:r>
          </w:p>
          <w:p>
            <w:pPr>
              <w:autoSpaceDE w:val="0"/>
              <w:autoSpaceDN w:val="0"/>
              <w:adjustRightInd w:val="0"/>
              <w:spacing w:before="0"/>
              <w:jc w:val="left"/>
              <w:rPr>
                <w:noProof/>
                <w:sz w:val="20"/>
                <w:szCs w:val="20"/>
              </w:rPr>
            </w:pPr>
            <w:r>
              <w:rPr>
                <w:noProof/>
                <w:sz w:val="20"/>
              </w:rPr>
              <w:t>(оперативна оценка и последваща оценка)</w:t>
            </w:r>
          </w:p>
        </w:tc>
        <w:tc>
          <w:tcPr>
            <w:tcW w:w="868" w:type="dxa"/>
            <w:gridSpan w:val="4"/>
            <w:vAlign w:val="center"/>
          </w:tcPr>
          <w:p>
            <w:pPr>
              <w:rPr>
                <w:b/>
                <w:noProof/>
                <w:sz w:val="20"/>
                <w:szCs w:val="20"/>
              </w:rPr>
            </w:pPr>
          </w:p>
        </w:tc>
        <w:tc>
          <w:tcPr>
            <w:tcW w:w="868" w:type="dxa"/>
            <w:gridSpan w:val="2"/>
            <w:vAlign w:val="center"/>
          </w:tcPr>
          <w:p>
            <w:pPr>
              <w:rPr>
                <w:b/>
                <w:noProof/>
                <w:sz w:val="20"/>
                <w:szCs w:val="20"/>
              </w:rPr>
            </w:pPr>
          </w:p>
        </w:tc>
        <w:tc>
          <w:tcPr>
            <w:tcW w:w="868" w:type="dxa"/>
            <w:gridSpan w:val="2"/>
            <w:vAlign w:val="center"/>
          </w:tcPr>
          <w:p>
            <w:pPr>
              <w:rPr>
                <w:b/>
                <w:noProof/>
                <w:sz w:val="20"/>
                <w:szCs w:val="20"/>
              </w:rPr>
            </w:pPr>
          </w:p>
        </w:tc>
        <w:tc>
          <w:tcPr>
            <w:tcW w:w="757" w:type="dxa"/>
          </w:tcPr>
          <w:p>
            <w:pPr>
              <w:jc w:val="right"/>
              <w:rPr>
                <w:noProof/>
                <w:sz w:val="20"/>
                <w:szCs w:val="20"/>
              </w:rPr>
            </w:pPr>
          </w:p>
        </w:tc>
        <w:tc>
          <w:tcPr>
            <w:tcW w:w="985" w:type="dxa"/>
            <w:gridSpan w:val="2"/>
            <w:vAlign w:val="center"/>
          </w:tcPr>
          <w:p>
            <w:pPr>
              <w:jc w:val="right"/>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Height w:val="319"/>
        </w:trPr>
        <w:tc>
          <w:tcPr>
            <w:tcW w:w="3652" w:type="dxa"/>
            <w:vAlign w:val="center"/>
          </w:tcPr>
          <w:p>
            <w:pPr>
              <w:spacing w:before="60" w:after="60"/>
              <w:rPr>
                <w:noProof/>
                <w:sz w:val="20"/>
                <w:szCs w:val="20"/>
              </w:rPr>
            </w:pPr>
            <w:r>
              <w:rPr>
                <w:noProof/>
                <w:sz w:val="20"/>
              </w:rPr>
              <w:t>Бюджетен ред 01 03 02 „Макрофинансова помощ“</w:t>
            </w:r>
          </w:p>
        </w:tc>
        <w:tc>
          <w:tcPr>
            <w:tcW w:w="1748" w:type="dxa"/>
            <w:gridSpan w:val="4"/>
            <w:vAlign w:val="center"/>
          </w:tcPr>
          <w:p>
            <w:pPr>
              <w:spacing w:before="40" w:after="40"/>
              <w:jc w:val="left"/>
              <w:rPr>
                <w:noProof/>
                <w:sz w:val="18"/>
                <w:szCs w:val="20"/>
              </w:rPr>
            </w:pPr>
            <w:r>
              <w:rPr>
                <w:noProof/>
                <w:sz w:val="18"/>
              </w:rPr>
              <w:t>Поети задължения</w:t>
            </w:r>
          </w:p>
        </w:tc>
        <w:tc>
          <w:tcPr>
            <w:tcW w:w="654" w:type="dxa"/>
            <w:gridSpan w:val="2"/>
            <w:vAlign w:val="center"/>
          </w:tcPr>
          <w:p>
            <w:pPr>
              <w:spacing w:before="40" w:after="40"/>
              <w:jc w:val="center"/>
              <w:rPr>
                <w:noProof/>
                <w:sz w:val="14"/>
                <w:szCs w:val="20"/>
              </w:rPr>
            </w:pPr>
            <w:r>
              <w:rPr>
                <w:noProof/>
                <w:sz w:val="14"/>
              </w:rPr>
              <w:t>(3)</w:t>
            </w:r>
          </w:p>
        </w:tc>
        <w:tc>
          <w:tcPr>
            <w:tcW w:w="868" w:type="dxa"/>
            <w:gridSpan w:val="4"/>
            <w:vAlign w:val="center"/>
          </w:tcPr>
          <w:p>
            <w:pPr>
              <w:spacing w:before="40" w:after="40"/>
              <w:jc w:val="right"/>
              <w:rPr>
                <w:noProof/>
                <w:sz w:val="20"/>
                <w:szCs w:val="20"/>
              </w:rPr>
            </w:pPr>
            <w:r>
              <w:rPr>
                <w:noProof/>
                <w:sz w:val="20"/>
              </w:rPr>
              <w:t>0,07</w:t>
            </w:r>
          </w:p>
        </w:tc>
        <w:tc>
          <w:tcPr>
            <w:tcW w:w="868" w:type="dxa"/>
            <w:gridSpan w:val="2"/>
            <w:vAlign w:val="center"/>
          </w:tcPr>
          <w:p>
            <w:pPr>
              <w:spacing w:before="40" w:after="40"/>
              <w:jc w:val="right"/>
              <w:rPr>
                <w:noProof/>
                <w:sz w:val="20"/>
                <w:szCs w:val="20"/>
              </w:rPr>
            </w:pPr>
          </w:p>
        </w:tc>
        <w:tc>
          <w:tcPr>
            <w:tcW w:w="868" w:type="dxa"/>
            <w:gridSpan w:val="2"/>
            <w:vAlign w:val="center"/>
          </w:tcPr>
          <w:p>
            <w:pPr>
              <w:spacing w:before="40" w:after="40"/>
              <w:jc w:val="right"/>
              <w:rPr>
                <w:b/>
                <w:noProof/>
                <w:sz w:val="20"/>
                <w:szCs w:val="20"/>
              </w:rPr>
            </w:pPr>
          </w:p>
        </w:tc>
        <w:tc>
          <w:tcPr>
            <w:tcW w:w="757" w:type="dxa"/>
          </w:tcPr>
          <w:p>
            <w:pPr>
              <w:spacing w:before="40" w:after="40"/>
              <w:jc w:val="right"/>
              <w:rPr>
                <w:noProof/>
                <w:sz w:val="20"/>
                <w:szCs w:val="20"/>
              </w:rPr>
            </w:pPr>
            <w:r>
              <w:rPr>
                <w:noProof/>
                <w:sz w:val="20"/>
              </w:rPr>
              <w:t>0,15</w:t>
            </w:r>
          </w:p>
        </w:tc>
        <w:tc>
          <w:tcPr>
            <w:tcW w:w="985" w:type="dxa"/>
            <w:gridSpan w:val="2"/>
            <w:vAlign w:val="center"/>
          </w:tcPr>
          <w:p>
            <w:pPr>
              <w:spacing w:before="40" w:after="40"/>
              <w:jc w:val="right"/>
              <w:rPr>
                <w:b/>
                <w:noProof/>
                <w:sz w:val="20"/>
                <w:szCs w:val="20"/>
              </w:rPr>
            </w:pPr>
            <w:r>
              <w:rPr>
                <w:b/>
                <w:noProof/>
                <w:sz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Height w:val="319"/>
        </w:trPr>
        <w:tc>
          <w:tcPr>
            <w:tcW w:w="3652" w:type="dxa"/>
            <w:vAlign w:val="center"/>
          </w:tcPr>
          <w:p>
            <w:pPr>
              <w:spacing w:before="60" w:after="60"/>
              <w:rPr>
                <w:noProof/>
                <w:sz w:val="20"/>
                <w:szCs w:val="20"/>
              </w:rPr>
            </w:pPr>
          </w:p>
        </w:tc>
        <w:tc>
          <w:tcPr>
            <w:tcW w:w="1748" w:type="dxa"/>
            <w:gridSpan w:val="4"/>
            <w:vAlign w:val="center"/>
          </w:tcPr>
          <w:p>
            <w:pPr>
              <w:spacing w:before="40" w:after="40"/>
              <w:jc w:val="left"/>
              <w:rPr>
                <w:noProof/>
                <w:sz w:val="18"/>
                <w:szCs w:val="20"/>
              </w:rPr>
            </w:pPr>
            <w:r>
              <w:rPr>
                <w:noProof/>
                <w:sz w:val="18"/>
              </w:rPr>
              <w:t>Плащания</w:t>
            </w:r>
          </w:p>
        </w:tc>
        <w:tc>
          <w:tcPr>
            <w:tcW w:w="654" w:type="dxa"/>
            <w:gridSpan w:val="2"/>
            <w:vAlign w:val="center"/>
          </w:tcPr>
          <w:p>
            <w:pPr>
              <w:spacing w:before="40" w:after="40"/>
              <w:jc w:val="center"/>
              <w:rPr>
                <w:noProof/>
                <w:sz w:val="14"/>
                <w:szCs w:val="20"/>
              </w:rPr>
            </w:pPr>
            <w:r>
              <w:rPr>
                <w:noProof/>
                <w:sz w:val="14"/>
              </w:rPr>
              <w:t>(3а)</w:t>
            </w:r>
          </w:p>
        </w:tc>
        <w:tc>
          <w:tcPr>
            <w:tcW w:w="868" w:type="dxa"/>
            <w:gridSpan w:val="4"/>
            <w:vAlign w:val="center"/>
          </w:tcPr>
          <w:p>
            <w:pPr>
              <w:spacing w:before="40" w:after="40"/>
              <w:jc w:val="right"/>
              <w:rPr>
                <w:noProof/>
                <w:sz w:val="20"/>
                <w:szCs w:val="20"/>
              </w:rPr>
            </w:pPr>
            <w:r>
              <w:rPr>
                <w:noProof/>
                <w:sz w:val="20"/>
              </w:rPr>
              <w:t>0,07</w:t>
            </w:r>
          </w:p>
        </w:tc>
        <w:tc>
          <w:tcPr>
            <w:tcW w:w="868" w:type="dxa"/>
            <w:gridSpan w:val="2"/>
            <w:vAlign w:val="center"/>
          </w:tcPr>
          <w:p>
            <w:pPr>
              <w:spacing w:before="40" w:after="40"/>
              <w:jc w:val="right"/>
              <w:rPr>
                <w:noProof/>
                <w:sz w:val="20"/>
                <w:szCs w:val="20"/>
              </w:rPr>
            </w:pPr>
          </w:p>
        </w:tc>
        <w:tc>
          <w:tcPr>
            <w:tcW w:w="868" w:type="dxa"/>
            <w:gridSpan w:val="2"/>
            <w:vAlign w:val="center"/>
          </w:tcPr>
          <w:p>
            <w:pPr>
              <w:spacing w:before="40" w:after="40"/>
              <w:jc w:val="right"/>
              <w:rPr>
                <w:b/>
                <w:noProof/>
                <w:sz w:val="20"/>
                <w:szCs w:val="20"/>
              </w:rPr>
            </w:pPr>
          </w:p>
        </w:tc>
        <w:tc>
          <w:tcPr>
            <w:tcW w:w="757" w:type="dxa"/>
          </w:tcPr>
          <w:p>
            <w:pPr>
              <w:spacing w:before="40" w:after="40"/>
              <w:jc w:val="right"/>
              <w:rPr>
                <w:noProof/>
                <w:sz w:val="20"/>
                <w:szCs w:val="20"/>
              </w:rPr>
            </w:pPr>
            <w:r>
              <w:rPr>
                <w:noProof/>
                <w:sz w:val="20"/>
              </w:rPr>
              <w:t>0,15</w:t>
            </w:r>
          </w:p>
        </w:tc>
        <w:tc>
          <w:tcPr>
            <w:tcW w:w="985" w:type="dxa"/>
            <w:gridSpan w:val="2"/>
            <w:vAlign w:val="center"/>
          </w:tcPr>
          <w:p>
            <w:pPr>
              <w:spacing w:before="40" w:after="40"/>
              <w:jc w:val="right"/>
              <w:rPr>
                <w:b/>
                <w:noProof/>
                <w:sz w:val="20"/>
                <w:szCs w:val="20"/>
              </w:rPr>
            </w:pPr>
            <w:r>
              <w:rPr>
                <w:b/>
                <w:noProof/>
                <w:sz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652" w:type="dxa"/>
            <w:vMerge w:val="restart"/>
            <w:vAlign w:val="center"/>
          </w:tcPr>
          <w:p>
            <w:pPr>
              <w:jc w:val="center"/>
              <w:rPr>
                <w:noProof/>
                <w:szCs w:val="20"/>
              </w:rPr>
            </w:pPr>
            <w:r>
              <w:rPr>
                <w:b/>
                <w:noProof/>
                <w:sz w:val="22"/>
              </w:rPr>
              <w:t>ОБЩО бюджетни кредити</w:t>
            </w:r>
            <w:r>
              <w:rPr>
                <w:b/>
                <w:noProof/>
                <w:sz w:val="22"/>
                <w:szCs w:val="20"/>
              </w:rPr>
              <w:br/>
            </w:r>
            <w:r>
              <w:rPr>
                <w:b/>
                <w:noProof/>
                <w:sz w:val="22"/>
              </w:rPr>
              <w:t>за ГД</w:t>
            </w:r>
            <w:r>
              <w:rPr>
                <w:noProof/>
              </w:rPr>
              <w:t xml:space="preserve"> </w:t>
            </w:r>
            <w:r>
              <w:rPr>
                <w:noProof/>
                <w:sz w:val="22"/>
              </w:rPr>
              <w:t>„Икономически и финансови въпроси“</w:t>
            </w:r>
          </w:p>
        </w:tc>
        <w:tc>
          <w:tcPr>
            <w:tcW w:w="1748" w:type="dxa"/>
            <w:gridSpan w:val="4"/>
            <w:vAlign w:val="center"/>
          </w:tcPr>
          <w:p>
            <w:pPr>
              <w:rPr>
                <w:noProof/>
                <w:szCs w:val="20"/>
              </w:rPr>
            </w:pPr>
            <w:r>
              <w:rPr>
                <w:noProof/>
                <w:sz w:val="18"/>
              </w:rPr>
              <w:t>Поети задължения</w:t>
            </w:r>
          </w:p>
        </w:tc>
        <w:tc>
          <w:tcPr>
            <w:tcW w:w="654" w:type="dxa"/>
            <w:gridSpan w:val="2"/>
            <w:vAlign w:val="center"/>
          </w:tcPr>
          <w:p>
            <w:pPr>
              <w:jc w:val="center"/>
              <w:rPr>
                <w:noProof/>
                <w:szCs w:val="20"/>
              </w:rPr>
            </w:pPr>
            <w:r>
              <w:rPr>
                <w:noProof/>
                <w:sz w:val="14"/>
              </w:rPr>
              <w:t>=1+1а+3</w:t>
            </w:r>
          </w:p>
        </w:tc>
        <w:tc>
          <w:tcPr>
            <w:tcW w:w="868" w:type="dxa"/>
            <w:gridSpan w:val="4"/>
            <w:vAlign w:val="center"/>
          </w:tcPr>
          <w:p>
            <w:pPr>
              <w:spacing w:before="20" w:after="20"/>
              <w:jc w:val="right"/>
              <w:rPr>
                <w:noProof/>
                <w:sz w:val="20"/>
                <w:szCs w:val="20"/>
              </w:rPr>
            </w:pPr>
            <w:r>
              <w:rPr>
                <w:noProof/>
                <w:sz w:val="20"/>
              </w:rPr>
              <w:t>0,07</w:t>
            </w:r>
          </w:p>
        </w:tc>
        <w:tc>
          <w:tcPr>
            <w:tcW w:w="868" w:type="dxa"/>
            <w:gridSpan w:val="2"/>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r>
              <w:rPr>
                <w:noProof/>
                <w:sz w:val="20"/>
              </w:rPr>
              <w:t>45</w:t>
            </w:r>
          </w:p>
        </w:tc>
        <w:tc>
          <w:tcPr>
            <w:tcW w:w="757" w:type="dxa"/>
            <w:vAlign w:val="center"/>
          </w:tcPr>
          <w:p>
            <w:pPr>
              <w:spacing w:before="20" w:after="20"/>
              <w:jc w:val="right"/>
              <w:rPr>
                <w:noProof/>
                <w:sz w:val="20"/>
                <w:szCs w:val="20"/>
              </w:rPr>
            </w:pPr>
            <w:r>
              <w:rPr>
                <w:noProof/>
                <w:sz w:val="20"/>
              </w:rPr>
              <w:t>45,15</w:t>
            </w:r>
          </w:p>
        </w:tc>
        <w:tc>
          <w:tcPr>
            <w:tcW w:w="985" w:type="dxa"/>
            <w:gridSpan w:val="2"/>
            <w:vAlign w:val="center"/>
          </w:tcPr>
          <w:p>
            <w:pPr>
              <w:spacing w:before="20" w:after="20"/>
              <w:jc w:val="right"/>
              <w:rPr>
                <w:b/>
                <w:noProof/>
                <w:sz w:val="20"/>
                <w:szCs w:val="20"/>
              </w:rPr>
            </w:pPr>
            <w:r>
              <w:rPr>
                <w:b/>
                <w:noProof/>
                <w:sz w:val="20"/>
              </w:rPr>
              <w:t>90,22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652" w:type="dxa"/>
            <w:vMerge/>
          </w:tcPr>
          <w:p>
            <w:pPr>
              <w:rPr>
                <w:noProof/>
                <w:sz w:val="20"/>
                <w:szCs w:val="20"/>
              </w:rPr>
            </w:pPr>
          </w:p>
        </w:tc>
        <w:tc>
          <w:tcPr>
            <w:tcW w:w="1748" w:type="dxa"/>
            <w:gridSpan w:val="4"/>
            <w:vAlign w:val="center"/>
          </w:tcPr>
          <w:p>
            <w:pPr>
              <w:rPr>
                <w:noProof/>
                <w:szCs w:val="20"/>
              </w:rPr>
            </w:pPr>
            <w:r>
              <w:rPr>
                <w:noProof/>
                <w:sz w:val="18"/>
              </w:rPr>
              <w:t>Плащания</w:t>
            </w:r>
          </w:p>
        </w:tc>
        <w:tc>
          <w:tcPr>
            <w:tcW w:w="654" w:type="dxa"/>
            <w:gridSpan w:val="2"/>
            <w:vAlign w:val="center"/>
          </w:tcPr>
          <w:p>
            <w:pPr>
              <w:jc w:val="center"/>
              <w:rPr>
                <w:noProof/>
                <w:sz w:val="14"/>
                <w:szCs w:val="20"/>
              </w:rPr>
            </w:pPr>
            <w:r>
              <w:rPr>
                <w:noProof/>
                <w:sz w:val="14"/>
              </w:rPr>
              <w:t>=2+2а</w:t>
            </w:r>
          </w:p>
          <w:p>
            <w:pPr>
              <w:jc w:val="center"/>
              <w:rPr>
                <w:noProof/>
                <w:sz w:val="14"/>
                <w:szCs w:val="20"/>
              </w:rPr>
            </w:pPr>
            <w:r>
              <w:rPr>
                <w:noProof/>
                <w:sz w:val="14"/>
              </w:rPr>
              <w:t>+3</w:t>
            </w:r>
          </w:p>
        </w:tc>
        <w:tc>
          <w:tcPr>
            <w:tcW w:w="868" w:type="dxa"/>
            <w:gridSpan w:val="4"/>
            <w:vAlign w:val="center"/>
          </w:tcPr>
          <w:p>
            <w:pPr>
              <w:spacing w:before="20" w:after="20"/>
              <w:jc w:val="right"/>
              <w:rPr>
                <w:noProof/>
                <w:sz w:val="20"/>
                <w:szCs w:val="20"/>
              </w:rPr>
            </w:pPr>
            <w:r>
              <w:rPr>
                <w:noProof/>
                <w:sz w:val="20"/>
              </w:rPr>
              <w:t>0,07</w:t>
            </w:r>
          </w:p>
        </w:tc>
        <w:tc>
          <w:tcPr>
            <w:tcW w:w="868" w:type="dxa"/>
            <w:gridSpan w:val="2"/>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r>
              <w:rPr>
                <w:noProof/>
                <w:sz w:val="20"/>
              </w:rPr>
              <w:t>45</w:t>
            </w:r>
          </w:p>
        </w:tc>
        <w:tc>
          <w:tcPr>
            <w:tcW w:w="757" w:type="dxa"/>
          </w:tcPr>
          <w:p>
            <w:pPr>
              <w:spacing w:before="20" w:after="20"/>
              <w:jc w:val="right"/>
              <w:rPr>
                <w:noProof/>
                <w:sz w:val="20"/>
                <w:szCs w:val="20"/>
              </w:rPr>
            </w:pPr>
          </w:p>
          <w:p>
            <w:pPr>
              <w:spacing w:before="20" w:after="20"/>
              <w:jc w:val="right"/>
              <w:rPr>
                <w:noProof/>
                <w:sz w:val="20"/>
                <w:szCs w:val="20"/>
              </w:rPr>
            </w:pPr>
            <w:r>
              <w:rPr>
                <w:noProof/>
                <w:sz w:val="20"/>
              </w:rPr>
              <w:t>45,15</w:t>
            </w:r>
          </w:p>
        </w:tc>
        <w:tc>
          <w:tcPr>
            <w:tcW w:w="985" w:type="dxa"/>
            <w:gridSpan w:val="2"/>
            <w:vAlign w:val="center"/>
          </w:tcPr>
          <w:p>
            <w:pPr>
              <w:spacing w:before="20" w:after="20"/>
              <w:jc w:val="right"/>
              <w:rPr>
                <w:b/>
                <w:noProof/>
                <w:sz w:val="20"/>
                <w:szCs w:val="20"/>
              </w:rPr>
            </w:pPr>
            <w:r>
              <w:rPr>
                <w:b/>
                <w:noProof/>
                <w:sz w:val="20"/>
              </w:rPr>
              <w:t>90,22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652" w:type="dxa"/>
            <w:tcBorders>
              <w:bottom w:val="single" w:sz="4" w:space="0" w:color="auto"/>
            </w:tcBorders>
          </w:tcPr>
          <w:p>
            <w:pPr>
              <w:spacing w:before="20" w:after="20"/>
              <w:rPr>
                <w:noProof/>
                <w:szCs w:val="20"/>
              </w:rPr>
            </w:pPr>
            <w:r>
              <w:rPr>
                <w:noProof/>
              </w:rPr>
              <w:br w:type="page"/>
            </w:r>
            <w:r>
              <w:rPr>
                <w:noProof/>
                <w:sz w:val="21"/>
                <w:szCs w:val="20"/>
              </w:rPr>
              <w:sym w:font="Wingdings" w:char="F09F"/>
            </w:r>
            <w:r>
              <w:rPr>
                <w:noProof/>
              </w:rPr>
              <w:t xml:space="preserve"> </w:t>
            </w:r>
            <w:r>
              <w:rPr>
                <w:noProof/>
                <w:sz w:val="21"/>
              </w:rPr>
              <w:t>ОБЩО бюджетни кредити за оперативни разходи</w:t>
            </w:r>
          </w:p>
        </w:tc>
        <w:tc>
          <w:tcPr>
            <w:tcW w:w="1748" w:type="dxa"/>
            <w:gridSpan w:val="4"/>
            <w:tcBorders>
              <w:top w:val="single" w:sz="4" w:space="0" w:color="auto"/>
              <w:left w:val="single" w:sz="4" w:space="0" w:color="auto"/>
              <w:bottom w:val="single" w:sz="4" w:space="0" w:color="auto"/>
              <w:right w:val="single" w:sz="4" w:space="0" w:color="auto"/>
            </w:tcBorders>
            <w:vAlign w:val="center"/>
          </w:tcPr>
          <w:p>
            <w:pPr>
              <w:jc w:val="center"/>
              <w:rPr>
                <w:b/>
                <w:noProof/>
                <w:szCs w:val="20"/>
              </w:rPr>
            </w:pPr>
            <w:r>
              <w:rPr>
                <w:b/>
                <w:noProof/>
                <w:sz w:val="22"/>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rPr>
                <w:noProof/>
                <w:sz w:val="18"/>
                <w:szCs w:val="20"/>
              </w:rPr>
            </w:pPr>
            <w:r>
              <w:rPr>
                <w:noProof/>
                <w:sz w:val="18"/>
              </w:rPr>
              <w:t>(4)</w:t>
            </w:r>
          </w:p>
        </w:tc>
        <w:tc>
          <w:tcPr>
            <w:tcW w:w="868" w:type="dxa"/>
            <w:gridSpan w:val="4"/>
            <w:tcBorders>
              <w:top w:val="single" w:sz="4" w:space="0" w:color="auto"/>
              <w:left w:val="single" w:sz="4" w:space="0" w:color="auto"/>
              <w:bottom w:val="single" w:sz="4" w:space="0" w:color="auto"/>
              <w:right w:val="single" w:sz="4" w:space="0" w:color="auto"/>
            </w:tcBorders>
            <w:vAlign w:val="center"/>
          </w:tcPr>
          <w:p>
            <w:pPr>
              <w:jc w:val="center"/>
              <w:rPr>
                <w:noProof/>
                <w:sz w:val="14"/>
                <w:szCs w:val="20"/>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rPr>
              <w:t>45</w:t>
            </w:r>
          </w:p>
        </w:tc>
        <w:tc>
          <w:tcPr>
            <w:tcW w:w="757" w:type="dxa"/>
            <w:tcBorders>
              <w:top w:val="single" w:sz="4" w:space="0" w:color="auto"/>
              <w:left w:val="single" w:sz="4" w:space="0" w:color="auto"/>
              <w:bottom w:val="single" w:sz="4" w:space="0" w:color="auto"/>
              <w:right w:val="single" w:sz="4" w:space="0" w:color="auto"/>
            </w:tcBorders>
          </w:tcPr>
          <w:p>
            <w:pPr>
              <w:spacing w:before="20" w:after="20"/>
              <w:jc w:val="right"/>
              <w:rPr>
                <w:noProof/>
                <w:sz w:val="20"/>
                <w:szCs w:val="20"/>
              </w:rPr>
            </w:pPr>
            <w:r>
              <w:rPr>
                <w:noProof/>
                <w:sz w:val="20"/>
              </w:rPr>
              <w:t>45</w:t>
            </w:r>
          </w:p>
        </w:tc>
        <w:tc>
          <w:tcPr>
            <w:tcW w:w="985"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szCs w:val="20"/>
              </w:rPr>
            </w:pPr>
            <w:r>
              <w:rPr>
                <w:b/>
                <w:noProof/>
                <w:sz w:val="20"/>
              </w:rPr>
              <w:t>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652" w:type="dxa"/>
          </w:tcPr>
          <w:p>
            <w:pPr>
              <w:jc w:val="center"/>
              <w:rPr>
                <w:noProof/>
                <w:sz w:val="20"/>
                <w:szCs w:val="20"/>
              </w:rPr>
            </w:pPr>
          </w:p>
        </w:tc>
        <w:tc>
          <w:tcPr>
            <w:tcW w:w="1748" w:type="dxa"/>
            <w:gridSpan w:val="4"/>
            <w:tcBorders>
              <w:top w:val="single" w:sz="4" w:space="0" w:color="auto"/>
              <w:left w:val="single" w:sz="4" w:space="0" w:color="auto"/>
              <w:bottom w:val="single" w:sz="4" w:space="0" w:color="auto"/>
              <w:right w:val="single" w:sz="4" w:space="0" w:color="auto"/>
            </w:tcBorders>
            <w:vAlign w:val="center"/>
          </w:tcPr>
          <w:p>
            <w:pPr>
              <w:jc w:val="center"/>
              <w:rPr>
                <w:b/>
                <w:noProof/>
                <w:szCs w:val="20"/>
              </w:rPr>
            </w:pPr>
            <w:r>
              <w:rPr>
                <w:b/>
                <w:noProof/>
                <w:sz w:val="22"/>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rPr>
                <w:noProof/>
                <w:sz w:val="18"/>
                <w:szCs w:val="20"/>
              </w:rPr>
            </w:pPr>
            <w:r>
              <w:rPr>
                <w:noProof/>
                <w:sz w:val="18"/>
              </w:rPr>
              <w:t>(5)</w:t>
            </w:r>
          </w:p>
        </w:tc>
        <w:tc>
          <w:tcPr>
            <w:tcW w:w="868" w:type="dxa"/>
            <w:gridSpan w:val="4"/>
            <w:tcBorders>
              <w:top w:val="single" w:sz="4" w:space="0" w:color="auto"/>
              <w:left w:val="single" w:sz="4" w:space="0" w:color="auto"/>
              <w:bottom w:val="single" w:sz="4" w:space="0" w:color="auto"/>
              <w:right w:val="single" w:sz="4" w:space="0" w:color="auto"/>
            </w:tcBorders>
            <w:vAlign w:val="center"/>
          </w:tcPr>
          <w:p>
            <w:pPr>
              <w:jc w:val="center"/>
              <w:rPr>
                <w:noProof/>
                <w:sz w:val="14"/>
                <w:szCs w:val="20"/>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rPr>
              <w:t>45</w:t>
            </w:r>
          </w:p>
        </w:tc>
        <w:tc>
          <w:tcPr>
            <w:tcW w:w="757"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rPr>
              <w:t>45</w:t>
            </w:r>
          </w:p>
        </w:tc>
        <w:tc>
          <w:tcPr>
            <w:tcW w:w="985"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szCs w:val="20"/>
              </w:rPr>
            </w:pPr>
            <w:r>
              <w:rPr>
                <w:b/>
                <w:noProof/>
                <w:sz w:val="20"/>
              </w:rPr>
              <w:t>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0" w:type="dxa"/>
        </w:trPr>
        <w:tc>
          <w:tcPr>
            <w:tcW w:w="5387" w:type="dxa"/>
            <w:gridSpan w:val="5"/>
            <w:shd w:val="clear" w:color="C0C0C0" w:fill="auto"/>
          </w:tcPr>
          <w:p>
            <w:pPr>
              <w:rPr>
                <w:noProof/>
                <w:sz w:val="18"/>
                <w:szCs w:val="20"/>
              </w:rPr>
            </w:pPr>
            <w:r>
              <w:rPr>
                <w:noProof/>
                <w:sz w:val="21"/>
              </w:rPr>
              <w:t>ОБЩО бюджетни кредити за административни разходи, финансирани от пакета за определени програми</w:t>
            </w:r>
          </w:p>
        </w:tc>
        <w:tc>
          <w:tcPr>
            <w:tcW w:w="709" w:type="dxa"/>
            <w:gridSpan w:val="4"/>
            <w:vAlign w:val="center"/>
          </w:tcPr>
          <w:p>
            <w:pPr>
              <w:jc w:val="center"/>
              <w:rPr>
                <w:noProof/>
                <w:sz w:val="14"/>
                <w:szCs w:val="20"/>
              </w:rPr>
            </w:pPr>
            <w:r>
              <w:rPr>
                <w:noProof/>
                <w:sz w:val="14"/>
              </w:rPr>
              <w:t>(6)</w:t>
            </w:r>
          </w:p>
        </w:tc>
        <w:tc>
          <w:tcPr>
            <w:tcW w:w="851" w:type="dxa"/>
            <w:gridSpan w:val="2"/>
            <w:vAlign w:val="center"/>
          </w:tcPr>
          <w:p>
            <w:pPr>
              <w:spacing w:before="20" w:after="20"/>
              <w:jc w:val="right"/>
              <w:rPr>
                <w:noProof/>
                <w:sz w:val="20"/>
                <w:szCs w:val="20"/>
              </w:rPr>
            </w:pPr>
            <w:r>
              <w:rPr>
                <w:noProof/>
                <w:sz w:val="20"/>
              </w:rPr>
              <w:t>0,07</w:t>
            </w:r>
          </w:p>
        </w:tc>
        <w:tc>
          <w:tcPr>
            <w:tcW w:w="850" w:type="dxa"/>
            <w:gridSpan w:val="2"/>
            <w:vAlign w:val="center"/>
          </w:tcPr>
          <w:p>
            <w:pPr>
              <w:spacing w:before="20" w:after="20"/>
              <w:jc w:val="right"/>
              <w:rPr>
                <w:noProof/>
                <w:sz w:val="20"/>
                <w:szCs w:val="20"/>
              </w:rPr>
            </w:pPr>
          </w:p>
        </w:tc>
        <w:tc>
          <w:tcPr>
            <w:tcW w:w="865" w:type="dxa"/>
            <w:gridSpan w:val="2"/>
            <w:vAlign w:val="center"/>
          </w:tcPr>
          <w:p>
            <w:pPr>
              <w:spacing w:before="20" w:after="20"/>
              <w:jc w:val="right"/>
              <w:rPr>
                <w:noProof/>
                <w:sz w:val="20"/>
                <w:szCs w:val="20"/>
              </w:rPr>
            </w:pPr>
          </w:p>
        </w:tc>
        <w:tc>
          <w:tcPr>
            <w:tcW w:w="836" w:type="dxa"/>
            <w:gridSpan w:val="3"/>
          </w:tcPr>
          <w:p>
            <w:pPr>
              <w:spacing w:before="20" w:after="20"/>
              <w:jc w:val="right"/>
              <w:rPr>
                <w:noProof/>
                <w:sz w:val="20"/>
                <w:szCs w:val="20"/>
              </w:rPr>
            </w:pPr>
          </w:p>
          <w:p>
            <w:pPr>
              <w:spacing w:before="20" w:after="20"/>
              <w:jc w:val="right"/>
              <w:rPr>
                <w:noProof/>
                <w:sz w:val="20"/>
                <w:szCs w:val="20"/>
              </w:rPr>
            </w:pPr>
            <w:r>
              <w:rPr>
                <w:noProof/>
                <w:sz w:val="20"/>
              </w:rPr>
              <w:t>0,15</w:t>
            </w:r>
          </w:p>
        </w:tc>
        <w:tc>
          <w:tcPr>
            <w:tcW w:w="964" w:type="dxa"/>
            <w:gridSpan w:val="2"/>
            <w:vAlign w:val="center"/>
          </w:tcPr>
          <w:p>
            <w:pPr>
              <w:spacing w:before="20" w:after="20"/>
              <w:jc w:val="right"/>
              <w:rPr>
                <w:b/>
                <w:noProof/>
                <w:sz w:val="20"/>
                <w:szCs w:val="20"/>
              </w:rPr>
            </w:pPr>
            <w:r>
              <w:rPr>
                <w:b/>
                <w:noProof/>
                <w:sz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0" w:type="dxa"/>
        </w:trPr>
        <w:tc>
          <w:tcPr>
            <w:tcW w:w="3742" w:type="dxa"/>
            <w:gridSpan w:val="3"/>
            <w:vMerge w:val="restart"/>
            <w:shd w:val="clear" w:color="C0C0C0" w:fill="auto"/>
            <w:vAlign w:val="center"/>
          </w:tcPr>
          <w:p>
            <w:pPr>
              <w:jc w:val="center"/>
              <w:rPr>
                <w:noProof/>
                <w:szCs w:val="20"/>
              </w:rPr>
            </w:pPr>
            <w:r>
              <w:rPr>
                <w:b/>
                <w:noProof/>
                <w:sz w:val="22"/>
              </w:rPr>
              <w:t xml:space="preserve">ОБЩО бюджетни кредити </w:t>
            </w:r>
            <w:r>
              <w:rPr>
                <w:b/>
                <w:noProof/>
                <w:sz w:val="22"/>
                <w:szCs w:val="20"/>
              </w:rPr>
              <w:br/>
            </w:r>
            <w:r>
              <w:rPr>
                <w:b/>
                <w:noProof/>
                <w:sz w:val="22"/>
              </w:rPr>
              <w:t>по ФУНКЦИЯ 4</w:t>
            </w:r>
            <w:r>
              <w:rPr>
                <w:b/>
                <w:noProof/>
                <w:sz w:val="22"/>
                <w:szCs w:val="20"/>
              </w:rPr>
              <w:br/>
            </w:r>
            <w:r>
              <w:rPr>
                <w:noProof/>
                <w:sz w:val="22"/>
              </w:rPr>
              <w:t>от многогодишната финансова рамка</w:t>
            </w:r>
          </w:p>
        </w:tc>
        <w:tc>
          <w:tcPr>
            <w:tcW w:w="1645" w:type="dxa"/>
            <w:gridSpan w:val="2"/>
            <w:vAlign w:val="center"/>
          </w:tcPr>
          <w:p>
            <w:pPr>
              <w:rPr>
                <w:noProof/>
                <w:szCs w:val="20"/>
              </w:rPr>
            </w:pPr>
            <w:r>
              <w:rPr>
                <w:noProof/>
                <w:sz w:val="18"/>
              </w:rPr>
              <w:t>Поети задължения</w:t>
            </w:r>
          </w:p>
        </w:tc>
        <w:tc>
          <w:tcPr>
            <w:tcW w:w="709" w:type="dxa"/>
            <w:gridSpan w:val="4"/>
            <w:vAlign w:val="center"/>
          </w:tcPr>
          <w:p>
            <w:pPr>
              <w:jc w:val="center"/>
              <w:rPr>
                <w:noProof/>
                <w:sz w:val="14"/>
                <w:szCs w:val="20"/>
              </w:rPr>
            </w:pPr>
            <w:r>
              <w:rPr>
                <w:noProof/>
                <w:sz w:val="14"/>
              </w:rPr>
              <w:t>=4+6</w:t>
            </w:r>
          </w:p>
        </w:tc>
        <w:tc>
          <w:tcPr>
            <w:tcW w:w="851" w:type="dxa"/>
            <w:gridSpan w:val="2"/>
            <w:vAlign w:val="center"/>
          </w:tcPr>
          <w:p>
            <w:pPr>
              <w:spacing w:before="20" w:after="20"/>
              <w:jc w:val="right"/>
              <w:rPr>
                <w:noProof/>
                <w:sz w:val="20"/>
                <w:szCs w:val="20"/>
              </w:rPr>
            </w:pPr>
            <w:r>
              <w:rPr>
                <w:noProof/>
                <w:sz w:val="20"/>
              </w:rPr>
              <w:t>0,07</w:t>
            </w:r>
          </w:p>
        </w:tc>
        <w:tc>
          <w:tcPr>
            <w:tcW w:w="850" w:type="dxa"/>
            <w:gridSpan w:val="2"/>
            <w:vAlign w:val="center"/>
          </w:tcPr>
          <w:p>
            <w:pPr>
              <w:spacing w:before="20" w:after="20"/>
              <w:jc w:val="right"/>
              <w:rPr>
                <w:noProof/>
                <w:sz w:val="20"/>
                <w:szCs w:val="20"/>
              </w:rPr>
            </w:pPr>
          </w:p>
        </w:tc>
        <w:tc>
          <w:tcPr>
            <w:tcW w:w="865" w:type="dxa"/>
            <w:gridSpan w:val="2"/>
            <w:vAlign w:val="center"/>
          </w:tcPr>
          <w:p>
            <w:pPr>
              <w:spacing w:before="20" w:after="20"/>
              <w:jc w:val="right"/>
              <w:rPr>
                <w:noProof/>
                <w:sz w:val="20"/>
                <w:szCs w:val="20"/>
              </w:rPr>
            </w:pPr>
            <w:r>
              <w:rPr>
                <w:noProof/>
                <w:sz w:val="20"/>
              </w:rPr>
              <w:t>45</w:t>
            </w:r>
          </w:p>
        </w:tc>
        <w:tc>
          <w:tcPr>
            <w:tcW w:w="836" w:type="dxa"/>
            <w:gridSpan w:val="3"/>
            <w:vAlign w:val="center"/>
          </w:tcPr>
          <w:p>
            <w:pPr>
              <w:spacing w:before="20" w:after="20"/>
              <w:jc w:val="right"/>
              <w:rPr>
                <w:noProof/>
                <w:sz w:val="20"/>
                <w:szCs w:val="20"/>
              </w:rPr>
            </w:pPr>
            <w:r>
              <w:rPr>
                <w:noProof/>
                <w:sz w:val="20"/>
              </w:rPr>
              <w:t>45,15</w:t>
            </w:r>
          </w:p>
        </w:tc>
        <w:tc>
          <w:tcPr>
            <w:tcW w:w="964" w:type="dxa"/>
            <w:gridSpan w:val="2"/>
            <w:vAlign w:val="center"/>
          </w:tcPr>
          <w:p>
            <w:pPr>
              <w:spacing w:before="20" w:after="20"/>
              <w:jc w:val="right"/>
              <w:rPr>
                <w:noProof/>
                <w:sz w:val="20"/>
                <w:szCs w:val="20"/>
              </w:rPr>
            </w:pPr>
            <w:r>
              <w:rPr>
                <w:b/>
                <w:noProof/>
                <w:sz w:val="20"/>
              </w:rPr>
              <w:t>90,22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0" w:type="dxa"/>
        </w:trPr>
        <w:tc>
          <w:tcPr>
            <w:tcW w:w="3742" w:type="dxa"/>
            <w:gridSpan w:val="3"/>
            <w:vMerge/>
            <w:shd w:val="thinDiagStripe" w:color="C0C0C0" w:fill="auto"/>
          </w:tcPr>
          <w:p>
            <w:pPr>
              <w:rPr>
                <w:noProof/>
                <w:sz w:val="20"/>
                <w:szCs w:val="20"/>
              </w:rPr>
            </w:pPr>
          </w:p>
        </w:tc>
        <w:tc>
          <w:tcPr>
            <w:tcW w:w="1645" w:type="dxa"/>
            <w:gridSpan w:val="2"/>
            <w:vAlign w:val="center"/>
          </w:tcPr>
          <w:p>
            <w:pPr>
              <w:rPr>
                <w:noProof/>
                <w:szCs w:val="20"/>
              </w:rPr>
            </w:pPr>
            <w:r>
              <w:rPr>
                <w:noProof/>
                <w:sz w:val="18"/>
              </w:rPr>
              <w:t>Плащания</w:t>
            </w:r>
          </w:p>
        </w:tc>
        <w:tc>
          <w:tcPr>
            <w:tcW w:w="709" w:type="dxa"/>
            <w:gridSpan w:val="4"/>
            <w:vAlign w:val="center"/>
          </w:tcPr>
          <w:p>
            <w:pPr>
              <w:jc w:val="center"/>
              <w:rPr>
                <w:noProof/>
                <w:sz w:val="14"/>
                <w:szCs w:val="20"/>
              </w:rPr>
            </w:pPr>
            <w:r>
              <w:rPr>
                <w:noProof/>
                <w:sz w:val="14"/>
              </w:rPr>
              <w:t>=5+6</w:t>
            </w:r>
          </w:p>
        </w:tc>
        <w:tc>
          <w:tcPr>
            <w:tcW w:w="851" w:type="dxa"/>
            <w:gridSpan w:val="2"/>
            <w:vAlign w:val="center"/>
          </w:tcPr>
          <w:p>
            <w:pPr>
              <w:spacing w:before="20" w:after="20"/>
              <w:jc w:val="right"/>
              <w:rPr>
                <w:noProof/>
                <w:sz w:val="20"/>
                <w:szCs w:val="20"/>
              </w:rPr>
            </w:pPr>
            <w:r>
              <w:rPr>
                <w:noProof/>
                <w:sz w:val="20"/>
              </w:rPr>
              <w:t>0,07</w:t>
            </w:r>
          </w:p>
        </w:tc>
        <w:tc>
          <w:tcPr>
            <w:tcW w:w="850" w:type="dxa"/>
            <w:gridSpan w:val="2"/>
            <w:vAlign w:val="center"/>
          </w:tcPr>
          <w:p>
            <w:pPr>
              <w:spacing w:before="20" w:after="20"/>
              <w:jc w:val="right"/>
              <w:rPr>
                <w:noProof/>
                <w:sz w:val="20"/>
                <w:szCs w:val="20"/>
              </w:rPr>
            </w:pPr>
          </w:p>
        </w:tc>
        <w:tc>
          <w:tcPr>
            <w:tcW w:w="865" w:type="dxa"/>
            <w:gridSpan w:val="2"/>
            <w:vAlign w:val="center"/>
          </w:tcPr>
          <w:p>
            <w:pPr>
              <w:spacing w:before="20" w:after="20"/>
              <w:jc w:val="right"/>
              <w:rPr>
                <w:noProof/>
                <w:sz w:val="20"/>
                <w:szCs w:val="20"/>
              </w:rPr>
            </w:pPr>
            <w:r>
              <w:rPr>
                <w:noProof/>
                <w:sz w:val="20"/>
              </w:rPr>
              <w:t>45</w:t>
            </w:r>
          </w:p>
        </w:tc>
        <w:tc>
          <w:tcPr>
            <w:tcW w:w="836" w:type="dxa"/>
            <w:gridSpan w:val="3"/>
          </w:tcPr>
          <w:p>
            <w:pPr>
              <w:spacing w:before="20" w:after="20"/>
              <w:jc w:val="right"/>
              <w:rPr>
                <w:noProof/>
                <w:sz w:val="20"/>
                <w:szCs w:val="20"/>
              </w:rPr>
            </w:pPr>
          </w:p>
          <w:p>
            <w:pPr>
              <w:spacing w:before="20" w:after="20"/>
              <w:jc w:val="right"/>
              <w:rPr>
                <w:noProof/>
                <w:sz w:val="20"/>
                <w:szCs w:val="20"/>
              </w:rPr>
            </w:pPr>
            <w:r>
              <w:rPr>
                <w:noProof/>
                <w:sz w:val="20"/>
              </w:rPr>
              <w:t>45,15</w:t>
            </w:r>
          </w:p>
        </w:tc>
        <w:tc>
          <w:tcPr>
            <w:tcW w:w="964" w:type="dxa"/>
            <w:gridSpan w:val="2"/>
            <w:vAlign w:val="center"/>
          </w:tcPr>
          <w:p>
            <w:pPr>
              <w:spacing w:before="20" w:after="20"/>
              <w:jc w:val="right"/>
              <w:rPr>
                <w:noProof/>
                <w:sz w:val="20"/>
                <w:szCs w:val="20"/>
              </w:rPr>
            </w:pPr>
            <w:r>
              <w:rPr>
                <w:b/>
                <w:noProof/>
                <w:sz w:val="20"/>
              </w:rPr>
              <w:t>90,22</w:t>
            </w:r>
          </w:p>
        </w:tc>
      </w:tr>
    </w:tbl>
    <w:p>
      <w:pPr>
        <w:rPr>
          <w:noProof/>
          <w:szCs w:val="20"/>
          <w:highlight w:val="cyan"/>
        </w:rPr>
      </w:pPr>
    </w:p>
    <w:p>
      <w:pPr>
        <w:spacing w:after="40"/>
        <w:rPr>
          <w:b/>
          <w:noProof/>
          <w:sz w:val="22"/>
          <w:u w:val="single"/>
        </w:rPr>
      </w:pPr>
      <w:r>
        <w:rPr>
          <w:noProof/>
        </w:rPr>
        <w:br w:type="page"/>
      </w:r>
      <w:r>
        <w:rPr>
          <w:b/>
          <w:noProof/>
          <w:sz w:val="22"/>
          <w:u w:val="single"/>
        </w:rPr>
        <w:t>Ако предложението/инициативата има отражение върху повече от една функция:</w:t>
      </w:r>
    </w:p>
    <w:p>
      <w:pPr>
        <w:spacing w:before="240"/>
        <w:jc w:val="right"/>
        <w:rPr>
          <w:noProof/>
          <w:sz w:val="20"/>
        </w:rPr>
      </w:pPr>
      <w:r>
        <w:rPr>
          <w:noProof/>
          <w:sz w:val="20"/>
        </w:rPr>
        <w:t>милиони евро (до третия знак след десетичната запетая)</w:t>
      </w:r>
    </w:p>
    <w:tbl>
      <w:tblPr>
        <w:tblW w:w="102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1842"/>
        <w:gridCol w:w="851"/>
        <w:gridCol w:w="851"/>
        <w:gridCol w:w="142"/>
        <w:gridCol w:w="708"/>
        <w:gridCol w:w="851"/>
        <w:gridCol w:w="993"/>
        <w:gridCol w:w="916"/>
        <w:gridCol w:w="77"/>
      </w:tblGrid>
      <w:tr>
        <w:trPr>
          <w:gridAfter w:val="1"/>
          <w:wAfter w:w="77" w:type="dxa"/>
        </w:trPr>
        <w:tc>
          <w:tcPr>
            <w:tcW w:w="3053" w:type="dxa"/>
            <w:vAlign w:val="center"/>
          </w:tcPr>
          <w:p>
            <w:pPr>
              <w:ind w:left="-174" w:right="-108"/>
              <w:jc w:val="center"/>
              <w:rPr>
                <w:noProof/>
              </w:rPr>
            </w:pPr>
            <w:r>
              <w:rPr>
                <w:b/>
                <w:noProof/>
              </w:rPr>
              <w:t>Функция от многогодишната финансова рамка:</w:t>
            </w:r>
          </w:p>
        </w:tc>
        <w:tc>
          <w:tcPr>
            <w:tcW w:w="1842" w:type="dxa"/>
          </w:tcPr>
          <w:p>
            <w:pPr>
              <w:jc w:val="center"/>
              <w:rPr>
                <w:noProof/>
                <w:sz w:val="20"/>
              </w:rPr>
            </w:pPr>
            <w:r>
              <w:rPr>
                <w:b/>
                <w:noProof/>
                <w:sz w:val="20"/>
              </w:rPr>
              <w:br/>
              <w:t>5</w:t>
            </w:r>
          </w:p>
        </w:tc>
        <w:tc>
          <w:tcPr>
            <w:tcW w:w="5312" w:type="dxa"/>
            <w:gridSpan w:val="7"/>
            <w:vAlign w:val="center"/>
          </w:tcPr>
          <w:p>
            <w:pPr>
              <w:jc w:val="center"/>
              <w:rPr>
                <w:b/>
                <w:noProof/>
                <w:sz w:val="20"/>
              </w:rPr>
            </w:pPr>
            <w:r>
              <w:rPr>
                <w:noProof/>
                <w:sz w:val="22"/>
              </w:rPr>
              <w:t>„Административни разходи“</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53" w:type="dxa"/>
          </w:tcPr>
          <w:p>
            <w:pPr>
              <w:jc w:val="center"/>
              <w:rPr>
                <w:noProof/>
              </w:rPr>
            </w:pPr>
          </w:p>
        </w:tc>
        <w:tc>
          <w:tcPr>
            <w:tcW w:w="1842" w:type="dxa"/>
          </w:tcPr>
          <w:p>
            <w:pPr>
              <w:rPr>
                <w:noProof/>
                <w:sz w:val="20"/>
              </w:rPr>
            </w:pPr>
          </w:p>
        </w:tc>
        <w:tc>
          <w:tcPr>
            <w:tcW w:w="851" w:type="dxa"/>
          </w:tcPr>
          <w:p>
            <w:pPr>
              <w:jc w:val="center"/>
              <w:rPr>
                <w:noProof/>
                <w:sz w:val="20"/>
              </w:rPr>
            </w:pPr>
            <w:r>
              <w:rPr>
                <w:noProof/>
                <w:sz w:val="20"/>
              </w:rPr>
              <w:t>Година</w:t>
            </w:r>
            <w:r>
              <w:rPr>
                <w:noProof/>
                <w:sz w:val="20"/>
              </w:rPr>
              <w:br/>
            </w:r>
            <w:r>
              <w:rPr>
                <w:b/>
                <w:noProof/>
                <w:sz w:val="20"/>
              </w:rPr>
              <w:t>2017</w:t>
            </w:r>
          </w:p>
        </w:tc>
        <w:tc>
          <w:tcPr>
            <w:tcW w:w="851" w:type="dxa"/>
          </w:tcPr>
          <w:p>
            <w:pPr>
              <w:jc w:val="center"/>
              <w:rPr>
                <w:noProof/>
              </w:rPr>
            </w:pPr>
            <w:r>
              <w:rPr>
                <w:noProof/>
                <w:sz w:val="20"/>
              </w:rPr>
              <w:t>Година</w:t>
            </w:r>
            <w:r>
              <w:rPr>
                <w:noProof/>
                <w:sz w:val="20"/>
              </w:rPr>
              <w:br/>
            </w:r>
            <w:r>
              <w:rPr>
                <w:b/>
                <w:noProof/>
                <w:sz w:val="20"/>
              </w:rPr>
              <w:t>2018</w:t>
            </w:r>
          </w:p>
        </w:tc>
        <w:tc>
          <w:tcPr>
            <w:tcW w:w="850" w:type="dxa"/>
            <w:gridSpan w:val="2"/>
          </w:tcPr>
          <w:p>
            <w:pPr>
              <w:jc w:val="center"/>
              <w:rPr>
                <w:noProof/>
              </w:rPr>
            </w:pPr>
            <w:r>
              <w:rPr>
                <w:noProof/>
                <w:sz w:val="20"/>
              </w:rPr>
              <w:t>Година</w:t>
            </w:r>
            <w:r>
              <w:rPr>
                <w:noProof/>
                <w:sz w:val="20"/>
              </w:rPr>
              <w:br/>
            </w:r>
            <w:r>
              <w:rPr>
                <w:b/>
                <w:noProof/>
                <w:sz w:val="20"/>
              </w:rPr>
              <w:t>2019</w:t>
            </w:r>
          </w:p>
        </w:tc>
        <w:tc>
          <w:tcPr>
            <w:tcW w:w="851" w:type="dxa"/>
          </w:tcPr>
          <w:p>
            <w:pPr>
              <w:jc w:val="center"/>
              <w:rPr>
                <w:b/>
                <w:noProof/>
                <w:sz w:val="20"/>
              </w:rPr>
            </w:pPr>
            <w:r>
              <w:rPr>
                <w:noProof/>
                <w:sz w:val="20"/>
              </w:rPr>
              <w:t>Година</w:t>
            </w:r>
            <w:r>
              <w:rPr>
                <w:noProof/>
                <w:sz w:val="20"/>
              </w:rPr>
              <w:br/>
            </w:r>
            <w:r>
              <w:rPr>
                <w:b/>
                <w:noProof/>
                <w:sz w:val="20"/>
              </w:rPr>
              <w:t>2020</w:t>
            </w:r>
          </w:p>
        </w:tc>
        <w:tc>
          <w:tcPr>
            <w:tcW w:w="993" w:type="dxa"/>
          </w:tcPr>
          <w:p>
            <w:pPr>
              <w:jc w:val="center"/>
              <w:rPr>
                <w:b/>
                <w:noProof/>
                <w:sz w:val="20"/>
              </w:rPr>
            </w:pPr>
            <w:r>
              <w:rPr>
                <w:noProof/>
                <w:sz w:val="20"/>
              </w:rPr>
              <w:t>Година</w:t>
            </w:r>
            <w:r>
              <w:rPr>
                <w:b/>
                <w:noProof/>
                <w:sz w:val="20"/>
              </w:rPr>
              <w:br/>
              <w:t>2021</w:t>
            </w:r>
          </w:p>
        </w:tc>
        <w:tc>
          <w:tcPr>
            <w:tcW w:w="993" w:type="dxa"/>
            <w:gridSpan w:val="2"/>
          </w:tcPr>
          <w:p>
            <w:pPr>
              <w:jc w:val="center"/>
              <w:rPr>
                <w:b/>
                <w:noProof/>
                <w:sz w:val="20"/>
              </w:rPr>
            </w:pPr>
            <w:r>
              <w:rPr>
                <w:b/>
                <w:noProof/>
                <w:sz w:val="20"/>
              </w:rPr>
              <w:t>ОБЩО</w:t>
            </w:r>
          </w:p>
        </w:tc>
      </w:tr>
      <w:tr>
        <w:trPr>
          <w:gridAfter w:val="5"/>
          <w:wAfter w:w="3545" w:type="dxa"/>
        </w:trPr>
        <w:tc>
          <w:tcPr>
            <w:tcW w:w="3053" w:type="dxa"/>
            <w:vAlign w:val="center"/>
          </w:tcPr>
          <w:p>
            <w:pPr>
              <w:spacing w:before="60" w:after="60"/>
              <w:jc w:val="center"/>
              <w:rPr>
                <w:noProof/>
              </w:rPr>
            </w:pPr>
            <w:r>
              <w:rPr>
                <w:noProof/>
                <w:sz w:val="22"/>
              </w:rPr>
              <w:t>ГД: „Икономически и финансови въпроси“</w:t>
            </w:r>
          </w:p>
        </w:tc>
        <w:tc>
          <w:tcPr>
            <w:tcW w:w="2693" w:type="dxa"/>
            <w:gridSpan w:val="2"/>
            <w:tcBorders>
              <w:top w:val="nil"/>
              <w:right w:val="nil"/>
            </w:tcBorders>
          </w:tcPr>
          <w:p>
            <w:pPr>
              <w:spacing w:before="60" w:after="60"/>
              <w:jc w:val="center"/>
              <w:rPr>
                <w:noProof/>
              </w:rPr>
            </w:pPr>
          </w:p>
        </w:tc>
        <w:tc>
          <w:tcPr>
            <w:tcW w:w="993" w:type="dxa"/>
            <w:gridSpan w:val="2"/>
            <w:tcBorders>
              <w:top w:val="nil"/>
              <w:right w:val="nil"/>
            </w:tcBorders>
          </w:tcPr>
          <w:p>
            <w:pPr>
              <w:spacing w:before="60" w:after="60"/>
              <w:jc w:val="center"/>
              <w:rPr>
                <w:noProof/>
              </w:rPr>
            </w:pPr>
          </w:p>
        </w:tc>
      </w:tr>
      <w:tr>
        <w:trPr>
          <w:trHeight w:val="313"/>
        </w:trPr>
        <w:tc>
          <w:tcPr>
            <w:tcW w:w="4895" w:type="dxa"/>
            <w:gridSpan w:val="2"/>
            <w:vAlign w:val="center"/>
          </w:tcPr>
          <w:p>
            <w:pPr>
              <w:spacing w:before="20" w:after="20"/>
              <w:rPr>
                <w:noProof/>
              </w:rPr>
            </w:pPr>
            <w:r>
              <w:rPr>
                <w:noProof/>
                <w:sz w:val="22"/>
              </w:rPr>
              <w:sym w:font="Wingdings" w:char="F09F"/>
            </w:r>
            <w:r>
              <w:rPr>
                <w:noProof/>
              </w:rPr>
              <w:t xml:space="preserve"> </w:t>
            </w:r>
            <w:r>
              <w:rPr>
                <w:noProof/>
                <w:sz w:val="22"/>
              </w:rPr>
              <w:t>Човешки ресурси</w:t>
            </w:r>
          </w:p>
        </w:tc>
        <w:tc>
          <w:tcPr>
            <w:tcW w:w="851" w:type="dxa"/>
            <w:vAlign w:val="center"/>
          </w:tcPr>
          <w:p>
            <w:pPr>
              <w:spacing w:before="60" w:after="60" w:line="200" w:lineRule="exact"/>
              <w:jc w:val="center"/>
              <w:rPr>
                <w:noProof/>
                <w:sz w:val="20"/>
                <w:szCs w:val="20"/>
              </w:rPr>
            </w:pPr>
            <w:r>
              <w:rPr>
                <w:noProof/>
                <w:sz w:val="20"/>
              </w:rPr>
              <w:t>0,043</w:t>
            </w:r>
          </w:p>
        </w:tc>
        <w:tc>
          <w:tcPr>
            <w:tcW w:w="851" w:type="dxa"/>
            <w:vAlign w:val="center"/>
          </w:tcPr>
          <w:p>
            <w:pPr>
              <w:spacing w:before="60" w:after="60" w:line="200" w:lineRule="exact"/>
              <w:jc w:val="center"/>
              <w:rPr>
                <w:noProof/>
                <w:sz w:val="20"/>
                <w:szCs w:val="20"/>
              </w:rPr>
            </w:pPr>
            <w:r>
              <w:rPr>
                <w:noProof/>
                <w:sz w:val="20"/>
              </w:rPr>
              <w:t>0,429</w:t>
            </w:r>
          </w:p>
        </w:tc>
        <w:tc>
          <w:tcPr>
            <w:tcW w:w="850" w:type="dxa"/>
            <w:gridSpan w:val="2"/>
            <w:vAlign w:val="center"/>
          </w:tcPr>
          <w:p>
            <w:pPr>
              <w:spacing w:before="60" w:after="60" w:line="200" w:lineRule="exact"/>
              <w:jc w:val="center"/>
              <w:rPr>
                <w:noProof/>
                <w:sz w:val="20"/>
                <w:szCs w:val="20"/>
              </w:rPr>
            </w:pPr>
            <w:r>
              <w:rPr>
                <w:noProof/>
                <w:sz w:val="20"/>
              </w:rPr>
              <w:t>0,215</w:t>
            </w:r>
          </w:p>
        </w:tc>
        <w:tc>
          <w:tcPr>
            <w:tcW w:w="851" w:type="dxa"/>
            <w:vAlign w:val="center"/>
          </w:tcPr>
          <w:p>
            <w:pPr>
              <w:spacing w:before="60" w:after="60" w:line="200" w:lineRule="exact"/>
              <w:jc w:val="center"/>
              <w:rPr>
                <w:noProof/>
                <w:sz w:val="20"/>
                <w:szCs w:val="20"/>
              </w:rPr>
            </w:pPr>
            <w:r>
              <w:rPr>
                <w:noProof/>
                <w:sz w:val="20"/>
              </w:rPr>
              <w:t>0,010</w:t>
            </w:r>
          </w:p>
        </w:tc>
        <w:tc>
          <w:tcPr>
            <w:tcW w:w="993" w:type="dxa"/>
            <w:vAlign w:val="center"/>
          </w:tcPr>
          <w:p>
            <w:pPr>
              <w:spacing w:before="20" w:after="20"/>
              <w:jc w:val="center"/>
              <w:rPr>
                <w:noProof/>
                <w:sz w:val="20"/>
                <w:szCs w:val="20"/>
              </w:rPr>
            </w:pPr>
            <w:r>
              <w:rPr>
                <w:noProof/>
                <w:sz w:val="20"/>
              </w:rPr>
              <w:t>0,010</w:t>
            </w:r>
          </w:p>
        </w:tc>
        <w:tc>
          <w:tcPr>
            <w:tcW w:w="993" w:type="dxa"/>
            <w:gridSpan w:val="2"/>
            <w:vAlign w:val="center"/>
          </w:tcPr>
          <w:p>
            <w:pPr>
              <w:spacing w:before="20" w:after="20"/>
              <w:jc w:val="center"/>
              <w:rPr>
                <w:b/>
                <w:noProof/>
                <w:sz w:val="20"/>
                <w:szCs w:val="20"/>
              </w:rPr>
            </w:pPr>
            <w:r>
              <w:rPr>
                <w:b/>
                <w:noProof/>
                <w:sz w:val="20"/>
              </w:rPr>
              <w:t>0,706</w:t>
            </w:r>
          </w:p>
        </w:tc>
      </w:tr>
      <w:tr>
        <w:trPr>
          <w:trHeight w:val="351"/>
        </w:trPr>
        <w:tc>
          <w:tcPr>
            <w:tcW w:w="4895" w:type="dxa"/>
            <w:gridSpan w:val="2"/>
            <w:vAlign w:val="center"/>
          </w:tcPr>
          <w:p>
            <w:pPr>
              <w:spacing w:before="20" w:after="20"/>
              <w:rPr>
                <w:noProof/>
              </w:rPr>
            </w:pPr>
            <w:r>
              <w:rPr>
                <w:noProof/>
                <w:sz w:val="22"/>
              </w:rPr>
              <w:sym w:font="Wingdings" w:char="F09F"/>
            </w:r>
            <w:r>
              <w:rPr>
                <w:noProof/>
                <w:sz w:val="22"/>
              </w:rPr>
              <w:t>Други административни разходи</w:t>
            </w:r>
          </w:p>
        </w:tc>
        <w:tc>
          <w:tcPr>
            <w:tcW w:w="851" w:type="dxa"/>
            <w:vAlign w:val="center"/>
          </w:tcPr>
          <w:p>
            <w:pPr>
              <w:spacing w:before="20" w:after="20"/>
              <w:jc w:val="center"/>
              <w:rPr>
                <w:noProof/>
                <w:sz w:val="20"/>
                <w:szCs w:val="20"/>
              </w:rPr>
            </w:pPr>
            <w:r>
              <w:rPr>
                <w:noProof/>
                <w:sz w:val="20"/>
              </w:rPr>
              <w:t>0,010</w:t>
            </w:r>
          </w:p>
        </w:tc>
        <w:tc>
          <w:tcPr>
            <w:tcW w:w="851" w:type="dxa"/>
            <w:vAlign w:val="center"/>
          </w:tcPr>
          <w:p>
            <w:pPr>
              <w:spacing w:before="20" w:after="20"/>
              <w:jc w:val="center"/>
              <w:rPr>
                <w:noProof/>
                <w:sz w:val="20"/>
                <w:szCs w:val="20"/>
              </w:rPr>
            </w:pPr>
            <w:r>
              <w:rPr>
                <w:noProof/>
                <w:sz w:val="20"/>
              </w:rPr>
              <w:t>0,040</w:t>
            </w:r>
          </w:p>
        </w:tc>
        <w:tc>
          <w:tcPr>
            <w:tcW w:w="850" w:type="dxa"/>
            <w:gridSpan w:val="2"/>
            <w:vAlign w:val="center"/>
          </w:tcPr>
          <w:p>
            <w:pPr>
              <w:spacing w:before="20" w:after="20"/>
              <w:jc w:val="center"/>
              <w:rPr>
                <w:noProof/>
                <w:sz w:val="20"/>
                <w:szCs w:val="20"/>
              </w:rPr>
            </w:pPr>
            <w:r>
              <w:rPr>
                <w:noProof/>
                <w:sz w:val="20"/>
              </w:rPr>
              <w:t>0,020</w:t>
            </w:r>
          </w:p>
        </w:tc>
        <w:tc>
          <w:tcPr>
            <w:tcW w:w="851" w:type="dxa"/>
            <w:vAlign w:val="center"/>
          </w:tcPr>
          <w:p>
            <w:pPr>
              <w:spacing w:before="20" w:after="20"/>
              <w:jc w:val="center"/>
              <w:rPr>
                <w:b/>
                <w:noProof/>
                <w:sz w:val="20"/>
                <w:szCs w:val="20"/>
              </w:rPr>
            </w:pPr>
          </w:p>
        </w:tc>
        <w:tc>
          <w:tcPr>
            <w:tcW w:w="993" w:type="dxa"/>
            <w:vAlign w:val="center"/>
          </w:tcPr>
          <w:p>
            <w:pPr>
              <w:spacing w:before="20" w:after="20"/>
              <w:jc w:val="center"/>
              <w:rPr>
                <w:noProof/>
                <w:sz w:val="20"/>
                <w:szCs w:val="20"/>
              </w:rPr>
            </w:pPr>
          </w:p>
        </w:tc>
        <w:tc>
          <w:tcPr>
            <w:tcW w:w="993" w:type="dxa"/>
            <w:gridSpan w:val="2"/>
            <w:vAlign w:val="center"/>
          </w:tcPr>
          <w:p>
            <w:pPr>
              <w:spacing w:before="20" w:after="20"/>
              <w:jc w:val="center"/>
              <w:rPr>
                <w:b/>
                <w:noProof/>
                <w:sz w:val="20"/>
                <w:szCs w:val="20"/>
              </w:rPr>
            </w:pPr>
            <w:r>
              <w:rPr>
                <w:b/>
                <w:noProof/>
                <w:sz w:val="20"/>
              </w:rPr>
              <w:t>0,070</w:t>
            </w:r>
          </w:p>
        </w:tc>
      </w:tr>
      <w:tr>
        <w:tc>
          <w:tcPr>
            <w:tcW w:w="3053" w:type="dxa"/>
            <w:vAlign w:val="center"/>
          </w:tcPr>
          <w:p>
            <w:pPr>
              <w:jc w:val="center"/>
              <w:rPr>
                <w:b/>
                <w:noProof/>
              </w:rPr>
            </w:pPr>
            <w:r>
              <w:rPr>
                <w:b/>
                <w:noProof/>
                <w:sz w:val="22"/>
              </w:rPr>
              <w:t>ОБЩО ГД</w:t>
            </w:r>
            <w:r>
              <w:rPr>
                <w:noProof/>
              </w:rPr>
              <w:t xml:space="preserve"> „Икономически и финансови въпроси“</w:t>
            </w:r>
          </w:p>
        </w:tc>
        <w:tc>
          <w:tcPr>
            <w:tcW w:w="1842" w:type="dxa"/>
            <w:vAlign w:val="center"/>
          </w:tcPr>
          <w:p>
            <w:pPr>
              <w:rPr>
                <w:noProof/>
              </w:rPr>
            </w:pPr>
            <w:r>
              <w:rPr>
                <w:noProof/>
                <w:sz w:val="18"/>
              </w:rPr>
              <w:t xml:space="preserve">Бюджетни кредити </w:t>
            </w:r>
          </w:p>
        </w:tc>
        <w:tc>
          <w:tcPr>
            <w:tcW w:w="851" w:type="dxa"/>
            <w:vAlign w:val="center"/>
          </w:tcPr>
          <w:p>
            <w:pPr>
              <w:spacing w:before="60" w:after="60" w:line="200" w:lineRule="exact"/>
              <w:jc w:val="center"/>
              <w:rPr>
                <w:noProof/>
                <w:sz w:val="20"/>
                <w:szCs w:val="20"/>
              </w:rPr>
            </w:pPr>
            <w:r>
              <w:rPr>
                <w:noProof/>
                <w:sz w:val="20"/>
              </w:rPr>
              <w:t>0,053</w:t>
            </w:r>
          </w:p>
        </w:tc>
        <w:tc>
          <w:tcPr>
            <w:tcW w:w="851" w:type="dxa"/>
            <w:vAlign w:val="center"/>
          </w:tcPr>
          <w:p>
            <w:pPr>
              <w:spacing w:before="60" w:after="60" w:line="200" w:lineRule="exact"/>
              <w:jc w:val="center"/>
              <w:rPr>
                <w:noProof/>
                <w:sz w:val="20"/>
                <w:szCs w:val="20"/>
              </w:rPr>
            </w:pPr>
            <w:r>
              <w:rPr>
                <w:noProof/>
                <w:sz w:val="20"/>
              </w:rPr>
              <w:t>0,469</w:t>
            </w:r>
          </w:p>
        </w:tc>
        <w:tc>
          <w:tcPr>
            <w:tcW w:w="850" w:type="dxa"/>
            <w:gridSpan w:val="2"/>
            <w:vAlign w:val="center"/>
          </w:tcPr>
          <w:p>
            <w:pPr>
              <w:spacing w:before="60" w:after="60" w:line="200" w:lineRule="exact"/>
              <w:jc w:val="center"/>
              <w:rPr>
                <w:noProof/>
                <w:sz w:val="20"/>
                <w:szCs w:val="20"/>
              </w:rPr>
            </w:pPr>
            <w:r>
              <w:rPr>
                <w:noProof/>
                <w:sz w:val="20"/>
              </w:rPr>
              <w:t>0,235</w:t>
            </w:r>
          </w:p>
        </w:tc>
        <w:tc>
          <w:tcPr>
            <w:tcW w:w="851" w:type="dxa"/>
            <w:vAlign w:val="center"/>
          </w:tcPr>
          <w:p>
            <w:pPr>
              <w:spacing w:before="60" w:after="60" w:line="200" w:lineRule="exact"/>
              <w:jc w:val="center"/>
              <w:rPr>
                <w:noProof/>
                <w:sz w:val="20"/>
                <w:szCs w:val="20"/>
              </w:rPr>
            </w:pPr>
            <w:r>
              <w:rPr>
                <w:noProof/>
                <w:sz w:val="20"/>
              </w:rPr>
              <w:t>0,010</w:t>
            </w:r>
          </w:p>
        </w:tc>
        <w:tc>
          <w:tcPr>
            <w:tcW w:w="993" w:type="dxa"/>
            <w:vAlign w:val="center"/>
          </w:tcPr>
          <w:p>
            <w:pPr>
              <w:spacing w:before="20" w:after="20"/>
              <w:jc w:val="center"/>
              <w:rPr>
                <w:noProof/>
                <w:sz w:val="20"/>
                <w:szCs w:val="20"/>
              </w:rPr>
            </w:pPr>
            <w:r>
              <w:rPr>
                <w:noProof/>
                <w:sz w:val="20"/>
              </w:rPr>
              <w:t>0,010</w:t>
            </w:r>
          </w:p>
        </w:tc>
        <w:tc>
          <w:tcPr>
            <w:tcW w:w="993" w:type="dxa"/>
            <w:gridSpan w:val="2"/>
            <w:vAlign w:val="center"/>
          </w:tcPr>
          <w:p>
            <w:pPr>
              <w:spacing w:before="20" w:after="20"/>
              <w:jc w:val="center"/>
              <w:rPr>
                <w:b/>
                <w:noProof/>
                <w:sz w:val="20"/>
                <w:szCs w:val="20"/>
              </w:rPr>
            </w:pPr>
            <w:r>
              <w:rPr>
                <w:b/>
                <w:noProof/>
                <w:sz w:val="20"/>
              </w:rPr>
              <w:t>0,776</w:t>
            </w:r>
          </w:p>
        </w:tc>
      </w:tr>
      <w:tr>
        <w:tc>
          <w:tcPr>
            <w:tcW w:w="3053" w:type="dxa"/>
            <w:shd w:val="clear" w:color="C0C0C0" w:fill="auto"/>
            <w:vAlign w:val="center"/>
          </w:tcPr>
          <w:p>
            <w:pPr>
              <w:jc w:val="center"/>
              <w:rPr>
                <w:noProof/>
              </w:rPr>
            </w:pPr>
            <w:r>
              <w:rPr>
                <w:b/>
                <w:noProof/>
                <w:sz w:val="22"/>
              </w:rPr>
              <w:t>ОБЩО бюджетни кредити</w:t>
            </w:r>
            <w:r>
              <w:rPr>
                <w:b/>
                <w:noProof/>
                <w:sz w:val="22"/>
              </w:rPr>
              <w:br/>
              <w:t>за ФУНКЦИЯ 5</w:t>
            </w:r>
            <w:r>
              <w:rPr>
                <w:b/>
                <w:noProof/>
                <w:sz w:val="22"/>
              </w:rPr>
              <w:br/>
            </w:r>
            <w:r>
              <w:rPr>
                <w:noProof/>
                <w:sz w:val="22"/>
              </w:rPr>
              <w:t>от многогодишната финансова рамка</w:t>
            </w:r>
            <w:r>
              <w:rPr>
                <w:b/>
                <w:noProof/>
                <w:sz w:val="22"/>
              </w:rPr>
              <w:t xml:space="preserve"> </w:t>
            </w:r>
          </w:p>
        </w:tc>
        <w:tc>
          <w:tcPr>
            <w:tcW w:w="1842" w:type="dxa"/>
            <w:vAlign w:val="center"/>
          </w:tcPr>
          <w:p>
            <w:pPr>
              <w:spacing w:before="40" w:after="40"/>
              <w:rPr>
                <w:noProof/>
              </w:rPr>
            </w:pPr>
            <w:r>
              <w:rPr>
                <w:noProof/>
                <w:sz w:val="18"/>
              </w:rPr>
              <w:t>(Общо поети задължения = Общо плащания)</w:t>
            </w:r>
          </w:p>
        </w:tc>
        <w:tc>
          <w:tcPr>
            <w:tcW w:w="851" w:type="dxa"/>
            <w:vAlign w:val="center"/>
          </w:tcPr>
          <w:p>
            <w:pPr>
              <w:spacing w:before="60" w:after="60" w:line="200" w:lineRule="exact"/>
              <w:jc w:val="center"/>
              <w:rPr>
                <w:noProof/>
                <w:sz w:val="20"/>
                <w:szCs w:val="20"/>
              </w:rPr>
            </w:pPr>
            <w:r>
              <w:rPr>
                <w:noProof/>
                <w:sz w:val="20"/>
              </w:rPr>
              <w:t>0,053</w:t>
            </w:r>
          </w:p>
        </w:tc>
        <w:tc>
          <w:tcPr>
            <w:tcW w:w="851" w:type="dxa"/>
            <w:vAlign w:val="center"/>
          </w:tcPr>
          <w:p>
            <w:pPr>
              <w:spacing w:before="60" w:after="60" w:line="200" w:lineRule="exact"/>
              <w:jc w:val="center"/>
              <w:rPr>
                <w:noProof/>
                <w:sz w:val="20"/>
                <w:szCs w:val="20"/>
              </w:rPr>
            </w:pPr>
            <w:r>
              <w:rPr>
                <w:noProof/>
                <w:sz w:val="20"/>
              </w:rPr>
              <w:t>0,469</w:t>
            </w:r>
          </w:p>
        </w:tc>
        <w:tc>
          <w:tcPr>
            <w:tcW w:w="850" w:type="dxa"/>
            <w:gridSpan w:val="2"/>
            <w:vAlign w:val="center"/>
          </w:tcPr>
          <w:p>
            <w:pPr>
              <w:spacing w:before="60" w:after="60" w:line="200" w:lineRule="exact"/>
              <w:jc w:val="center"/>
              <w:rPr>
                <w:noProof/>
                <w:sz w:val="20"/>
                <w:szCs w:val="20"/>
              </w:rPr>
            </w:pPr>
            <w:r>
              <w:rPr>
                <w:noProof/>
                <w:sz w:val="20"/>
              </w:rPr>
              <w:t>0,235</w:t>
            </w:r>
          </w:p>
        </w:tc>
        <w:tc>
          <w:tcPr>
            <w:tcW w:w="851" w:type="dxa"/>
            <w:vAlign w:val="center"/>
          </w:tcPr>
          <w:p>
            <w:pPr>
              <w:spacing w:before="60" w:after="60" w:line="200" w:lineRule="exact"/>
              <w:jc w:val="center"/>
              <w:rPr>
                <w:noProof/>
                <w:sz w:val="20"/>
                <w:szCs w:val="20"/>
              </w:rPr>
            </w:pPr>
            <w:r>
              <w:rPr>
                <w:noProof/>
                <w:sz w:val="20"/>
              </w:rPr>
              <w:t>0,010</w:t>
            </w:r>
          </w:p>
        </w:tc>
        <w:tc>
          <w:tcPr>
            <w:tcW w:w="993" w:type="dxa"/>
            <w:vAlign w:val="center"/>
          </w:tcPr>
          <w:p>
            <w:pPr>
              <w:spacing w:before="60" w:after="60" w:line="200" w:lineRule="exact"/>
              <w:jc w:val="center"/>
              <w:rPr>
                <w:noProof/>
                <w:sz w:val="20"/>
                <w:szCs w:val="20"/>
              </w:rPr>
            </w:pPr>
            <w:r>
              <w:rPr>
                <w:noProof/>
                <w:sz w:val="20"/>
              </w:rPr>
              <w:t>0,010</w:t>
            </w:r>
          </w:p>
        </w:tc>
        <w:tc>
          <w:tcPr>
            <w:tcW w:w="993" w:type="dxa"/>
            <w:gridSpan w:val="2"/>
            <w:vAlign w:val="center"/>
          </w:tcPr>
          <w:p>
            <w:pPr>
              <w:spacing w:before="60" w:after="60" w:line="200" w:lineRule="exact"/>
              <w:jc w:val="center"/>
              <w:rPr>
                <w:noProof/>
                <w:sz w:val="20"/>
                <w:szCs w:val="20"/>
              </w:rPr>
            </w:pPr>
            <w:r>
              <w:rPr>
                <w:b/>
                <w:noProof/>
                <w:sz w:val="20"/>
              </w:rPr>
              <w:t>0,777</w:t>
            </w:r>
          </w:p>
        </w:tc>
      </w:tr>
    </w:tbl>
    <w:p>
      <w:pPr>
        <w:spacing w:before="240"/>
        <w:jc w:val="right"/>
        <w:rPr>
          <w:noProof/>
          <w:sz w:val="20"/>
        </w:rPr>
      </w:pPr>
      <w:r>
        <w:rPr>
          <w:noProof/>
          <w:sz w:val="20"/>
        </w:rPr>
        <w:t>милиони евро (до третия знак след десетичната запетая)</w:t>
      </w:r>
    </w:p>
    <w:tbl>
      <w:tblPr>
        <w:tblW w:w="10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1842"/>
        <w:gridCol w:w="993"/>
        <w:gridCol w:w="851"/>
        <w:gridCol w:w="851"/>
        <w:gridCol w:w="850"/>
        <w:gridCol w:w="851"/>
        <w:gridCol w:w="992"/>
      </w:tblGrid>
      <w:tr>
        <w:tc>
          <w:tcPr>
            <w:tcW w:w="3054" w:type="dxa"/>
            <w:tcBorders>
              <w:top w:val="nil"/>
              <w:left w:val="nil"/>
              <w:right w:val="nil"/>
            </w:tcBorders>
            <w:vAlign w:val="center"/>
          </w:tcPr>
          <w:p>
            <w:pPr>
              <w:jc w:val="center"/>
              <w:rPr>
                <w:noProof/>
              </w:rPr>
            </w:pPr>
          </w:p>
        </w:tc>
        <w:tc>
          <w:tcPr>
            <w:tcW w:w="1842" w:type="dxa"/>
            <w:tcBorders>
              <w:top w:val="nil"/>
              <w:left w:val="nil"/>
            </w:tcBorders>
          </w:tcPr>
          <w:p>
            <w:pPr>
              <w:rPr>
                <w:noProof/>
                <w:sz w:val="20"/>
              </w:rPr>
            </w:pPr>
          </w:p>
        </w:tc>
        <w:tc>
          <w:tcPr>
            <w:tcW w:w="993" w:type="dxa"/>
          </w:tcPr>
          <w:p>
            <w:pPr>
              <w:jc w:val="center"/>
              <w:rPr>
                <w:noProof/>
              </w:rPr>
            </w:pPr>
            <w:r>
              <w:rPr>
                <w:noProof/>
                <w:sz w:val="20"/>
              </w:rPr>
              <w:t>Година</w:t>
            </w:r>
            <w:r>
              <w:rPr>
                <w:noProof/>
                <w:sz w:val="20"/>
              </w:rPr>
              <w:br/>
            </w:r>
            <w:r>
              <w:rPr>
                <w:b/>
                <w:noProof/>
                <w:sz w:val="20"/>
              </w:rPr>
              <w:t>2017</w:t>
            </w:r>
          </w:p>
        </w:tc>
        <w:tc>
          <w:tcPr>
            <w:tcW w:w="851" w:type="dxa"/>
          </w:tcPr>
          <w:p>
            <w:pPr>
              <w:jc w:val="center"/>
              <w:rPr>
                <w:noProof/>
                <w:sz w:val="20"/>
              </w:rPr>
            </w:pPr>
            <w:r>
              <w:rPr>
                <w:noProof/>
                <w:sz w:val="20"/>
              </w:rPr>
              <w:t>Година</w:t>
            </w:r>
            <w:r>
              <w:rPr>
                <w:noProof/>
                <w:sz w:val="20"/>
              </w:rPr>
              <w:br/>
            </w:r>
            <w:r>
              <w:rPr>
                <w:b/>
                <w:noProof/>
                <w:sz w:val="20"/>
              </w:rPr>
              <w:t>2018</w:t>
            </w:r>
          </w:p>
        </w:tc>
        <w:tc>
          <w:tcPr>
            <w:tcW w:w="851" w:type="dxa"/>
          </w:tcPr>
          <w:p>
            <w:pPr>
              <w:jc w:val="center"/>
              <w:rPr>
                <w:noProof/>
              </w:rPr>
            </w:pPr>
            <w:r>
              <w:rPr>
                <w:noProof/>
                <w:sz w:val="20"/>
              </w:rPr>
              <w:t>Година</w:t>
            </w:r>
            <w:r>
              <w:rPr>
                <w:noProof/>
                <w:sz w:val="20"/>
              </w:rPr>
              <w:br/>
            </w:r>
            <w:r>
              <w:rPr>
                <w:b/>
                <w:noProof/>
                <w:sz w:val="20"/>
              </w:rPr>
              <w:t>2019</w:t>
            </w:r>
          </w:p>
        </w:tc>
        <w:tc>
          <w:tcPr>
            <w:tcW w:w="850" w:type="dxa"/>
          </w:tcPr>
          <w:p>
            <w:pPr>
              <w:jc w:val="center"/>
              <w:rPr>
                <w:noProof/>
              </w:rPr>
            </w:pPr>
            <w:r>
              <w:rPr>
                <w:noProof/>
                <w:sz w:val="20"/>
              </w:rPr>
              <w:t>Година</w:t>
            </w:r>
            <w:r>
              <w:rPr>
                <w:noProof/>
                <w:sz w:val="20"/>
              </w:rPr>
              <w:br/>
            </w:r>
            <w:r>
              <w:rPr>
                <w:b/>
                <w:noProof/>
                <w:sz w:val="20"/>
              </w:rPr>
              <w:t>2020</w:t>
            </w:r>
          </w:p>
        </w:tc>
        <w:tc>
          <w:tcPr>
            <w:tcW w:w="851" w:type="dxa"/>
          </w:tcPr>
          <w:p>
            <w:pPr>
              <w:jc w:val="center"/>
              <w:rPr>
                <w:noProof/>
              </w:rPr>
            </w:pPr>
            <w:r>
              <w:rPr>
                <w:noProof/>
                <w:sz w:val="20"/>
              </w:rPr>
              <w:t>Година</w:t>
            </w:r>
            <w:r>
              <w:rPr>
                <w:b/>
                <w:noProof/>
                <w:sz w:val="20"/>
              </w:rPr>
              <w:br/>
              <w:t>2021</w:t>
            </w:r>
          </w:p>
        </w:tc>
        <w:tc>
          <w:tcPr>
            <w:tcW w:w="992" w:type="dxa"/>
          </w:tcPr>
          <w:p>
            <w:pPr>
              <w:jc w:val="center"/>
              <w:rPr>
                <w:b/>
                <w:noProof/>
                <w:sz w:val="20"/>
              </w:rPr>
            </w:pPr>
            <w:r>
              <w:rPr>
                <w:b/>
                <w:noProof/>
                <w:sz w:val="20"/>
              </w:rPr>
              <w:t>ОБЩО</w:t>
            </w:r>
          </w:p>
        </w:tc>
      </w:tr>
      <w:tr>
        <w:tc>
          <w:tcPr>
            <w:tcW w:w="3054" w:type="dxa"/>
            <w:vMerge w:val="restart"/>
            <w:shd w:val="clear" w:color="auto" w:fill="C0C0C0"/>
            <w:vAlign w:val="center"/>
          </w:tcPr>
          <w:p>
            <w:pPr>
              <w:jc w:val="center"/>
              <w:rPr>
                <w:noProof/>
              </w:rPr>
            </w:pPr>
            <w:r>
              <w:rPr>
                <w:b/>
                <w:noProof/>
                <w:sz w:val="22"/>
              </w:rPr>
              <w:t xml:space="preserve">ОБЩО бюджетни кредити </w:t>
            </w:r>
            <w:r>
              <w:rPr>
                <w:b/>
                <w:noProof/>
                <w:sz w:val="22"/>
              </w:rPr>
              <w:br/>
              <w:t>по ФУНКЦИИ 1—5</w:t>
            </w:r>
            <w:r>
              <w:rPr>
                <w:b/>
                <w:noProof/>
                <w:sz w:val="22"/>
              </w:rPr>
              <w:br/>
            </w:r>
            <w:r>
              <w:rPr>
                <w:noProof/>
                <w:sz w:val="22"/>
              </w:rPr>
              <w:t>от многогодишната финансова рамка</w:t>
            </w:r>
            <w:r>
              <w:rPr>
                <w:b/>
                <w:noProof/>
                <w:sz w:val="22"/>
              </w:rPr>
              <w:t xml:space="preserve"> </w:t>
            </w:r>
          </w:p>
        </w:tc>
        <w:tc>
          <w:tcPr>
            <w:tcW w:w="1842" w:type="dxa"/>
            <w:vAlign w:val="center"/>
          </w:tcPr>
          <w:p>
            <w:pPr>
              <w:rPr>
                <w:noProof/>
              </w:rPr>
            </w:pPr>
            <w:r>
              <w:rPr>
                <w:noProof/>
                <w:sz w:val="18"/>
              </w:rPr>
              <w:t>Поети задължения</w:t>
            </w:r>
          </w:p>
        </w:tc>
        <w:tc>
          <w:tcPr>
            <w:tcW w:w="993" w:type="dxa"/>
            <w:vAlign w:val="center"/>
          </w:tcPr>
          <w:p>
            <w:pPr>
              <w:spacing w:before="60" w:after="60"/>
              <w:jc w:val="center"/>
              <w:rPr>
                <w:noProof/>
                <w:sz w:val="20"/>
                <w:szCs w:val="20"/>
              </w:rPr>
            </w:pPr>
            <w:r>
              <w:rPr>
                <w:noProof/>
                <w:sz w:val="20"/>
              </w:rPr>
              <w:t>0,053</w:t>
            </w:r>
          </w:p>
        </w:tc>
        <w:tc>
          <w:tcPr>
            <w:tcW w:w="851" w:type="dxa"/>
            <w:vAlign w:val="center"/>
          </w:tcPr>
          <w:p>
            <w:pPr>
              <w:spacing w:before="60" w:after="60"/>
              <w:jc w:val="center"/>
              <w:rPr>
                <w:noProof/>
                <w:sz w:val="20"/>
                <w:szCs w:val="20"/>
              </w:rPr>
            </w:pPr>
            <w:r>
              <w:rPr>
                <w:noProof/>
                <w:sz w:val="20"/>
              </w:rPr>
              <w:t>0,539</w:t>
            </w:r>
          </w:p>
        </w:tc>
        <w:tc>
          <w:tcPr>
            <w:tcW w:w="851" w:type="dxa"/>
            <w:vAlign w:val="center"/>
          </w:tcPr>
          <w:p>
            <w:pPr>
              <w:spacing w:before="60" w:after="60"/>
              <w:jc w:val="center"/>
              <w:rPr>
                <w:noProof/>
                <w:sz w:val="20"/>
                <w:szCs w:val="20"/>
              </w:rPr>
            </w:pPr>
            <w:r>
              <w:rPr>
                <w:noProof/>
                <w:sz w:val="20"/>
              </w:rPr>
              <w:t>0,235</w:t>
            </w:r>
          </w:p>
        </w:tc>
        <w:tc>
          <w:tcPr>
            <w:tcW w:w="850" w:type="dxa"/>
            <w:vAlign w:val="center"/>
          </w:tcPr>
          <w:p>
            <w:pPr>
              <w:spacing w:before="60" w:after="60"/>
              <w:jc w:val="center"/>
              <w:rPr>
                <w:noProof/>
                <w:sz w:val="20"/>
                <w:szCs w:val="20"/>
              </w:rPr>
            </w:pPr>
            <w:r>
              <w:rPr>
                <w:noProof/>
                <w:sz w:val="20"/>
              </w:rPr>
              <w:t>45,01</w:t>
            </w:r>
          </w:p>
        </w:tc>
        <w:tc>
          <w:tcPr>
            <w:tcW w:w="851" w:type="dxa"/>
            <w:vAlign w:val="center"/>
          </w:tcPr>
          <w:p>
            <w:pPr>
              <w:spacing w:before="60" w:after="60"/>
              <w:jc w:val="center"/>
              <w:rPr>
                <w:noProof/>
                <w:sz w:val="20"/>
                <w:szCs w:val="20"/>
              </w:rPr>
            </w:pPr>
            <w:r>
              <w:rPr>
                <w:noProof/>
                <w:sz w:val="20"/>
              </w:rPr>
              <w:t>45,16</w:t>
            </w:r>
          </w:p>
        </w:tc>
        <w:tc>
          <w:tcPr>
            <w:tcW w:w="992" w:type="dxa"/>
            <w:vAlign w:val="center"/>
          </w:tcPr>
          <w:p>
            <w:pPr>
              <w:spacing w:before="60" w:after="60"/>
              <w:jc w:val="center"/>
              <w:rPr>
                <w:b/>
                <w:noProof/>
                <w:sz w:val="20"/>
                <w:szCs w:val="20"/>
              </w:rPr>
            </w:pPr>
            <w:r>
              <w:rPr>
                <w:b/>
                <w:noProof/>
                <w:sz w:val="20"/>
              </w:rPr>
              <w:t>90,997</w:t>
            </w:r>
          </w:p>
        </w:tc>
      </w:tr>
      <w:tr>
        <w:tc>
          <w:tcPr>
            <w:tcW w:w="3054" w:type="dxa"/>
            <w:vMerge/>
            <w:shd w:val="clear" w:color="auto" w:fill="C0C0C0"/>
          </w:tcPr>
          <w:p>
            <w:pPr>
              <w:rPr>
                <w:noProof/>
                <w:sz w:val="20"/>
              </w:rPr>
            </w:pPr>
          </w:p>
        </w:tc>
        <w:tc>
          <w:tcPr>
            <w:tcW w:w="1842" w:type="dxa"/>
            <w:vAlign w:val="center"/>
          </w:tcPr>
          <w:p>
            <w:pPr>
              <w:rPr>
                <w:noProof/>
              </w:rPr>
            </w:pPr>
            <w:r>
              <w:rPr>
                <w:noProof/>
                <w:sz w:val="18"/>
              </w:rPr>
              <w:t>Плащания</w:t>
            </w:r>
          </w:p>
        </w:tc>
        <w:tc>
          <w:tcPr>
            <w:tcW w:w="993" w:type="dxa"/>
            <w:vAlign w:val="center"/>
          </w:tcPr>
          <w:p>
            <w:pPr>
              <w:spacing w:before="60" w:after="60"/>
              <w:jc w:val="center"/>
              <w:rPr>
                <w:noProof/>
                <w:sz w:val="20"/>
                <w:szCs w:val="20"/>
              </w:rPr>
            </w:pPr>
            <w:r>
              <w:rPr>
                <w:noProof/>
                <w:sz w:val="20"/>
              </w:rPr>
              <w:t>0,053</w:t>
            </w:r>
          </w:p>
        </w:tc>
        <w:tc>
          <w:tcPr>
            <w:tcW w:w="851" w:type="dxa"/>
            <w:vAlign w:val="center"/>
          </w:tcPr>
          <w:p>
            <w:pPr>
              <w:spacing w:before="60" w:after="60"/>
              <w:jc w:val="center"/>
              <w:rPr>
                <w:noProof/>
                <w:sz w:val="20"/>
                <w:szCs w:val="20"/>
              </w:rPr>
            </w:pPr>
            <w:r>
              <w:rPr>
                <w:noProof/>
                <w:sz w:val="20"/>
              </w:rPr>
              <w:t>0,539</w:t>
            </w:r>
          </w:p>
        </w:tc>
        <w:tc>
          <w:tcPr>
            <w:tcW w:w="851" w:type="dxa"/>
            <w:vAlign w:val="center"/>
          </w:tcPr>
          <w:p>
            <w:pPr>
              <w:spacing w:before="60" w:after="60"/>
              <w:jc w:val="center"/>
              <w:rPr>
                <w:noProof/>
                <w:sz w:val="20"/>
                <w:szCs w:val="20"/>
              </w:rPr>
            </w:pPr>
            <w:r>
              <w:rPr>
                <w:noProof/>
                <w:sz w:val="20"/>
              </w:rPr>
              <w:t>0,235</w:t>
            </w:r>
          </w:p>
        </w:tc>
        <w:tc>
          <w:tcPr>
            <w:tcW w:w="850" w:type="dxa"/>
            <w:vAlign w:val="center"/>
          </w:tcPr>
          <w:p>
            <w:pPr>
              <w:spacing w:before="60" w:after="60"/>
              <w:jc w:val="center"/>
              <w:rPr>
                <w:noProof/>
                <w:sz w:val="20"/>
                <w:szCs w:val="20"/>
              </w:rPr>
            </w:pPr>
            <w:r>
              <w:rPr>
                <w:noProof/>
                <w:sz w:val="20"/>
              </w:rPr>
              <w:t>45,01</w:t>
            </w:r>
          </w:p>
        </w:tc>
        <w:tc>
          <w:tcPr>
            <w:tcW w:w="851" w:type="dxa"/>
            <w:vAlign w:val="center"/>
          </w:tcPr>
          <w:p>
            <w:pPr>
              <w:spacing w:before="60" w:after="60"/>
              <w:jc w:val="center"/>
              <w:rPr>
                <w:noProof/>
                <w:sz w:val="20"/>
                <w:szCs w:val="20"/>
              </w:rPr>
            </w:pPr>
            <w:r>
              <w:rPr>
                <w:noProof/>
                <w:sz w:val="20"/>
              </w:rPr>
              <w:t>45,16</w:t>
            </w:r>
          </w:p>
        </w:tc>
        <w:tc>
          <w:tcPr>
            <w:tcW w:w="992" w:type="dxa"/>
            <w:vAlign w:val="center"/>
          </w:tcPr>
          <w:p>
            <w:pPr>
              <w:spacing w:before="60" w:after="60"/>
              <w:jc w:val="center"/>
              <w:rPr>
                <w:b/>
                <w:noProof/>
                <w:sz w:val="20"/>
                <w:szCs w:val="20"/>
              </w:rPr>
            </w:pPr>
            <w:r>
              <w:rPr>
                <w:b/>
                <w:noProof/>
                <w:sz w:val="20"/>
              </w:rPr>
              <w:t>90,997</w:t>
            </w:r>
          </w:p>
        </w:tc>
      </w:tr>
    </w:tbl>
    <w:p>
      <w:pPr>
        <w:rPr>
          <w:noProof/>
          <w:szCs w:val="20"/>
        </w:rPr>
      </w:pPr>
      <w:r>
        <w:rPr>
          <w:noProof/>
        </w:rPr>
        <w:br w:type="page"/>
      </w:r>
    </w:p>
    <w:p>
      <w:pPr>
        <w:keepNext/>
        <w:tabs>
          <w:tab w:val="left" w:pos="850"/>
        </w:tabs>
        <w:ind w:left="850" w:hanging="850"/>
        <w:outlineLvl w:val="2"/>
        <w:rPr>
          <w:i/>
          <w:noProof/>
          <w:szCs w:val="20"/>
        </w:rPr>
      </w:pPr>
      <w:r>
        <w:rPr>
          <w:i/>
          <w:noProof/>
        </w:rPr>
        <w:t>3.2.2.</w:t>
      </w:r>
      <w:r>
        <w:rPr>
          <w:noProof/>
        </w:rPr>
        <w:tab/>
      </w:r>
      <w:r>
        <w:rPr>
          <w:i/>
          <w:noProof/>
        </w:rPr>
        <w:t xml:space="preserve">Очаквано отражение върху бюджетните кредити за оперативни разходи </w:t>
      </w:r>
    </w:p>
    <w:p>
      <w:pPr>
        <w:tabs>
          <w:tab w:val="num" w:pos="1134"/>
        </w:tabs>
        <w:ind w:left="1134" w:hanging="283"/>
        <w:rPr>
          <w:noProof/>
          <w:szCs w:val="20"/>
        </w:rPr>
      </w:pPr>
      <w:r>
        <w:rPr>
          <w:noProof/>
          <w:szCs w:val="20"/>
        </w:rPr>
        <w:sym w:font="Wingdings" w:char="F0A8"/>
      </w:r>
      <w:r>
        <w:rPr>
          <w:noProof/>
        </w:rPr>
        <w:t xml:space="preserve"> </w:t>
      </w:r>
      <w:r>
        <w:rPr>
          <w:noProof/>
        </w:rPr>
        <w:tab/>
        <w:t xml:space="preserve">Предложението/инициативата не налага използване на бюджетни кредити за оперативни разходи </w:t>
      </w:r>
    </w:p>
    <w:p>
      <w:pPr>
        <w:tabs>
          <w:tab w:val="num" w:pos="1134"/>
        </w:tabs>
        <w:ind w:left="1134" w:hanging="283"/>
        <w:rPr>
          <w:noProof/>
          <w:szCs w:val="20"/>
        </w:rPr>
      </w:pPr>
      <w:r>
        <w:rPr>
          <w:noProof/>
        </w:rPr>
        <w:t>X Предложението/инициативата налага използване на бюджетни кредити за оперативни разходи съгласно обяснението по-долу:</w:t>
      </w:r>
    </w:p>
    <w:p>
      <w:pPr>
        <w:jc w:val="right"/>
        <w:rPr>
          <w:noProof/>
          <w:sz w:val="20"/>
          <w:szCs w:val="20"/>
        </w:rPr>
      </w:pPr>
      <w:r>
        <w:rPr>
          <w:noProof/>
          <w:sz w:val="20"/>
        </w:rPr>
        <w:t>Бюджетни кредити за поети задължения в милиони евро (до третия знак след десетичната запетая)</w:t>
      </w:r>
    </w:p>
    <w:tbl>
      <w:tblPr>
        <w:tblW w:w="0" w:type="auto"/>
        <w:tblLook w:val="01E0" w:firstRow="1" w:lastRow="1" w:firstColumn="1" w:lastColumn="1" w:noHBand="0" w:noVBand="0"/>
      </w:tblPr>
      <w:tblGrid>
        <w:gridCol w:w="654"/>
        <w:gridCol w:w="1170"/>
        <w:gridCol w:w="570"/>
        <w:gridCol w:w="875"/>
        <w:gridCol w:w="612"/>
        <w:gridCol w:w="875"/>
        <w:gridCol w:w="612"/>
        <w:gridCol w:w="875"/>
        <w:gridCol w:w="612"/>
        <w:gridCol w:w="875"/>
        <w:gridCol w:w="612"/>
        <w:gridCol w:w="875"/>
        <w:gridCol w:w="599"/>
        <w:gridCol w:w="867"/>
      </w:tblGrid>
      <w:tr>
        <w:tc>
          <w:tcPr>
            <w:tcW w:w="2382" w:type="dxa"/>
            <w:gridSpan w:val="3"/>
          </w:tcPr>
          <w:p>
            <w:pPr>
              <w:spacing w:before="60" w:after="60"/>
              <w:ind w:right="-29"/>
              <w:jc w:val="left"/>
              <w:rPr>
                <w:b/>
                <w:noProof/>
                <w:sz w:val="18"/>
                <w:szCs w:val="20"/>
              </w:rPr>
            </w:pPr>
            <w:r>
              <w:rPr>
                <w:b/>
                <w:noProof/>
                <w:sz w:val="18"/>
              </w:rPr>
              <w:t>Да се посочат целите и резултатите</w:t>
            </w:r>
          </w:p>
          <w:p>
            <w:pPr>
              <w:ind w:left="993" w:right="-29"/>
              <w:jc w:val="left"/>
              <w:rPr>
                <w:b/>
                <w:noProof/>
                <w:sz w:val="18"/>
                <w:szCs w:val="20"/>
              </w:rPr>
            </w:pPr>
          </w:p>
          <w:p>
            <w:pPr>
              <w:spacing w:before="60" w:after="60"/>
              <w:ind w:left="993" w:right="-29"/>
              <w:jc w:val="left"/>
              <w:rPr>
                <w:noProof/>
                <w:sz w:val="18"/>
                <w:szCs w:val="20"/>
              </w:rPr>
            </w:pPr>
            <w:r>
              <w:rPr>
                <w:noProof/>
                <w:sz w:val="18"/>
                <w:szCs w:val="18"/>
              </w:rPr>
              <w:sym w:font="Wingdings" w:char="F0F2"/>
            </w:r>
          </w:p>
        </w:tc>
        <w:tc>
          <w:tcPr>
            <w:tcW w:w="548"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629"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629"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580"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728" w:type="dxa"/>
          </w:tcPr>
          <w:p>
            <w:pPr>
              <w:spacing w:before="60" w:after="60"/>
              <w:ind w:right="-29"/>
              <w:jc w:val="center"/>
              <w:rPr>
                <w:noProof/>
                <w:sz w:val="18"/>
                <w:szCs w:val="20"/>
              </w:rPr>
            </w:pPr>
          </w:p>
        </w:tc>
        <w:tc>
          <w:tcPr>
            <w:tcW w:w="788" w:type="dxa"/>
          </w:tcPr>
          <w:p>
            <w:pPr>
              <w:spacing w:before="60" w:after="60"/>
              <w:ind w:right="-29"/>
              <w:jc w:val="center"/>
              <w:rPr>
                <w:noProof/>
                <w:sz w:val="18"/>
                <w:szCs w:val="20"/>
              </w:rPr>
            </w:pPr>
          </w:p>
        </w:tc>
        <w:tc>
          <w:tcPr>
            <w:tcW w:w="1071" w:type="dxa"/>
          </w:tcPr>
          <w:p>
            <w:pPr>
              <w:spacing w:before="60" w:after="60"/>
              <w:ind w:right="-29"/>
              <w:jc w:val="center"/>
              <w:rPr>
                <w:noProof/>
                <w:sz w:val="18"/>
                <w:szCs w:val="20"/>
              </w:rPr>
            </w:pPr>
          </w:p>
        </w:tc>
      </w:tr>
      <w:tr>
        <w:tc>
          <w:tcPr>
            <w:tcW w:w="2382" w:type="dxa"/>
            <w:gridSpan w:val="3"/>
          </w:tcPr>
          <w:p>
            <w:pPr>
              <w:spacing w:before="60" w:after="60"/>
              <w:ind w:right="-29"/>
              <w:jc w:val="center"/>
              <w:rPr>
                <w:noProof/>
                <w:sz w:val="18"/>
                <w:szCs w:val="20"/>
              </w:rPr>
            </w:pPr>
            <w:r>
              <w:rPr>
                <w:noProof/>
                <w:sz w:val="18"/>
              </w:rPr>
              <w:t>КОНКРЕТНА ЦЕЛ № 1</w:t>
            </w:r>
            <w:r>
              <w:rPr>
                <w:rStyle w:val="FootnoteReference"/>
                <w:noProof/>
                <w:sz w:val="18"/>
              </w:rPr>
              <w:footnoteReference w:id="25"/>
            </w:r>
          </w:p>
        </w:tc>
        <w:tc>
          <w:tcPr>
            <w:tcW w:w="548"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629"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629"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580" w:type="dxa"/>
          </w:tcPr>
          <w:p>
            <w:pPr>
              <w:spacing w:before="60" w:after="60"/>
              <w:ind w:right="-29"/>
              <w:jc w:val="center"/>
              <w:rPr>
                <w:noProof/>
                <w:sz w:val="18"/>
                <w:szCs w:val="20"/>
              </w:rPr>
            </w:pPr>
          </w:p>
        </w:tc>
        <w:tc>
          <w:tcPr>
            <w:tcW w:w="832" w:type="dxa"/>
          </w:tcPr>
          <w:p>
            <w:pPr>
              <w:spacing w:before="60" w:after="60"/>
              <w:ind w:right="-29"/>
              <w:jc w:val="center"/>
              <w:rPr>
                <w:noProof/>
                <w:sz w:val="18"/>
                <w:szCs w:val="20"/>
              </w:rPr>
            </w:pPr>
          </w:p>
        </w:tc>
        <w:tc>
          <w:tcPr>
            <w:tcW w:w="728" w:type="dxa"/>
          </w:tcPr>
          <w:p>
            <w:pPr>
              <w:spacing w:before="60" w:after="60"/>
              <w:ind w:right="-29"/>
              <w:jc w:val="center"/>
              <w:rPr>
                <w:noProof/>
                <w:sz w:val="18"/>
                <w:szCs w:val="20"/>
              </w:rPr>
            </w:pPr>
          </w:p>
        </w:tc>
        <w:tc>
          <w:tcPr>
            <w:tcW w:w="788" w:type="dxa"/>
          </w:tcPr>
          <w:p>
            <w:pPr>
              <w:spacing w:before="60" w:after="60"/>
              <w:ind w:right="-29"/>
              <w:jc w:val="center"/>
              <w:rPr>
                <w:noProof/>
                <w:sz w:val="18"/>
                <w:szCs w:val="20"/>
              </w:rPr>
            </w:pPr>
          </w:p>
        </w:tc>
        <w:tc>
          <w:tcPr>
            <w:tcW w:w="1071" w:type="dxa"/>
          </w:tcPr>
          <w:p>
            <w:pPr>
              <w:spacing w:before="60" w:after="60"/>
              <w:ind w:right="-29"/>
              <w:jc w:val="center"/>
              <w:rPr>
                <w:noProof/>
                <w:sz w:val="18"/>
                <w:szCs w:val="20"/>
              </w:rPr>
            </w:pPr>
          </w:p>
        </w:tc>
      </w:tr>
      <w:tr>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6"/>
          <w:jc w:val="center"/>
        </w:trPr>
        <w:tc>
          <w:tcPr>
            <w:tcW w:w="624" w:type="dxa"/>
            <w:tcBorders>
              <w:bottom w:val="single" w:sz="4" w:space="0" w:color="auto"/>
            </w:tcBorders>
          </w:tcPr>
          <w:p>
            <w:pPr>
              <w:ind w:right="-29"/>
              <w:jc w:val="center"/>
              <w:rPr>
                <w:noProof/>
                <w:sz w:val="18"/>
                <w:szCs w:val="20"/>
              </w:rPr>
            </w:pPr>
          </w:p>
        </w:tc>
        <w:tc>
          <w:tcPr>
            <w:tcW w:w="991" w:type="dxa"/>
            <w:tcBorders>
              <w:bottom w:val="single" w:sz="4" w:space="0" w:color="auto"/>
            </w:tcBorders>
          </w:tcPr>
          <w:p>
            <w:pPr>
              <w:ind w:right="-29"/>
              <w:jc w:val="center"/>
              <w:rPr>
                <w:noProof/>
                <w:sz w:val="18"/>
                <w:szCs w:val="18"/>
              </w:rPr>
            </w:pPr>
          </w:p>
        </w:tc>
        <w:tc>
          <w:tcPr>
            <w:tcW w:w="1315" w:type="dxa"/>
            <w:gridSpan w:val="2"/>
            <w:tcBorders>
              <w:bottom w:val="single" w:sz="4" w:space="0" w:color="auto"/>
              <w:right w:val="single" w:sz="4" w:space="0" w:color="auto"/>
            </w:tcBorders>
          </w:tcPr>
          <w:p>
            <w:pPr>
              <w:ind w:right="-29"/>
              <w:jc w:val="center"/>
              <w:rPr>
                <w:noProof/>
                <w:sz w:val="20"/>
                <w:szCs w:val="20"/>
              </w:rPr>
            </w:pPr>
            <w:r>
              <w:rPr>
                <w:noProof/>
                <w:sz w:val="18"/>
              </w:rPr>
              <w:t>Година 2017</w:t>
            </w:r>
          </w:p>
        </w:tc>
        <w:tc>
          <w:tcPr>
            <w:tcW w:w="1461" w:type="dxa"/>
            <w:gridSpan w:val="2"/>
            <w:tcBorders>
              <w:left w:val="single" w:sz="4" w:space="0" w:color="auto"/>
              <w:bottom w:val="single" w:sz="4" w:space="0" w:color="auto"/>
              <w:right w:val="single" w:sz="4" w:space="0" w:color="auto"/>
            </w:tcBorders>
          </w:tcPr>
          <w:p>
            <w:pPr>
              <w:ind w:right="-29"/>
              <w:jc w:val="center"/>
              <w:rPr>
                <w:noProof/>
                <w:sz w:val="20"/>
                <w:szCs w:val="20"/>
              </w:rPr>
            </w:pPr>
            <w:r>
              <w:rPr>
                <w:noProof/>
                <w:sz w:val="20"/>
              </w:rPr>
              <w:t>Година 2018</w:t>
            </w:r>
          </w:p>
        </w:tc>
        <w:tc>
          <w:tcPr>
            <w:tcW w:w="1461" w:type="dxa"/>
            <w:gridSpan w:val="2"/>
            <w:tcBorders>
              <w:left w:val="single" w:sz="4" w:space="0" w:color="auto"/>
              <w:bottom w:val="single" w:sz="4" w:space="0" w:color="auto"/>
              <w:right w:val="single" w:sz="4" w:space="0" w:color="auto"/>
            </w:tcBorders>
          </w:tcPr>
          <w:p>
            <w:pPr>
              <w:ind w:right="-29"/>
              <w:jc w:val="center"/>
              <w:rPr>
                <w:noProof/>
                <w:sz w:val="20"/>
                <w:szCs w:val="20"/>
              </w:rPr>
            </w:pPr>
            <w:r>
              <w:rPr>
                <w:noProof/>
                <w:sz w:val="20"/>
              </w:rPr>
              <w:t>Година 2019</w:t>
            </w:r>
          </w:p>
        </w:tc>
        <w:tc>
          <w:tcPr>
            <w:tcW w:w="1412" w:type="dxa"/>
            <w:gridSpan w:val="2"/>
            <w:tcBorders>
              <w:left w:val="single" w:sz="4" w:space="0" w:color="auto"/>
              <w:bottom w:val="single" w:sz="4" w:space="0" w:color="auto"/>
              <w:right w:val="single" w:sz="4" w:space="0" w:color="auto"/>
            </w:tcBorders>
          </w:tcPr>
          <w:p>
            <w:pPr>
              <w:ind w:right="-29"/>
              <w:jc w:val="center"/>
              <w:rPr>
                <w:noProof/>
                <w:sz w:val="20"/>
                <w:szCs w:val="20"/>
              </w:rPr>
            </w:pPr>
            <w:r>
              <w:rPr>
                <w:noProof/>
                <w:sz w:val="20"/>
              </w:rPr>
              <w:t>Година 2020</w:t>
            </w:r>
          </w:p>
        </w:tc>
        <w:tc>
          <w:tcPr>
            <w:tcW w:w="1560" w:type="dxa"/>
            <w:gridSpan w:val="2"/>
            <w:tcBorders>
              <w:left w:val="single" w:sz="4" w:space="0" w:color="auto"/>
              <w:bottom w:val="single" w:sz="4" w:space="0" w:color="auto"/>
            </w:tcBorders>
          </w:tcPr>
          <w:p>
            <w:pPr>
              <w:ind w:right="-29"/>
              <w:jc w:val="center"/>
              <w:rPr>
                <w:noProof/>
                <w:sz w:val="20"/>
                <w:szCs w:val="20"/>
              </w:rPr>
            </w:pPr>
            <w:r>
              <w:rPr>
                <w:noProof/>
                <w:sz w:val="20"/>
              </w:rPr>
              <w:t>Година 2021</w:t>
            </w:r>
          </w:p>
        </w:tc>
        <w:tc>
          <w:tcPr>
            <w:tcW w:w="788" w:type="dxa"/>
            <w:tcBorders>
              <w:bottom w:val="single" w:sz="4" w:space="0" w:color="auto"/>
            </w:tcBorders>
          </w:tcPr>
          <w:p>
            <w:pPr>
              <w:ind w:right="-29"/>
              <w:jc w:val="center"/>
              <w:rPr>
                <w:noProof/>
                <w:sz w:val="20"/>
                <w:szCs w:val="20"/>
              </w:rPr>
            </w:pPr>
          </w:p>
        </w:tc>
        <w:tc>
          <w:tcPr>
            <w:tcW w:w="1071" w:type="dxa"/>
            <w:tcBorders>
              <w:bottom w:val="single" w:sz="4" w:space="0" w:color="auto"/>
            </w:tcBorders>
          </w:tcPr>
          <w:p>
            <w:pPr>
              <w:ind w:right="-29"/>
              <w:jc w:val="center"/>
              <w:rPr>
                <w:noProof/>
                <w:sz w:val="20"/>
                <w:szCs w:val="20"/>
              </w:rPr>
            </w:pPr>
          </w:p>
        </w:tc>
      </w:tr>
      <w:tr>
        <w:trPr>
          <w:trHeight w:hRule="exact" w:val="646"/>
        </w:trPr>
        <w:tc>
          <w:tcPr>
            <w:tcW w:w="624"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991" w:type="dxa"/>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r>
              <w:rPr>
                <w:noProof/>
                <w:sz w:val="18"/>
              </w:rPr>
              <w:t>Вид</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r>
              <w:rPr>
                <w:noProof/>
                <w:sz w:val="18"/>
              </w:rPr>
              <w:t>Брой</w:t>
            </w: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Разходи</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Брой</w:t>
            </w: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Разходи</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Брой</w:t>
            </w: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Разходи</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Брой</w:t>
            </w: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Разходи</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Брой</w:t>
            </w: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Разходи</w:t>
            </w: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Общ брой</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Общо разходи</w:t>
            </w:r>
          </w:p>
        </w:tc>
      </w:tr>
      <w:tr>
        <w:tc>
          <w:tcPr>
            <w:tcW w:w="624" w:type="dxa"/>
            <w:tcBorders>
              <w:top w:val="single" w:sz="4" w:space="0" w:color="auto"/>
              <w:left w:val="single" w:sz="4" w:space="0" w:color="auto"/>
              <w:bottom w:val="single" w:sz="4" w:space="0" w:color="auto"/>
              <w:right w:val="single" w:sz="4" w:space="0" w:color="auto"/>
            </w:tcBorders>
          </w:tcPr>
          <w:p>
            <w:pPr>
              <w:ind w:right="-29"/>
              <w:jc w:val="center"/>
              <w:rPr>
                <w:noProof/>
                <w:spacing w:val="-16"/>
                <w:sz w:val="16"/>
                <w:szCs w:val="16"/>
              </w:rPr>
            </w:pPr>
            <w:r>
              <w:rPr>
                <w:noProof/>
                <w:spacing w:val="-16"/>
                <w:sz w:val="16"/>
              </w:rPr>
              <w:t>- Резултат 1</w:t>
            </w:r>
          </w:p>
        </w:tc>
        <w:tc>
          <w:tcPr>
            <w:tcW w:w="991"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rPr>
              <w:t>Последваща оценка</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0,150</w:t>
            </w: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0,150</w:t>
            </w:r>
          </w:p>
        </w:tc>
      </w:tr>
      <w:tr>
        <w:tc>
          <w:tcPr>
            <w:tcW w:w="624" w:type="dxa"/>
            <w:tcBorders>
              <w:top w:val="single" w:sz="4" w:space="0" w:color="auto"/>
              <w:left w:val="single" w:sz="4" w:space="0" w:color="auto"/>
              <w:bottom w:val="single" w:sz="4" w:space="0" w:color="auto"/>
              <w:right w:val="single" w:sz="4" w:space="0" w:color="auto"/>
            </w:tcBorders>
          </w:tcPr>
          <w:p>
            <w:pPr>
              <w:ind w:right="-29"/>
              <w:jc w:val="center"/>
              <w:rPr>
                <w:noProof/>
                <w:spacing w:val="-16"/>
                <w:sz w:val="16"/>
                <w:szCs w:val="16"/>
              </w:rPr>
            </w:pPr>
            <w:r>
              <w:rPr>
                <w:noProof/>
                <w:spacing w:val="-16"/>
                <w:sz w:val="16"/>
              </w:rPr>
              <w:t>Резултат</w:t>
            </w:r>
            <w:r>
              <w:rPr>
                <w:noProof/>
                <w:spacing w:val="-16"/>
                <w:sz w:val="16"/>
                <w:szCs w:val="16"/>
              </w:rPr>
              <w:br/>
            </w:r>
            <w:r>
              <w:rPr>
                <w:noProof/>
                <w:spacing w:val="-16"/>
                <w:sz w:val="16"/>
              </w:rPr>
              <w:t>2</w:t>
            </w:r>
          </w:p>
        </w:tc>
        <w:tc>
          <w:tcPr>
            <w:tcW w:w="991"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rPr>
              <w:t>Оперативна оценка</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0,070</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0,070</w:t>
            </w:r>
          </w:p>
        </w:tc>
      </w:tr>
      <w:tr>
        <w:tc>
          <w:tcPr>
            <w:tcW w:w="624" w:type="dxa"/>
            <w:tcBorders>
              <w:top w:val="single" w:sz="4" w:space="0" w:color="auto"/>
              <w:left w:val="single" w:sz="4" w:space="0" w:color="auto"/>
              <w:bottom w:val="single" w:sz="4" w:space="0" w:color="auto"/>
              <w:right w:val="single" w:sz="4" w:space="0" w:color="auto"/>
            </w:tcBorders>
          </w:tcPr>
          <w:p>
            <w:pPr>
              <w:ind w:right="-29"/>
              <w:jc w:val="center"/>
              <w:rPr>
                <w:noProof/>
                <w:spacing w:val="-16"/>
                <w:sz w:val="16"/>
                <w:szCs w:val="16"/>
              </w:rPr>
            </w:pPr>
            <w:r>
              <w:rPr>
                <w:noProof/>
                <w:spacing w:val="-16"/>
                <w:sz w:val="16"/>
              </w:rPr>
              <w:t>- Резултат 3</w:t>
            </w:r>
          </w:p>
        </w:tc>
        <w:tc>
          <w:tcPr>
            <w:tcW w:w="991"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rPr>
              <w:t>Обезпечаване на Гаранционния фонд</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w:t>
            </w: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2</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90,0</w:t>
            </w:r>
          </w:p>
        </w:tc>
      </w:tr>
      <w:tr>
        <w:trPr>
          <w:trHeight w:hRule="exact" w:val="707"/>
        </w:trPr>
        <w:tc>
          <w:tcPr>
            <w:tcW w:w="1615" w:type="dxa"/>
            <w:gridSpan w:val="2"/>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r>
              <w:rPr>
                <w:noProof/>
                <w:sz w:val="18"/>
              </w:rPr>
              <w:t>Междинен сбор за конкретна цел № 1</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0,070</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2</w:t>
            </w: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45,150</w:t>
            </w: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90,22</w:t>
            </w:r>
          </w:p>
        </w:tc>
      </w:tr>
      <w:tr>
        <w:trPr>
          <w:trHeight w:hRule="exact" w:val="707"/>
        </w:trPr>
        <w:tc>
          <w:tcPr>
            <w:tcW w:w="1615" w:type="dxa"/>
            <w:gridSpan w:val="2"/>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r>
              <w:rPr>
                <w:b/>
                <w:noProof/>
                <w:sz w:val="18"/>
              </w:rPr>
              <w:t>ОБЩО РАЗХОДИ</w:t>
            </w:r>
          </w:p>
        </w:tc>
        <w:tc>
          <w:tcPr>
            <w:tcW w:w="767"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4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0,070</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9"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580"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w:t>
            </w:r>
          </w:p>
        </w:tc>
        <w:tc>
          <w:tcPr>
            <w:tcW w:w="83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2</w:t>
            </w:r>
          </w:p>
        </w:tc>
        <w:tc>
          <w:tcPr>
            <w:tcW w:w="72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45,150</w:t>
            </w:r>
          </w:p>
        </w:tc>
        <w:tc>
          <w:tcPr>
            <w:tcW w:w="78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w:t>
            </w:r>
          </w:p>
        </w:tc>
        <w:tc>
          <w:tcPr>
            <w:tcW w:w="1071"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90,22</w:t>
            </w:r>
          </w:p>
        </w:tc>
      </w:tr>
    </w:tbl>
    <w:p>
      <w:pPr>
        <w:rPr>
          <w:noProof/>
          <w:szCs w:val="20"/>
        </w:rPr>
        <w:sectPr>
          <w:headerReference w:type="default" r:id="rId18"/>
          <w:footerReference w:type="default" r:id="rId19"/>
          <w:headerReference w:type="first" r:id="rId20"/>
          <w:footerReference w:type="first" r:id="rId21"/>
          <w:pgSz w:w="11907" w:h="16840" w:code="9"/>
          <w:pgMar w:top="720" w:right="720" w:bottom="720" w:left="720" w:header="709" w:footer="709" w:gutter="0"/>
          <w:cols w:space="708"/>
          <w:docGrid w:linePitch="360"/>
        </w:sectPr>
      </w:pPr>
    </w:p>
    <w:p>
      <w:pPr>
        <w:keepNext/>
        <w:tabs>
          <w:tab w:val="left" w:pos="850"/>
        </w:tabs>
        <w:ind w:left="850" w:hanging="850"/>
        <w:outlineLvl w:val="2"/>
        <w:rPr>
          <w:i/>
          <w:noProof/>
          <w:szCs w:val="20"/>
        </w:rPr>
      </w:pPr>
      <w:r>
        <w:rPr>
          <w:i/>
          <w:noProof/>
        </w:rPr>
        <w:t>3.2.3.</w:t>
      </w:r>
      <w:r>
        <w:rPr>
          <w:noProof/>
        </w:rPr>
        <w:tab/>
      </w:r>
      <w:r>
        <w:rPr>
          <w:i/>
          <w:noProof/>
        </w:rPr>
        <w:t>Очаквано отражение върху бюджетните кредити за административни разходи</w:t>
      </w:r>
    </w:p>
    <w:p>
      <w:pPr>
        <w:keepNext/>
        <w:tabs>
          <w:tab w:val="left" w:pos="850"/>
        </w:tabs>
        <w:ind w:left="850" w:hanging="850"/>
        <w:outlineLvl w:val="3"/>
        <w:rPr>
          <w:noProof/>
          <w:szCs w:val="20"/>
        </w:rPr>
      </w:pPr>
      <w:r>
        <w:rPr>
          <w:noProof/>
        </w:rPr>
        <w:t>3.2.3.1</w:t>
      </w:r>
      <w:r>
        <w:rPr>
          <w:noProof/>
        </w:rPr>
        <w:tab/>
        <w:t xml:space="preserve">Обобщение </w:t>
      </w:r>
    </w:p>
    <w:p>
      <w:pPr>
        <w:tabs>
          <w:tab w:val="num" w:pos="1134"/>
        </w:tabs>
        <w:ind w:left="1134" w:hanging="283"/>
        <w:rPr>
          <w:noProof/>
          <w:szCs w:val="20"/>
        </w:rPr>
      </w:pPr>
      <w:r>
        <w:rPr>
          <w:noProof/>
          <w:szCs w:val="20"/>
        </w:rPr>
        <w:sym w:font="Wingdings" w:char="F0A8"/>
      </w:r>
      <w:r>
        <w:rPr>
          <w:noProof/>
        </w:rPr>
        <w:t xml:space="preserve"> </w:t>
      </w:r>
      <w:r>
        <w:rPr>
          <w:noProof/>
        </w:rPr>
        <w:tab/>
        <w:t xml:space="preserve">Предложението/инициативата не налага използване на бюджетни кредити за административни разходи </w:t>
      </w:r>
    </w:p>
    <w:p>
      <w:pPr>
        <w:tabs>
          <w:tab w:val="num" w:pos="1134"/>
        </w:tabs>
        <w:ind w:left="1134" w:hanging="283"/>
        <w:rPr>
          <w:noProof/>
          <w:szCs w:val="20"/>
        </w:rPr>
      </w:pPr>
      <w:r>
        <w:rPr>
          <w:noProof/>
        </w:rPr>
        <w:t>X Предложението/инициативата налага използване на бюджетни кредити за административни разходи съгласно обяснението по-долу:</w:t>
      </w:r>
    </w:p>
    <w:p>
      <w:pPr>
        <w:rPr>
          <w:noProof/>
          <w:sz w:val="20"/>
          <w:szCs w:val="20"/>
        </w:rPr>
      </w:pPr>
      <w:r>
        <w:rPr>
          <w:noProof/>
          <w:sz w:val="20"/>
        </w:rPr>
        <w:t>милиони евро (до третия знак след десетичната запетая)</w:t>
      </w:r>
    </w:p>
    <w:tbl>
      <w:tblPr>
        <w:tblW w:w="8658" w:type="dxa"/>
        <w:tblLayout w:type="fixed"/>
        <w:tblLook w:val="01E0" w:firstRow="1" w:lastRow="1" w:firstColumn="1" w:lastColumn="1" w:noHBand="0" w:noVBand="0"/>
      </w:tblPr>
      <w:tblGrid>
        <w:gridCol w:w="1978"/>
        <w:gridCol w:w="724"/>
        <w:gridCol w:w="709"/>
        <w:gridCol w:w="708"/>
        <w:gridCol w:w="709"/>
        <w:gridCol w:w="709"/>
        <w:gridCol w:w="808"/>
        <w:gridCol w:w="468"/>
        <w:gridCol w:w="49"/>
        <w:gridCol w:w="662"/>
        <w:gridCol w:w="1134"/>
      </w:tblGrid>
      <w:tr>
        <w:trPr>
          <w:trHeight w:val="585"/>
        </w:trPr>
        <w:tc>
          <w:tcPr>
            <w:tcW w:w="1978" w:type="dxa"/>
          </w:tcPr>
          <w:p>
            <w:pPr>
              <w:spacing w:before="60" w:after="60" w:line="200" w:lineRule="exact"/>
              <w:rPr>
                <w:noProof/>
                <w:sz w:val="16"/>
                <w:szCs w:val="20"/>
              </w:rPr>
            </w:pPr>
          </w:p>
        </w:tc>
        <w:tc>
          <w:tcPr>
            <w:tcW w:w="724" w:type="dxa"/>
          </w:tcPr>
          <w:p>
            <w:pPr>
              <w:spacing w:before="60" w:after="60" w:line="200" w:lineRule="exact"/>
              <w:jc w:val="center"/>
              <w:rPr>
                <w:noProof/>
                <w:szCs w:val="20"/>
              </w:rPr>
            </w:pPr>
            <w:r>
              <w:rPr>
                <w:rStyle w:val="FootnoteReference"/>
                <w:noProof/>
                <w:sz w:val="16"/>
              </w:rPr>
              <w:footnoteReference w:id="26"/>
            </w:r>
          </w:p>
          <w:p>
            <w:pPr>
              <w:jc w:val="center"/>
              <w:rPr>
                <w:noProof/>
                <w:sz w:val="16"/>
                <w:szCs w:val="20"/>
              </w:rPr>
            </w:pPr>
          </w:p>
        </w:tc>
        <w:tc>
          <w:tcPr>
            <w:tcW w:w="709" w:type="dxa"/>
          </w:tcPr>
          <w:p>
            <w:pPr>
              <w:spacing w:before="60" w:after="60" w:line="200" w:lineRule="exact"/>
              <w:jc w:val="center"/>
              <w:rPr>
                <w:noProof/>
                <w:spacing w:val="-6"/>
                <w:szCs w:val="20"/>
              </w:rPr>
            </w:pPr>
            <w:r>
              <w:rPr>
                <w:noProof/>
                <w:spacing w:val="-6"/>
                <w:sz w:val="16"/>
              </w:rPr>
              <w:t>Година</w:t>
            </w:r>
            <w:r>
              <w:rPr>
                <w:noProof/>
                <w:spacing w:val="-6"/>
                <w:sz w:val="16"/>
                <w:szCs w:val="20"/>
              </w:rPr>
              <w:br/>
            </w:r>
            <w:r>
              <w:rPr>
                <w:b/>
                <w:noProof/>
                <w:spacing w:val="-6"/>
                <w:sz w:val="16"/>
              </w:rPr>
              <w:t>2017</w:t>
            </w:r>
          </w:p>
        </w:tc>
        <w:tc>
          <w:tcPr>
            <w:tcW w:w="708" w:type="dxa"/>
          </w:tcPr>
          <w:p>
            <w:pPr>
              <w:spacing w:before="60" w:after="60" w:line="200" w:lineRule="exact"/>
              <w:jc w:val="center"/>
              <w:rPr>
                <w:noProof/>
                <w:spacing w:val="-6"/>
                <w:szCs w:val="20"/>
              </w:rPr>
            </w:pPr>
            <w:r>
              <w:rPr>
                <w:noProof/>
                <w:spacing w:val="-6"/>
                <w:sz w:val="16"/>
              </w:rPr>
              <w:t>Година</w:t>
            </w:r>
            <w:r>
              <w:rPr>
                <w:noProof/>
                <w:spacing w:val="-6"/>
                <w:sz w:val="16"/>
                <w:szCs w:val="20"/>
              </w:rPr>
              <w:br/>
            </w:r>
            <w:r>
              <w:rPr>
                <w:b/>
                <w:noProof/>
                <w:spacing w:val="-6"/>
                <w:sz w:val="16"/>
              </w:rPr>
              <w:t>2018</w:t>
            </w:r>
          </w:p>
        </w:tc>
        <w:tc>
          <w:tcPr>
            <w:tcW w:w="709" w:type="dxa"/>
          </w:tcPr>
          <w:p>
            <w:pPr>
              <w:spacing w:before="60" w:after="60" w:line="200" w:lineRule="exact"/>
              <w:jc w:val="center"/>
              <w:rPr>
                <w:noProof/>
                <w:spacing w:val="-6"/>
                <w:szCs w:val="20"/>
              </w:rPr>
            </w:pPr>
            <w:r>
              <w:rPr>
                <w:noProof/>
                <w:spacing w:val="-6"/>
                <w:sz w:val="16"/>
              </w:rPr>
              <w:t>Година</w:t>
            </w:r>
            <w:r>
              <w:rPr>
                <w:noProof/>
                <w:spacing w:val="-6"/>
                <w:sz w:val="16"/>
                <w:szCs w:val="20"/>
              </w:rPr>
              <w:br/>
            </w:r>
            <w:r>
              <w:rPr>
                <w:b/>
                <w:noProof/>
                <w:spacing w:val="-6"/>
                <w:sz w:val="16"/>
              </w:rPr>
              <w:t>2019</w:t>
            </w:r>
          </w:p>
        </w:tc>
        <w:tc>
          <w:tcPr>
            <w:tcW w:w="709" w:type="dxa"/>
          </w:tcPr>
          <w:p>
            <w:pPr>
              <w:spacing w:line="200" w:lineRule="exact"/>
              <w:jc w:val="center"/>
              <w:rPr>
                <w:noProof/>
                <w:spacing w:val="-6"/>
                <w:sz w:val="16"/>
                <w:szCs w:val="20"/>
              </w:rPr>
            </w:pPr>
            <w:r>
              <w:rPr>
                <w:noProof/>
                <w:spacing w:val="-6"/>
                <w:sz w:val="16"/>
              </w:rPr>
              <w:t>Година</w:t>
            </w:r>
            <w:r>
              <w:rPr>
                <w:noProof/>
                <w:spacing w:val="-6"/>
                <w:sz w:val="16"/>
                <w:szCs w:val="20"/>
              </w:rPr>
              <w:br/>
            </w:r>
            <w:r>
              <w:rPr>
                <w:b/>
                <w:noProof/>
                <w:spacing w:val="-6"/>
                <w:sz w:val="16"/>
              </w:rPr>
              <w:t>2020</w:t>
            </w:r>
          </w:p>
        </w:tc>
        <w:tc>
          <w:tcPr>
            <w:tcW w:w="808" w:type="dxa"/>
          </w:tcPr>
          <w:p>
            <w:pPr>
              <w:spacing w:line="200" w:lineRule="exact"/>
              <w:jc w:val="center"/>
              <w:rPr>
                <w:noProof/>
                <w:szCs w:val="20"/>
              </w:rPr>
            </w:pPr>
            <w:r>
              <w:rPr>
                <w:noProof/>
                <w:sz w:val="16"/>
              </w:rPr>
              <w:t xml:space="preserve">Година </w:t>
            </w:r>
            <w:r>
              <w:rPr>
                <w:noProof/>
                <w:sz w:val="16"/>
                <w:szCs w:val="20"/>
              </w:rPr>
              <w:br/>
            </w:r>
            <w:r>
              <w:rPr>
                <w:noProof/>
                <w:sz w:val="16"/>
              </w:rPr>
              <w:t>2021</w:t>
            </w:r>
          </w:p>
        </w:tc>
        <w:tc>
          <w:tcPr>
            <w:tcW w:w="517" w:type="dxa"/>
            <w:gridSpan w:val="2"/>
          </w:tcPr>
          <w:p>
            <w:pPr>
              <w:spacing w:line="200" w:lineRule="exact"/>
              <w:jc w:val="center"/>
              <w:rPr>
                <w:noProof/>
                <w:szCs w:val="20"/>
              </w:rPr>
            </w:pPr>
          </w:p>
        </w:tc>
        <w:tc>
          <w:tcPr>
            <w:tcW w:w="662" w:type="dxa"/>
          </w:tcPr>
          <w:p>
            <w:pPr>
              <w:spacing w:line="200" w:lineRule="exact"/>
              <w:jc w:val="center"/>
              <w:rPr>
                <w:noProof/>
                <w:szCs w:val="20"/>
              </w:rPr>
            </w:pPr>
          </w:p>
        </w:tc>
        <w:tc>
          <w:tcPr>
            <w:tcW w:w="1134" w:type="dxa"/>
          </w:tcPr>
          <w:p>
            <w:pPr>
              <w:spacing w:before="60" w:after="60" w:line="200" w:lineRule="exact"/>
              <w:jc w:val="center"/>
              <w:rPr>
                <w:b/>
                <w:noProof/>
                <w:sz w:val="16"/>
                <w:szCs w:val="20"/>
              </w:rPr>
            </w:pPr>
            <w:r>
              <w:rPr>
                <w:b/>
                <w:noProof/>
                <w:sz w:val="16"/>
              </w:rPr>
              <w:t>ОБЩО</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shd w:val="clear" w:color="auto" w:fill="CCCCCC"/>
            <w:vAlign w:val="center"/>
          </w:tcPr>
          <w:p>
            <w:pPr>
              <w:spacing w:before="60" w:after="60" w:line="200" w:lineRule="exact"/>
              <w:jc w:val="center"/>
              <w:rPr>
                <w:noProof/>
                <w:szCs w:val="20"/>
              </w:rPr>
            </w:pPr>
            <w:r>
              <w:rPr>
                <w:b/>
                <w:noProof/>
                <w:sz w:val="16"/>
              </w:rPr>
              <w:t>ФУНКЦИЯ 5</w:t>
            </w:r>
            <w:r>
              <w:rPr>
                <w:b/>
                <w:noProof/>
                <w:sz w:val="16"/>
                <w:szCs w:val="20"/>
              </w:rPr>
              <w:br/>
            </w:r>
            <w:r>
              <w:rPr>
                <w:b/>
                <w:noProof/>
                <w:sz w:val="16"/>
              </w:rPr>
              <w:t>от многогодишната финансова рамка</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vAlign w:val="center"/>
          </w:tcPr>
          <w:p>
            <w:pPr>
              <w:spacing w:before="60" w:after="60" w:line="200" w:lineRule="exact"/>
              <w:ind w:left="72"/>
              <w:rPr>
                <w:noProof/>
                <w:szCs w:val="20"/>
              </w:rPr>
            </w:pPr>
            <w:r>
              <w:rPr>
                <w:noProof/>
                <w:sz w:val="16"/>
              </w:rPr>
              <w:t xml:space="preserve">Човешки ресурси </w:t>
            </w:r>
          </w:p>
        </w:tc>
        <w:tc>
          <w:tcPr>
            <w:tcW w:w="72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r>
              <w:rPr>
                <w:noProof/>
                <w:sz w:val="20"/>
              </w:rPr>
              <w:t>0,043</w:t>
            </w:r>
          </w:p>
        </w:tc>
        <w:tc>
          <w:tcPr>
            <w:tcW w:w="708" w:type="dxa"/>
            <w:vAlign w:val="center"/>
          </w:tcPr>
          <w:p>
            <w:pPr>
              <w:spacing w:before="60" w:after="60" w:line="200" w:lineRule="exact"/>
              <w:jc w:val="right"/>
              <w:rPr>
                <w:noProof/>
                <w:sz w:val="20"/>
                <w:szCs w:val="20"/>
              </w:rPr>
            </w:pPr>
            <w:r>
              <w:rPr>
                <w:noProof/>
                <w:sz w:val="20"/>
              </w:rPr>
              <w:t>0,429</w:t>
            </w:r>
          </w:p>
        </w:tc>
        <w:tc>
          <w:tcPr>
            <w:tcW w:w="709" w:type="dxa"/>
            <w:vAlign w:val="center"/>
          </w:tcPr>
          <w:p>
            <w:pPr>
              <w:spacing w:before="60" w:after="60" w:line="200" w:lineRule="exact"/>
              <w:jc w:val="right"/>
              <w:rPr>
                <w:noProof/>
                <w:sz w:val="20"/>
                <w:szCs w:val="20"/>
              </w:rPr>
            </w:pPr>
            <w:r>
              <w:rPr>
                <w:noProof/>
                <w:sz w:val="20"/>
              </w:rPr>
              <w:t>0,215</w:t>
            </w:r>
          </w:p>
        </w:tc>
        <w:tc>
          <w:tcPr>
            <w:tcW w:w="709" w:type="dxa"/>
            <w:vAlign w:val="center"/>
          </w:tcPr>
          <w:p>
            <w:pPr>
              <w:spacing w:before="60" w:after="60" w:line="200" w:lineRule="exact"/>
              <w:jc w:val="right"/>
              <w:rPr>
                <w:noProof/>
                <w:sz w:val="20"/>
                <w:szCs w:val="20"/>
              </w:rPr>
            </w:pPr>
            <w:r>
              <w:rPr>
                <w:noProof/>
                <w:sz w:val="20"/>
              </w:rPr>
              <w:t>0,010</w:t>
            </w:r>
          </w:p>
        </w:tc>
        <w:tc>
          <w:tcPr>
            <w:tcW w:w="808" w:type="dxa"/>
            <w:vAlign w:val="center"/>
          </w:tcPr>
          <w:p>
            <w:pPr>
              <w:spacing w:before="60" w:after="60" w:line="200" w:lineRule="exact"/>
              <w:jc w:val="center"/>
              <w:rPr>
                <w:noProof/>
                <w:sz w:val="20"/>
                <w:szCs w:val="20"/>
              </w:rPr>
            </w:pPr>
            <w:r>
              <w:rPr>
                <w:noProof/>
                <w:sz w:val="20"/>
              </w:rPr>
              <w:t>0,010</w:t>
            </w:r>
          </w:p>
        </w:tc>
        <w:tc>
          <w:tcPr>
            <w:tcW w:w="468" w:type="dxa"/>
            <w:vAlign w:val="center"/>
          </w:tcPr>
          <w:p>
            <w:pPr>
              <w:spacing w:before="60" w:after="60" w:line="200" w:lineRule="exact"/>
              <w:jc w:val="right"/>
              <w:rPr>
                <w:noProof/>
                <w:sz w:val="20"/>
                <w:szCs w:val="20"/>
              </w:rPr>
            </w:pPr>
          </w:p>
        </w:tc>
        <w:tc>
          <w:tcPr>
            <w:tcW w:w="711" w:type="dxa"/>
            <w:gridSpan w:val="2"/>
            <w:vAlign w:val="center"/>
          </w:tcPr>
          <w:p>
            <w:pPr>
              <w:spacing w:before="60" w:after="60" w:line="200" w:lineRule="exact"/>
              <w:jc w:val="right"/>
              <w:rPr>
                <w:b/>
                <w:noProof/>
                <w:sz w:val="20"/>
                <w:szCs w:val="20"/>
              </w:rPr>
            </w:pPr>
          </w:p>
        </w:tc>
        <w:tc>
          <w:tcPr>
            <w:tcW w:w="1134" w:type="dxa"/>
            <w:vAlign w:val="center"/>
          </w:tcPr>
          <w:p>
            <w:pPr>
              <w:spacing w:before="60" w:after="60" w:line="200" w:lineRule="exact"/>
              <w:jc w:val="right"/>
              <w:rPr>
                <w:b/>
                <w:noProof/>
                <w:sz w:val="20"/>
                <w:szCs w:val="20"/>
              </w:rPr>
            </w:pPr>
            <w:r>
              <w:rPr>
                <w:b/>
                <w:noProof/>
                <w:sz w:val="20"/>
              </w:rPr>
              <w:t xml:space="preserve">0,707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vAlign w:val="center"/>
          </w:tcPr>
          <w:p>
            <w:pPr>
              <w:spacing w:before="60" w:after="60" w:line="200" w:lineRule="exact"/>
              <w:ind w:left="72"/>
              <w:jc w:val="left"/>
              <w:rPr>
                <w:noProof/>
                <w:szCs w:val="20"/>
              </w:rPr>
            </w:pPr>
            <w:r>
              <w:rPr>
                <w:noProof/>
                <w:sz w:val="16"/>
              </w:rPr>
              <w:t>Други административни разходи (командировки)</w:t>
            </w:r>
          </w:p>
        </w:tc>
        <w:tc>
          <w:tcPr>
            <w:tcW w:w="72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r>
              <w:rPr>
                <w:noProof/>
                <w:sz w:val="20"/>
              </w:rPr>
              <w:t>0,010</w:t>
            </w:r>
          </w:p>
        </w:tc>
        <w:tc>
          <w:tcPr>
            <w:tcW w:w="708" w:type="dxa"/>
            <w:vAlign w:val="center"/>
          </w:tcPr>
          <w:p>
            <w:pPr>
              <w:spacing w:before="60" w:after="60" w:line="200" w:lineRule="exact"/>
              <w:jc w:val="right"/>
              <w:rPr>
                <w:noProof/>
                <w:sz w:val="20"/>
                <w:szCs w:val="20"/>
              </w:rPr>
            </w:pPr>
            <w:r>
              <w:rPr>
                <w:noProof/>
                <w:sz w:val="20"/>
              </w:rPr>
              <w:t>0,040</w:t>
            </w:r>
          </w:p>
        </w:tc>
        <w:tc>
          <w:tcPr>
            <w:tcW w:w="709" w:type="dxa"/>
            <w:vAlign w:val="center"/>
          </w:tcPr>
          <w:p>
            <w:pPr>
              <w:spacing w:before="60" w:after="60" w:line="200" w:lineRule="exact"/>
              <w:jc w:val="right"/>
              <w:rPr>
                <w:noProof/>
                <w:sz w:val="20"/>
                <w:szCs w:val="20"/>
              </w:rPr>
            </w:pPr>
            <w:r>
              <w:rPr>
                <w:noProof/>
                <w:sz w:val="20"/>
              </w:rPr>
              <w:t>0 020</w:t>
            </w:r>
          </w:p>
        </w:tc>
        <w:tc>
          <w:tcPr>
            <w:tcW w:w="709" w:type="dxa"/>
            <w:vAlign w:val="center"/>
          </w:tcPr>
          <w:p>
            <w:pPr>
              <w:spacing w:before="60" w:after="60" w:line="200" w:lineRule="exact"/>
              <w:jc w:val="right"/>
              <w:rPr>
                <w:noProof/>
                <w:sz w:val="20"/>
                <w:szCs w:val="20"/>
              </w:rPr>
            </w:pPr>
          </w:p>
        </w:tc>
        <w:tc>
          <w:tcPr>
            <w:tcW w:w="808" w:type="dxa"/>
            <w:vAlign w:val="center"/>
          </w:tcPr>
          <w:p>
            <w:pPr>
              <w:spacing w:before="60" w:after="60" w:line="200" w:lineRule="exact"/>
              <w:jc w:val="right"/>
              <w:rPr>
                <w:noProof/>
                <w:sz w:val="20"/>
                <w:szCs w:val="20"/>
              </w:rPr>
            </w:pPr>
          </w:p>
        </w:tc>
        <w:tc>
          <w:tcPr>
            <w:tcW w:w="468" w:type="dxa"/>
            <w:vAlign w:val="center"/>
          </w:tcPr>
          <w:p>
            <w:pPr>
              <w:spacing w:before="60" w:after="60" w:line="200" w:lineRule="exact"/>
              <w:jc w:val="right"/>
              <w:rPr>
                <w:noProof/>
                <w:sz w:val="20"/>
                <w:szCs w:val="20"/>
              </w:rPr>
            </w:pPr>
          </w:p>
        </w:tc>
        <w:tc>
          <w:tcPr>
            <w:tcW w:w="711" w:type="dxa"/>
            <w:gridSpan w:val="2"/>
            <w:vAlign w:val="center"/>
          </w:tcPr>
          <w:p>
            <w:pPr>
              <w:spacing w:before="60" w:after="60" w:line="200" w:lineRule="exact"/>
              <w:jc w:val="right"/>
              <w:rPr>
                <w:b/>
                <w:noProof/>
                <w:sz w:val="20"/>
                <w:szCs w:val="20"/>
              </w:rPr>
            </w:pPr>
          </w:p>
        </w:tc>
        <w:tc>
          <w:tcPr>
            <w:tcW w:w="1134" w:type="dxa"/>
            <w:vAlign w:val="center"/>
          </w:tcPr>
          <w:p>
            <w:pPr>
              <w:spacing w:before="60" w:after="60" w:line="200" w:lineRule="exact"/>
              <w:jc w:val="right"/>
              <w:rPr>
                <w:b/>
                <w:noProof/>
                <w:sz w:val="20"/>
                <w:szCs w:val="20"/>
              </w:rPr>
            </w:pPr>
            <w:r>
              <w:rPr>
                <w:b/>
                <w:noProof/>
                <w:sz w:val="20"/>
              </w:rPr>
              <w:t>0,070</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shd w:val="clear" w:color="auto" w:fill="CCCCCC"/>
            <w:vAlign w:val="center"/>
          </w:tcPr>
          <w:p>
            <w:pPr>
              <w:spacing w:before="60" w:after="60" w:line="200" w:lineRule="exact"/>
              <w:jc w:val="center"/>
              <w:rPr>
                <w:noProof/>
                <w:szCs w:val="20"/>
              </w:rPr>
            </w:pPr>
            <w:r>
              <w:rPr>
                <w:b/>
                <w:noProof/>
                <w:sz w:val="16"/>
              </w:rPr>
              <w:t>Междинна сума по ФУНКЦИЯ 5</w:t>
            </w:r>
            <w:r>
              <w:rPr>
                <w:b/>
                <w:noProof/>
                <w:sz w:val="16"/>
                <w:szCs w:val="20"/>
              </w:rPr>
              <w:br/>
            </w:r>
            <w:r>
              <w:rPr>
                <w:b/>
                <w:noProof/>
                <w:sz w:val="16"/>
              </w:rPr>
              <w:t xml:space="preserve">от многогодишната финансова рамка </w:t>
            </w:r>
          </w:p>
        </w:tc>
        <w:tc>
          <w:tcPr>
            <w:tcW w:w="72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r>
              <w:rPr>
                <w:noProof/>
                <w:sz w:val="20"/>
              </w:rPr>
              <w:t>0,053</w:t>
            </w:r>
          </w:p>
        </w:tc>
        <w:tc>
          <w:tcPr>
            <w:tcW w:w="708" w:type="dxa"/>
            <w:vAlign w:val="center"/>
          </w:tcPr>
          <w:p>
            <w:pPr>
              <w:spacing w:before="60" w:after="60" w:line="200" w:lineRule="exact"/>
              <w:jc w:val="right"/>
              <w:rPr>
                <w:noProof/>
                <w:sz w:val="20"/>
                <w:szCs w:val="20"/>
              </w:rPr>
            </w:pPr>
            <w:r>
              <w:rPr>
                <w:noProof/>
                <w:sz w:val="20"/>
              </w:rPr>
              <w:t>0,469</w:t>
            </w:r>
          </w:p>
        </w:tc>
        <w:tc>
          <w:tcPr>
            <w:tcW w:w="709" w:type="dxa"/>
            <w:vAlign w:val="center"/>
          </w:tcPr>
          <w:p>
            <w:pPr>
              <w:spacing w:before="60" w:after="60" w:line="200" w:lineRule="exact"/>
              <w:jc w:val="right"/>
              <w:rPr>
                <w:noProof/>
                <w:sz w:val="20"/>
                <w:szCs w:val="20"/>
              </w:rPr>
            </w:pPr>
            <w:r>
              <w:rPr>
                <w:noProof/>
                <w:sz w:val="20"/>
              </w:rPr>
              <w:t>0,235</w:t>
            </w:r>
          </w:p>
        </w:tc>
        <w:tc>
          <w:tcPr>
            <w:tcW w:w="709" w:type="dxa"/>
            <w:vAlign w:val="center"/>
          </w:tcPr>
          <w:p>
            <w:pPr>
              <w:spacing w:before="60" w:after="60" w:line="200" w:lineRule="exact"/>
              <w:jc w:val="right"/>
              <w:rPr>
                <w:noProof/>
                <w:sz w:val="20"/>
                <w:szCs w:val="20"/>
              </w:rPr>
            </w:pPr>
            <w:r>
              <w:rPr>
                <w:noProof/>
                <w:sz w:val="20"/>
              </w:rPr>
              <w:t>0,010</w:t>
            </w:r>
          </w:p>
        </w:tc>
        <w:tc>
          <w:tcPr>
            <w:tcW w:w="808" w:type="dxa"/>
            <w:vAlign w:val="center"/>
          </w:tcPr>
          <w:p>
            <w:pPr>
              <w:spacing w:before="60" w:after="60" w:line="200" w:lineRule="exact"/>
              <w:jc w:val="right"/>
              <w:rPr>
                <w:noProof/>
                <w:sz w:val="20"/>
                <w:szCs w:val="20"/>
              </w:rPr>
            </w:pPr>
            <w:r>
              <w:rPr>
                <w:noProof/>
                <w:sz w:val="20"/>
              </w:rPr>
              <w:t>0,010</w:t>
            </w:r>
          </w:p>
        </w:tc>
        <w:tc>
          <w:tcPr>
            <w:tcW w:w="468" w:type="dxa"/>
            <w:vAlign w:val="center"/>
          </w:tcPr>
          <w:p>
            <w:pPr>
              <w:spacing w:before="60" w:after="60" w:line="200" w:lineRule="exact"/>
              <w:jc w:val="right"/>
              <w:rPr>
                <w:noProof/>
                <w:sz w:val="20"/>
                <w:szCs w:val="20"/>
              </w:rPr>
            </w:pPr>
          </w:p>
        </w:tc>
        <w:tc>
          <w:tcPr>
            <w:tcW w:w="711" w:type="dxa"/>
            <w:gridSpan w:val="2"/>
            <w:vAlign w:val="center"/>
          </w:tcPr>
          <w:p>
            <w:pPr>
              <w:spacing w:before="60" w:after="60" w:line="200" w:lineRule="exact"/>
              <w:jc w:val="right"/>
              <w:rPr>
                <w:b/>
                <w:noProof/>
                <w:sz w:val="20"/>
                <w:szCs w:val="20"/>
              </w:rPr>
            </w:pPr>
          </w:p>
        </w:tc>
        <w:tc>
          <w:tcPr>
            <w:tcW w:w="1134" w:type="dxa"/>
            <w:vAlign w:val="center"/>
          </w:tcPr>
          <w:p>
            <w:pPr>
              <w:spacing w:before="60" w:after="60" w:line="200" w:lineRule="exact"/>
              <w:jc w:val="right"/>
              <w:rPr>
                <w:b/>
                <w:noProof/>
                <w:sz w:val="20"/>
                <w:szCs w:val="20"/>
              </w:rPr>
            </w:pPr>
            <w:r>
              <w:rPr>
                <w:b/>
                <w:noProof/>
                <w:sz w:val="20"/>
              </w:rPr>
              <w:t>0,777</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shd w:val="clear" w:color="auto" w:fill="CCCCCC"/>
            <w:vAlign w:val="center"/>
          </w:tcPr>
          <w:p>
            <w:pPr>
              <w:spacing w:before="60" w:after="60" w:line="200" w:lineRule="exact"/>
              <w:jc w:val="center"/>
              <w:rPr>
                <w:b/>
                <w:noProof/>
                <w:sz w:val="16"/>
                <w:szCs w:val="20"/>
              </w:rPr>
            </w:pPr>
            <w:r>
              <w:rPr>
                <w:b/>
                <w:noProof/>
                <w:sz w:val="16"/>
              </w:rPr>
              <w:t>Извън ФУНКЦИЯ 5</w:t>
            </w:r>
            <w:r>
              <w:rPr>
                <w:rStyle w:val="FootnoteReference"/>
                <w:b/>
                <w:noProof/>
                <w:sz w:val="16"/>
              </w:rPr>
              <w:footnoteReference w:id="27"/>
            </w:r>
            <w:r>
              <w:rPr>
                <w:b/>
                <w:noProof/>
                <w:sz w:val="16"/>
              </w:rPr>
              <w:t xml:space="preserve"> от многогодишната финансова рамка </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vAlign w:val="center"/>
          </w:tcPr>
          <w:p>
            <w:pPr>
              <w:spacing w:before="60" w:after="60" w:line="200" w:lineRule="exact"/>
              <w:ind w:left="72"/>
              <w:rPr>
                <w:noProof/>
                <w:szCs w:val="20"/>
              </w:rPr>
            </w:pPr>
            <w:r>
              <w:rPr>
                <w:noProof/>
                <w:sz w:val="16"/>
              </w:rPr>
              <w:t xml:space="preserve">Човешки ресурси </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vAlign w:val="center"/>
          </w:tcPr>
          <w:p>
            <w:pPr>
              <w:spacing w:before="60" w:after="60" w:line="200" w:lineRule="exact"/>
              <w:ind w:left="72"/>
              <w:rPr>
                <w:noProof/>
                <w:szCs w:val="20"/>
              </w:rPr>
            </w:pPr>
            <w:r>
              <w:rPr>
                <w:noProof/>
                <w:sz w:val="16"/>
              </w:rPr>
              <w:t xml:space="preserve">Други разходи </w:t>
            </w:r>
            <w:r>
              <w:rPr>
                <w:noProof/>
                <w:sz w:val="16"/>
                <w:szCs w:val="20"/>
              </w:rPr>
              <w:br/>
            </w:r>
            <w:r>
              <w:rPr>
                <w:noProof/>
                <w:sz w:val="16"/>
              </w:rPr>
              <w:t>от административен характер</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shd w:val="clear" w:color="auto" w:fill="CCCCCC"/>
            <w:vAlign w:val="center"/>
          </w:tcPr>
          <w:p>
            <w:pPr>
              <w:spacing w:before="60" w:after="60" w:line="200" w:lineRule="exact"/>
              <w:jc w:val="center"/>
              <w:rPr>
                <w:noProof/>
                <w:szCs w:val="20"/>
              </w:rPr>
            </w:pPr>
            <w:r>
              <w:rPr>
                <w:b/>
                <w:noProof/>
                <w:sz w:val="16"/>
              </w:rPr>
              <w:t xml:space="preserve">Междинна сума </w:t>
            </w:r>
            <w:r>
              <w:rPr>
                <w:b/>
                <w:noProof/>
                <w:sz w:val="16"/>
                <w:szCs w:val="20"/>
              </w:rPr>
              <w:br/>
            </w:r>
            <w:r>
              <w:rPr>
                <w:b/>
                <w:noProof/>
                <w:sz w:val="16"/>
              </w:rPr>
              <w:t>извън ФУНКЦИЯ 5</w:t>
            </w:r>
            <w:r>
              <w:rPr>
                <w:b/>
                <w:noProof/>
                <w:sz w:val="16"/>
                <w:szCs w:val="20"/>
              </w:rPr>
              <w:br/>
            </w:r>
            <w:r>
              <w:rPr>
                <w:b/>
                <w:noProof/>
                <w:sz w:val="16"/>
              </w:rPr>
              <w:t xml:space="preserve">от многогодишната финансова рамка </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bl>
    <w:p>
      <w:pPr>
        <w:spacing w:line="200" w:lineRule="exact"/>
        <w:rPr>
          <w:noProof/>
          <w:sz w:val="4"/>
          <w:szCs w:val="4"/>
          <w:highlight w:val="cyan"/>
        </w:rPr>
      </w:pPr>
    </w:p>
    <w:tbl>
      <w:tblPr>
        <w:tblW w:w="8658" w:type="dxa"/>
        <w:tblLayout w:type="fixed"/>
        <w:tblLook w:val="01E0" w:firstRow="1" w:lastRow="1" w:firstColumn="1" w:lastColumn="1" w:noHBand="0" w:noVBand="0"/>
      </w:tblPr>
      <w:tblGrid>
        <w:gridCol w:w="1980"/>
        <w:gridCol w:w="725"/>
        <w:gridCol w:w="709"/>
        <w:gridCol w:w="708"/>
        <w:gridCol w:w="709"/>
        <w:gridCol w:w="709"/>
        <w:gridCol w:w="805"/>
        <w:gridCol w:w="471"/>
        <w:gridCol w:w="708"/>
        <w:gridCol w:w="1134"/>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20"/>
              </w:rPr>
            </w:pPr>
            <w:r>
              <w:rPr>
                <w:b/>
                <w:noProof/>
                <w:sz w:val="16"/>
              </w:rPr>
              <w:t>ОБЩО</w:t>
            </w:r>
          </w:p>
        </w:tc>
        <w:tc>
          <w:tcPr>
            <w:tcW w:w="72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0,053</w:t>
            </w: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0,469</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0,235</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0,010</w:t>
            </w:r>
          </w:p>
        </w:tc>
        <w:tc>
          <w:tcPr>
            <w:tcW w:w="80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0,010</w:t>
            </w:r>
          </w:p>
        </w:tc>
        <w:tc>
          <w:tcPr>
            <w:tcW w:w="471"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p>
        </w:tc>
        <w:tc>
          <w:tcPr>
            <w:tcW w:w="1134"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20"/>
                <w:szCs w:val="20"/>
              </w:rPr>
            </w:pPr>
            <w:r>
              <w:rPr>
                <w:b/>
                <w:noProof/>
                <w:sz w:val="20"/>
              </w:rPr>
              <w:t>0,777</w:t>
            </w:r>
          </w:p>
        </w:tc>
      </w:tr>
    </w:tbl>
    <w:p>
      <w:pPr>
        <w:rPr>
          <w:noProof/>
          <w:szCs w:val="20"/>
          <w:u w:val="single"/>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Необходимите бюджетни кредити за административни разходи ще бъдат покрити чрез бюджетните кредити на генералната дирекция, които вече са предвидени за управлението на дейността и/или които са преразпределени в рамките на генералната дирекция, при необходимост заедно с всички допълнителни отпуснати ресурси, които могат да бъдат предоставени на управляващата генерална дирекция в рамките на годишната процедура за отпускане на средства, и като се имат предвид бюджетните ограничения.</w:t>
      </w:r>
      <w:r>
        <w:rPr>
          <w:noProof/>
          <w:sz w:val="18"/>
        </w:rPr>
        <w:tab/>
      </w:r>
    </w:p>
    <w:p>
      <w:pPr>
        <w:keepNext/>
        <w:tabs>
          <w:tab w:val="left" w:pos="850"/>
        </w:tabs>
        <w:ind w:left="850" w:hanging="850"/>
        <w:outlineLvl w:val="3"/>
        <w:rPr>
          <w:b/>
          <w:noProof/>
          <w:szCs w:val="20"/>
        </w:rPr>
      </w:pPr>
      <w:r>
        <w:rPr>
          <w:noProof/>
        </w:rPr>
        <w:t>3.2.3.2</w:t>
      </w:r>
      <w:r>
        <w:rPr>
          <w:noProof/>
        </w:rPr>
        <w:tab/>
      </w:r>
      <w:r>
        <w:rPr>
          <w:b/>
          <w:noProof/>
        </w:rPr>
        <w:t xml:space="preserve"> </w:t>
      </w:r>
      <w:r>
        <w:rPr>
          <w:noProof/>
        </w:rPr>
        <w:t xml:space="preserve">Очаквани нужди от човешки ресурси </w:t>
      </w:r>
    </w:p>
    <w:p>
      <w:pPr>
        <w:tabs>
          <w:tab w:val="num" w:pos="1134"/>
        </w:tabs>
        <w:ind w:left="1134" w:hanging="283"/>
        <w:rPr>
          <w:noProof/>
          <w:szCs w:val="20"/>
        </w:rPr>
      </w:pPr>
      <w:r>
        <w:rPr>
          <w:noProof/>
          <w:szCs w:val="20"/>
        </w:rPr>
        <w:sym w:font="Wingdings" w:char="F0A8"/>
      </w:r>
      <w:r>
        <w:rPr>
          <w:noProof/>
        </w:rPr>
        <w:t xml:space="preserve"> </w:t>
      </w:r>
      <w:r>
        <w:rPr>
          <w:noProof/>
        </w:rPr>
        <w:tab/>
        <w:t xml:space="preserve">Предложението/инициативата не налага използване на човешки ресурси. </w:t>
      </w:r>
    </w:p>
    <w:p>
      <w:pPr>
        <w:tabs>
          <w:tab w:val="num" w:pos="1134"/>
        </w:tabs>
        <w:ind w:left="1134" w:hanging="283"/>
        <w:rPr>
          <w:noProof/>
          <w:szCs w:val="20"/>
        </w:rPr>
      </w:pPr>
      <w:r>
        <w:rPr>
          <w:noProof/>
        </w:rPr>
        <w:t>X За предложението/инициативата е необходимо да се използват човешки ресурси съгласно обяснението по-долу:</w:t>
      </w:r>
    </w:p>
    <w:p>
      <w:pPr>
        <w:spacing w:after="60"/>
        <w:jc w:val="right"/>
        <w:rPr>
          <w:i/>
          <w:noProof/>
          <w:sz w:val="20"/>
          <w:szCs w:val="20"/>
        </w:rPr>
      </w:pPr>
      <w:r>
        <w:rPr>
          <w:i/>
          <w:noProof/>
          <w:sz w:val="20"/>
        </w:rPr>
        <w:t>Оценката се посочва в еквиваленти на пълно работно време</w:t>
      </w:r>
    </w:p>
    <w:tbl>
      <w:tblPr>
        <w:tblW w:w="48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3"/>
        <w:gridCol w:w="1611"/>
        <w:gridCol w:w="1224"/>
        <w:gridCol w:w="851"/>
        <w:gridCol w:w="710"/>
        <w:gridCol w:w="776"/>
        <w:gridCol w:w="216"/>
        <w:gridCol w:w="494"/>
        <w:gridCol w:w="1065"/>
        <w:gridCol w:w="68"/>
        <w:gridCol w:w="996"/>
        <w:gridCol w:w="210"/>
        <w:gridCol w:w="853"/>
      </w:tblGrid>
      <w:tr>
        <w:trPr>
          <w:trHeight w:val="207"/>
          <w:jc w:val="center"/>
        </w:trPr>
        <w:tc>
          <w:tcPr>
            <w:tcW w:w="1404" w:type="pct"/>
            <w:gridSpan w:val="2"/>
          </w:tcPr>
          <w:p>
            <w:pPr>
              <w:spacing w:before="40" w:after="40"/>
              <w:jc w:val="center"/>
              <w:rPr>
                <w:i/>
                <w:noProof/>
                <w:sz w:val="16"/>
                <w:szCs w:val="20"/>
              </w:rPr>
            </w:pPr>
          </w:p>
        </w:tc>
        <w:tc>
          <w:tcPr>
            <w:tcW w:w="590" w:type="pct"/>
            <w:vAlign w:val="center"/>
          </w:tcPr>
          <w:p>
            <w:pPr>
              <w:spacing w:before="20" w:after="20"/>
              <w:jc w:val="center"/>
              <w:rPr>
                <w:noProof/>
                <w:szCs w:val="20"/>
              </w:rPr>
            </w:pPr>
          </w:p>
        </w:tc>
        <w:tc>
          <w:tcPr>
            <w:tcW w:w="410" w:type="pct"/>
            <w:vAlign w:val="center"/>
          </w:tcPr>
          <w:p>
            <w:pPr>
              <w:spacing w:before="20" w:after="20"/>
              <w:jc w:val="center"/>
              <w:rPr>
                <w:b/>
                <w:noProof/>
                <w:szCs w:val="20"/>
              </w:rPr>
            </w:pPr>
            <w:r>
              <w:rPr>
                <w:b/>
                <w:noProof/>
                <w:sz w:val="16"/>
              </w:rPr>
              <w:t>Година</w:t>
            </w:r>
            <w:r>
              <w:rPr>
                <w:b/>
                <w:noProof/>
                <w:sz w:val="16"/>
                <w:szCs w:val="20"/>
              </w:rPr>
              <w:br/>
            </w:r>
            <w:r>
              <w:rPr>
                <w:b/>
                <w:noProof/>
                <w:sz w:val="16"/>
              </w:rPr>
              <w:t>2017</w:t>
            </w:r>
          </w:p>
        </w:tc>
        <w:tc>
          <w:tcPr>
            <w:tcW w:w="342" w:type="pct"/>
            <w:vAlign w:val="center"/>
          </w:tcPr>
          <w:p>
            <w:pPr>
              <w:spacing w:before="20" w:after="20"/>
              <w:jc w:val="center"/>
              <w:rPr>
                <w:b/>
                <w:noProof/>
                <w:spacing w:val="-6"/>
                <w:szCs w:val="20"/>
              </w:rPr>
            </w:pPr>
            <w:r>
              <w:rPr>
                <w:b/>
                <w:noProof/>
                <w:spacing w:val="-6"/>
                <w:sz w:val="16"/>
              </w:rPr>
              <w:t>Година 2018</w:t>
            </w:r>
          </w:p>
        </w:tc>
        <w:tc>
          <w:tcPr>
            <w:tcW w:w="374" w:type="pct"/>
            <w:vAlign w:val="center"/>
          </w:tcPr>
          <w:p>
            <w:pPr>
              <w:spacing w:before="20" w:after="20"/>
              <w:jc w:val="center"/>
              <w:rPr>
                <w:b/>
                <w:noProof/>
                <w:spacing w:val="-6"/>
                <w:sz w:val="16"/>
                <w:szCs w:val="20"/>
              </w:rPr>
            </w:pPr>
            <w:r>
              <w:rPr>
                <w:b/>
                <w:noProof/>
                <w:spacing w:val="-6"/>
                <w:sz w:val="16"/>
              </w:rPr>
              <w:t>Година 2019</w:t>
            </w:r>
          </w:p>
        </w:tc>
        <w:tc>
          <w:tcPr>
            <w:tcW w:w="342" w:type="pct"/>
            <w:gridSpan w:val="2"/>
            <w:vAlign w:val="center"/>
          </w:tcPr>
          <w:p>
            <w:pPr>
              <w:spacing w:before="20" w:after="20"/>
              <w:jc w:val="center"/>
              <w:rPr>
                <w:b/>
                <w:noProof/>
                <w:spacing w:val="-6"/>
                <w:szCs w:val="20"/>
              </w:rPr>
            </w:pPr>
            <w:r>
              <w:rPr>
                <w:b/>
                <w:noProof/>
                <w:spacing w:val="-6"/>
                <w:sz w:val="16"/>
              </w:rPr>
              <w:t>Година 2020</w:t>
            </w:r>
          </w:p>
        </w:tc>
        <w:tc>
          <w:tcPr>
            <w:tcW w:w="513" w:type="pct"/>
            <w:vAlign w:val="center"/>
          </w:tcPr>
          <w:p>
            <w:pPr>
              <w:jc w:val="center"/>
              <w:rPr>
                <w:b/>
                <w:noProof/>
                <w:sz w:val="16"/>
                <w:szCs w:val="20"/>
              </w:rPr>
            </w:pPr>
            <w:r>
              <w:rPr>
                <w:b/>
                <w:noProof/>
                <w:sz w:val="16"/>
              </w:rPr>
              <w:t xml:space="preserve">Година </w:t>
            </w:r>
            <w:r>
              <w:rPr>
                <w:b/>
                <w:noProof/>
                <w:sz w:val="16"/>
                <w:szCs w:val="20"/>
              </w:rPr>
              <w:br/>
            </w:r>
            <w:r>
              <w:rPr>
                <w:b/>
                <w:noProof/>
                <w:sz w:val="16"/>
              </w:rPr>
              <w:t>2021</w:t>
            </w:r>
          </w:p>
        </w:tc>
        <w:tc>
          <w:tcPr>
            <w:tcW w:w="513" w:type="pct"/>
            <w:gridSpan w:val="2"/>
            <w:vAlign w:val="center"/>
          </w:tcPr>
          <w:p>
            <w:pPr>
              <w:jc w:val="center"/>
              <w:rPr>
                <w:noProof/>
                <w:szCs w:val="20"/>
              </w:rPr>
            </w:pPr>
          </w:p>
        </w:tc>
        <w:tc>
          <w:tcPr>
            <w:tcW w:w="512" w:type="pct"/>
            <w:gridSpan w:val="2"/>
            <w:vAlign w:val="center"/>
          </w:tcPr>
          <w:p>
            <w:pPr>
              <w:jc w:val="center"/>
              <w:rPr>
                <w:noProof/>
                <w:szCs w:val="20"/>
              </w:rPr>
            </w:pPr>
          </w:p>
        </w:tc>
      </w:tr>
      <w:tr>
        <w:trPr>
          <w:gridAfter w:val="6"/>
          <w:wAfter w:w="1776" w:type="pct"/>
          <w:trHeight w:val="178"/>
          <w:jc w:val="center"/>
        </w:trPr>
        <w:tc>
          <w:tcPr>
            <w:tcW w:w="3224" w:type="pct"/>
            <w:gridSpan w:val="7"/>
            <w:vAlign w:val="center"/>
          </w:tcPr>
          <w:p>
            <w:pPr>
              <w:spacing w:before="60" w:after="60"/>
              <w:jc w:val="left"/>
              <w:rPr>
                <w:b/>
                <w:noProof/>
                <w:sz w:val="16"/>
                <w:szCs w:val="16"/>
              </w:rPr>
            </w:pPr>
            <w:r>
              <w:rPr>
                <w:b/>
                <w:noProof/>
                <w:sz w:val="16"/>
                <w:szCs w:val="16"/>
              </w:rPr>
              <w:sym w:font="Wingdings" w:char="F09F"/>
            </w:r>
            <w:r>
              <w:rPr>
                <w:noProof/>
              </w:rPr>
              <w:t xml:space="preserve"> </w:t>
            </w:r>
            <w:r>
              <w:rPr>
                <w:b/>
                <w:noProof/>
                <w:sz w:val="16"/>
              </w:rPr>
              <w:t>Длъжности в щатното разписание (длъжностни лица и временно наети лица)</w:t>
            </w:r>
          </w:p>
        </w:tc>
      </w:tr>
      <w:tr>
        <w:trPr>
          <w:trHeight w:val="207"/>
          <w:jc w:val="center"/>
        </w:trPr>
        <w:tc>
          <w:tcPr>
            <w:tcW w:w="1404" w:type="pct"/>
            <w:gridSpan w:val="2"/>
            <w:vAlign w:val="center"/>
          </w:tcPr>
          <w:p>
            <w:pPr>
              <w:spacing w:beforeLines="20" w:before="48" w:afterLines="20" w:after="48"/>
              <w:ind w:left="134"/>
              <w:jc w:val="left"/>
              <w:rPr>
                <w:noProof/>
                <w:szCs w:val="20"/>
              </w:rPr>
            </w:pPr>
            <w:r>
              <w:rPr>
                <w:noProof/>
                <w:sz w:val="16"/>
              </w:rPr>
              <w:t>01 01 01 01 (Централа и представителства на Комисията)</w:t>
            </w:r>
          </w:p>
        </w:tc>
        <w:tc>
          <w:tcPr>
            <w:tcW w:w="590" w:type="pct"/>
            <w:vAlign w:val="center"/>
          </w:tcPr>
          <w:p>
            <w:pPr>
              <w:spacing w:beforeLines="20" w:before="48" w:afterLines="20" w:after="48"/>
              <w:jc w:val="center"/>
              <w:rPr>
                <w:noProof/>
                <w:sz w:val="20"/>
                <w:szCs w:val="20"/>
              </w:rPr>
            </w:pPr>
          </w:p>
        </w:tc>
        <w:tc>
          <w:tcPr>
            <w:tcW w:w="410" w:type="pct"/>
            <w:vAlign w:val="center"/>
          </w:tcPr>
          <w:p>
            <w:pPr>
              <w:spacing w:beforeLines="20" w:before="48" w:afterLines="20" w:after="48"/>
              <w:jc w:val="center"/>
              <w:rPr>
                <w:noProof/>
                <w:sz w:val="20"/>
                <w:szCs w:val="20"/>
              </w:rPr>
            </w:pPr>
            <w:r>
              <w:rPr>
                <w:noProof/>
                <w:sz w:val="20"/>
              </w:rPr>
              <w:t>0,3</w:t>
            </w:r>
          </w:p>
        </w:tc>
        <w:tc>
          <w:tcPr>
            <w:tcW w:w="342" w:type="pct"/>
            <w:vAlign w:val="center"/>
          </w:tcPr>
          <w:p>
            <w:pPr>
              <w:spacing w:beforeLines="20" w:before="48" w:afterLines="20" w:after="48"/>
              <w:jc w:val="center"/>
              <w:rPr>
                <w:noProof/>
                <w:sz w:val="20"/>
                <w:szCs w:val="20"/>
              </w:rPr>
            </w:pPr>
            <w:r>
              <w:rPr>
                <w:noProof/>
                <w:sz w:val="20"/>
              </w:rPr>
              <w:t>3,0</w:t>
            </w:r>
          </w:p>
        </w:tc>
        <w:tc>
          <w:tcPr>
            <w:tcW w:w="374" w:type="pct"/>
            <w:vAlign w:val="center"/>
          </w:tcPr>
          <w:p>
            <w:pPr>
              <w:spacing w:beforeLines="20" w:before="48" w:afterLines="20" w:after="48"/>
              <w:jc w:val="center"/>
              <w:rPr>
                <w:noProof/>
                <w:sz w:val="20"/>
                <w:szCs w:val="20"/>
              </w:rPr>
            </w:pPr>
            <w:r>
              <w:rPr>
                <w:noProof/>
                <w:sz w:val="20"/>
              </w:rPr>
              <w:t>1,5</w:t>
            </w:r>
          </w:p>
        </w:tc>
        <w:tc>
          <w:tcPr>
            <w:tcW w:w="342" w:type="pct"/>
            <w:gridSpan w:val="2"/>
            <w:vAlign w:val="center"/>
          </w:tcPr>
          <w:p>
            <w:pPr>
              <w:spacing w:beforeLines="20" w:before="48" w:afterLines="20" w:after="48"/>
              <w:jc w:val="center"/>
              <w:rPr>
                <w:noProof/>
                <w:sz w:val="20"/>
                <w:szCs w:val="20"/>
              </w:rPr>
            </w:pPr>
            <w:r>
              <w:rPr>
                <w:noProof/>
                <w:sz w:val="20"/>
              </w:rPr>
              <w:t>0,07</w:t>
            </w:r>
          </w:p>
        </w:tc>
        <w:tc>
          <w:tcPr>
            <w:tcW w:w="546" w:type="pct"/>
            <w:gridSpan w:val="2"/>
            <w:vAlign w:val="center"/>
          </w:tcPr>
          <w:p>
            <w:pPr>
              <w:spacing w:beforeLines="20" w:before="48" w:afterLines="20" w:after="48"/>
              <w:jc w:val="center"/>
              <w:rPr>
                <w:noProof/>
                <w:sz w:val="16"/>
                <w:szCs w:val="20"/>
              </w:rPr>
            </w:pPr>
            <w:r>
              <w:rPr>
                <w:noProof/>
                <w:sz w:val="20"/>
              </w:rPr>
              <w:t>0,07</w:t>
            </w: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4"/>
              <w:jc w:val="left"/>
              <w:rPr>
                <w:noProof/>
                <w:szCs w:val="20"/>
              </w:rPr>
            </w:pPr>
            <w:r>
              <w:rPr>
                <w:noProof/>
                <w:sz w:val="16"/>
              </w:rPr>
              <w:t>XX 01 01 02 (Делегации)</w:t>
            </w:r>
          </w:p>
        </w:tc>
        <w:tc>
          <w:tcPr>
            <w:tcW w:w="590" w:type="pct"/>
            <w:vAlign w:val="center"/>
          </w:tcPr>
          <w:p>
            <w:pPr>
              <w:spacing w:beforeLines="20" w:before="48" w:afterLines="20" w:after="48"/>
              <w:jc w:val="center"/>
              <w:rPr>
                <w:noProof/>
                <w:sz w:val="20"/>
                <w:szCs w:val="20"/>
              </w:rPr>
            </w:pPr>
          </w:p>
        </w:tc>
        <w:tc>
          <w:tcPr>
            <w:tcW w:w="410" w:type="pct"/>
            <w:vAlign w:val="center"/>
          </w:tcPr>
          <w:p>
            <w:pPr>
              <w:spacing w:beforeLines="20" w:before="48" w:afterLines="20" w:after="48"/>
              <w:jc w:val="center"/>
              <w:rPr>
                <w:noProof/>
                <w:sz w:val="20"/>
                <w:szCs w:val="20"/>
              </w:rPr>
            </w:pPr>
          </w:p>
        </w:tc>
        <w:tc>
          <w:tcPr>
            <w:tcW w:w="342" w:type="pct"/>
            <w:vAlign w:val="center"/>
          </w:tcPr>
          <w:p>
            <w:pPr>
              <w:spacing w:beforeLines="20" w:before="48" w:afterLines="20" w:after="48"/>
              <w:jc w:val="center"/>
              <w:rPr>
                <w:noProof/>
                <w:sz w:val="20"/>
                <w:szCs w:val="20"/>
              </w:rPr>
            </w:pPr>
          </w:p>
        </w:tc>
        <w:tc>
          <w:tcPr>
            <w:tcW w:w="374" w:type="pct"/>
          </w:tcPr>
          <w:p>
            <w:pPr>
              <w:spacing w:beforeLines="20" w:before="48" w:afterLines="20" w:after="48"/>
              <w:jc w:val="center"/>
              <w:rPr>
                <w:noProof/>
                <w:sz w:val="20"/>
                <w:szCs w:val="20"/>
              </w:rPr>
            </w:pPr>
          </w:p>
        </w:tc>
        <w:tc>
          <w:tcPr>
            <w:tcW w:w="342" w:type="pct"/>
            <w:gridSpan w:val="2"/>
            <w:vAlign w:val="center"/>
          </w:tcPr>
          <w:p>
            <w:pPr>
              <w:spacing w:beforeLines="20" w:before="48" w:afterLines="20" w:after="48"/>
              <w:jc w:val="center"/>
              <w:rPr>
                <w:noProof/>
                <w:sz w:val="20"/>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4"/>
              <w:jc w:val="left"/>
              <w:rPr>
                <w:noProof/>
                <w:szCs w:val="20"/>
              </w:rPr>
            </w:pPr>
            <w:r>
              <w:rPr>
                <w:noProof/>
                <w:sz w:val="16"/>
              </w:rPr>
              <w:t>XX 01 05 01 (Непреки научни изследвания)</w:t>
            </w:r>
          </w:p>
        </w:tc>
        <w:tc>
          <w:tcPr>
            <w:tcW w:w="590" w:type="pct"/>
            <w:vAlign w:val="center"/>
          </w:tcPr>
          <w:p>
            <w:pPr>
              <w:spacing w:beforeLines="20" w:before="48" w:afterLines="20" w:after="48"/>
              <w:jc w:val="center"/>
              <w:rPr>
                <w:noProof/>
                <w:sz w:val="16"/>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4"/>
              <w:jc w:val="left"/>
              <w:rPr>
                <w:noProof/>
                <w:szCs w:val="20"/>
              </w:rPr>
            </w:pPr>
            <w:r>
              <w:rPr>
                <w:noProof/>
                <w:sz w:val="16"/>
              </w:rPr>
              <w:t>10 01 05 01 (Преки научни изследвания)</w:t>
            </w:r>
          </w:p>
        </w:tc>
        <w:tc>
          <w:tcPr>
            <w:tcW w:w="590" w:type="pct"/>
            <w:vAlign w:val="center"/>
          </w:tcPr>
          <w:p>
            <w:pPr>
              <w:spacing w:beforeLines="20" w:before="48" w:afterLines="20" w:after="48"/>
              <w:jc w:val="center"/>
              <w:rPr>
                <w:noProof/>
                <w:sz w:val="16"/>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178"/>
          <w:jc w:val="center"/>
        </w:trPr>
        <w:tc>
          <w:tcPr>
            <w:tcW w:w="5000" w:type="pct"/>
            <w:gridSpan w:val="13"/>
          </w:tcPr>
          <w:p>
            <w:pPr>
              <w:spacing w:before="60" w:after="60"/>
              <w:jc w:val="left"/>
              <w:rPr>
                <w:b/>
                <w:noProof/>
                <w:sz w:val="16"/>
                <w:szCs w:val="20"/>
              </w:rPr>
            </w:pPr>
            <w:r>
              <w:rPr>
                <w:b/>
                <w:noProof/>
                <w:sz w:val="16"/>
                <w:szCs w:val="16"/>
              </w:rPr>
              <w:sym w:font="Wingdings" w:char="F09F"/>
            </w:r>
            <w:r>
              <w:rPr>
                <w:noProof/>
              </w:rPr>
              <w:t xml:space="preserve"> </w:t>
            </w:r>
            <w:r>
              <w:rPr>
                <w:b/>
                <w:noProof/>
                <w:sz w:val="16"/>
              </w:rPr>
              <w:t>Външен персонал (в еквивалент на пълно работно време: ЕПРВ)</w:t>
            </w:r>
            <w:r>
              <w:rPr>
                <w:rStyle w:val="FootnoteReference"/>
                <w:b/>
                <w:noProof/>
                <w:sz w:val="16"/>
              </w:rPr>
              <w:footnoteReference w:id="28"/>
            </w:r>
            <w:r>
              <w:rPr>
                <w:rStyle w:val="CommentReference"/>
                <w:noProof/>
              </w:rPr>
              <w:t xml:space="preserve"> </w:t>
            </w:r>
          </w:p>
          <w:p>
            <w:pPr>
              <w:spacing w:before="0"/>
              <w:jc w:val="left"/>
              <w:rPr>
                <w:noProof/>
                <w:sz w:val="16"/>
                <w:szCs w:val="20"/>
              </w:rPr>
            </w:pPr>
          </w:p>
        </w:tc>
      </w:tr>
      <w:tr>
        <w:trPr>
          <w:trHeight w:val="207"/>
          <w:jc w:val="center"/>
        </w:trPr>
        <w:tc>
          <w:tcPr>
            <w:tcW w:w="1404" w:type="pct"/>
            <w:gridSpan w:val="2"/>
            <w:vAlign w:val="center"/>
          </w:tcPr>
          <w:p>
            <w:pPr>
              <w:spacing w:beforeLines="20" w:before="48" w:afterLines="20" w:after="48"/>
              <w:ind w:left="136"/>
              <w:jc w:val="left"/>
              <w:rPr>
                <w:noProof/>
                <w:szCs w:val="20"/>
              </w:rPr>
            </w:pPr>
            <w:r>
              <w:rPr>
                <w:noProof/>
                <w:sz w:val="16"/>
              </w:rPr>
              <w:t>XX 01 02 01 (ДНП, ПНА, КНЕ от „общия финансов пакет“)</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20"/>
                <w:szCs w:val="20"/>
              </w:rPr>
            </w:pPr>
          </w:p>
        </w:tc>
        <w:tc>
          <w:tcPr>
            <w:tcW w:w="342" w:type="pct"/>
            <w:vAlign w:val="center"/>
          </w:tcPr>
          <w:p>
            <w:pPr>
              <w:spacing w:beforeLines="20" w:before="48" w:afterLines="20" w:after="48"/>
              <w:jc w:val="center"/>
              <w:rPr>
                <w:noProof/>
                <w:sz w:val="20"/>
                <w:szCs w:val="20"/>
              </w:rPr>
            </w:pPr>
          </w:p>
        </w:tc>
        <w:tc>
          <w:tcPr>
            <w:tcW w:w="374" w:type="pct"/>
          </w:tcPr>
          <w:p>
            <w:pPr>
              <w:spacing w:beforeLines="20" w:before="48" w:afterLines="20" w:after="48"/>
              <w:jc w:val="center"/>
              <w:rPr>
                <w:noProof/>
                <w:sz w:val="20"/>
                <w:szCs w:val="20"/>
              </w:rPr>
            </w:pPr>
          </w:p>
        </w:tc>
        <w:tc>
          <w:tcPr>
            <w:tcW w:w="342" w:type="pct"/>
            <w:gridSpan w:val="2"/>
            <w:vAlign w:val="center"/>
          </w:tcPr>
          <w:p>
            <w:pPr>
              <w:spacing w:beforeLines="20" w:before="48" w:afterLines="20" w:after="48"/>
              <w:jc w:val="center"/>
              <w:rPr>
                <w:noProof/>
                <w:sz w:val="20"/>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6"/>
              <w:jc w:val="left"/>
              <w:rPr>
                <w:noProof/>
                <w:szCs w:val="20"/>
              </w:rPr>
            </w:pPr>
            <w:r>
              <w:rPr>
                <w:noProof/>
                <w:sz w:val="16"/>
              </w:rPr>
              <w:t>XX 01 02 02 (ДНП, КНЕ, МЕД, МП и ПНА в делегациите)</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628" w:type="pct"/>
            <w:vMerge w:val="restart"/>
            <w:vAlign w:val="center"/>
          </w:tcPr>
          <w:p>
            <w:pPr>
              <w:spacing w:beforeLines="20" w:before="48" w:afterLines="20" w:after="48"/>
              <w:ind w:left="136"/>
              <w:jc w:val="left"/>
              <w:rPr>
                <w:b/>
                <w:noProof/>
                <w:sz w:val="16"/>
                <w:szCs w:val="20"/>
              </w:rPr>
            </w:pPr>
            <w:r>
              <w:rPr>
                <w:b/>
                <w:noProof/>
                <w:sz w:val="16"/>
              </w:rPr>
              <w:t>XX</w:t>
            </w:r>
            <w:r>
              <w:rPr>
                <w:noProof/>
                <w:sz w:val="16"/>
              </w:rPr>
              <w:t xml:space="preserve"> 01 04 </w:t>
            </w:r>
            <w:r>
              <w:rPr>
                <w:b/>
                <w:noProof/>
                <w:sz w:val="16"/>
              </w:rPr>
              <w:t>yy</w:t>
            </w:r>
            <w:r>
              <w:rPr>
                <w:rStyle w:val="FootnoteReference"/>
                <w:b/>
                <w:noProof/>
                <w:sz w:val="16"/>
              </w:rPr>
              <w:footnoteReference w:id="29"/>
            </w:r>
          </w:p>
          <w:p>
            <w:pPr>
              <w:spacing w:beforeLines="20" w:before="48" w:afterLines="20" w:after="48"/>
              <w:ind w:left="136"/>
              <w:jc w:val="left"/>
              <w:rPr>
                <w:b/>
                <w:noProof/>
                <w:sz w:val="16"/>
                <w:szCs w:val="20"/>
              </w:rPr>
            </w:pPr>
          </w:p>
        </w:tc>
        <w:tc>
          <w:tcPr>
            <w:tcW w:w="776" w:type="pct"/>
            <w:vAlign w:val="center"/>
          </w:tcPr>
          <w:p>
            <w:pPr>
              <w:spacing w:beforeLines="20" w:before="48" w:afterLines="20" w:after="48"/>
              <w:ind w:left="136"/>
              <w:jc w:val="left"/>
              <w:rPr>
                <w:b/>
                <w:noProof/>
                <w:sz w:val="16"/>
                <w:szCs w:val="20"/>
              </w:rPr>
            </w:pPr>
            <w:r>
              <w:rPr>
                <w:noProof/>
                <w:sz w:val="16"/>
              </w:rPr>
              <w:t>- в централата</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628" w:type="pct"/>
            <w:vMerge/>
            <w:vAlign w:val="center"/>
          </w:tcPr>
          <w:p>
            <w:pPr>
              <w:spacing w:beforeLines="20" w:before="48" w:afterLines="20" w:after="48"/>
              <w:ind w:left="136"/>
              <w:jc w:val="left"/>
              <w:rPr>
                <w:b/>
                <w:noProof/>
                <w:sz w:val="16"/>
                <w:szCs w:val="20"/>
              </w:rPr>
            </w:pPr>
          </w:p>
        </w:tc>
        <w:tc>
          <w:tcPr>
            <w:tcW w:w="776" w:type="pct"/>
            <w:vAlign w:val="center"/>
          </w:tcPr>
          <w:p>
            <w:pPr>
              <w:spacing w:beforeLines="20" w:before="48" w:afterLines="20" w:after="48"/>
              <w:ind w:left="136"/>
              <w:jc w:val="left"/>
              <w:rPr>
                <w:noProof/>
                <w:szCs w:val="20"/>
              </w:rPr>
            </w:pPr>
            <w:r>
              <w:rPr>
                <w:noProof/>
                <w:sz w:val="16"/>
              </w:rPr>
              <w:t xml:space="preserve">- в делегациите </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6"/>
              <w:jc w:val="left"/>
              <w:rPr>
                <w:noProof/>
                <w:szCs w:val="20"/>
              </w:rPr>
            </w:pPr>
            <w:r>
              <w:rPr>
                <w:b/>
                <w:noProof/>
                <w:sz w:val="16"/>
              </w:rPr>
              <w:t>XX</w:t>
            </w:r>
            <w:r>
              <w:rPr>
                <w:noProof/>
              </w:rPr>
              <w:t xml:space="preserve"> </w:t>
            </w:r>
            <w:r>
              <w:rPr>
                <w:noProof/>
                <w:sz w:val="16"/>
              </w:rPr>
              <w:t>01 05 02 (ДНП, КНЕ, ПНА — Непреки научни изследвания)</w:t>
            </w:r>
          </w:p>
          <w:p>
            <w:pPr>
              <w:spacing w:beforeLines="20" w:before="48" w:afterLines="20" w:after="48"/>
              <w:ind w:left="136"/>
              <w:jc w:val="left"/>
              <w:rPr>
                <w:noProof/>
                <w:sz w:val="16"/>
                <w:szCs w:val="20"/>
              </w:rPr>
            </w:pP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6"/>
              <w:jc w:val="left"/>
              <w:rPr>
                <w:noProof/>
                <w:szCs w:val="20"/>
              </w:rPr>
            </w:pPr>
            <w:r>
              <w:rPr>
                <w:noProof/>
                <w:sz w:val="16"/>
              </w:rPr>
              <w:t>10 01 05 02 (ДНП, КНЕ, ПНА — Преки научни изследвания)</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tcBorders>
              <w:bottom w:val="double" w:sz="4" w:space="0" w:color="auto"/>
            </w:tcBorders>
            <w:vAlign w:val="center"/>
          </w:tcPr>
          <w:p>
            <w:pPr>
              <w:spacing w:beforeLines="20" w:before="48" w:afterLines="20" w:after="48"/>
              <w:ind w:left="134"/>
              <w:jc w:val="left"/>
              <w:rPr>
                <w:noProof/>
                <w:szCs w:val="20"/>
              </w:rPr>
            </w:pPr>
            <w:r>
              <w:rPr>
                <w:noProof/>
                <w:sz w:val="16"/>
              </w:rPr>
              <w:t>Други бюджетни редове (да се посочат)</w:t>
            </w:r>
          </w:p>
        </w:tc>
        <w:tc>
          <w:tcPr>
            <w:tcW w:w="590" w:type="pct"/>
            <w:tcBorders>
              <w:bottom w:val="double" w:sz="4" w:space="0" w:color="auto"/>
            </w:tcBorders>
            <w:vAlign w:val="center"/>
          </w:tcPr>
          <w:p>
            <w:pPr>
              <w:spacing w:before="0"/>
              <w:jc w:val="left"/>
              <w:rPr>
                <w:b/>
                <w:noProof/>
                <w:sz w:val="20"/>
                <w:szCs w:val="20"/>
              </w:rPr>
            </w:pPr>
          </w:p>
        </w:tc>
        <w:tc>
          <w:tcPr>
            <w:tcW w:w="410" w:type="pct"/>
            <w:tcBorders>
              <w:bottom w:val="double" w:sz="4" w:space="0" w:color="auto"/>
            </w:tcBorders>
            <w:vAlign w:val="center"/>
          </w:tcPr>
          <w:p>
            <w:pPr>
              <w:spacing w:beforeLines="20" w:before="48" w:afterLines="20" w:after="48"/>
              <w:jc w:val="center"/>
              <w:rPr>
                <w:noProof/>
                <w:sz w:val="16"/>
                <w:szCs w:val="20"/>
              </w:rPr>
            </w:pPr>
          </w:p>
        </w:tc>
        <w:tc>
          <w:tcPr>
            <w:tcW w:w="342" w:type="pct"/>
            <w:tcBorders>
              <w:bottom w:val="double" w:sz="4" w:space="0" w:color="auto"/>
            </w:tcBorders>
            <w:vAlign w:val="center"/>
          </w:tcPr>
          <w:p>
            <w:pPr>
              <w:spacing w:beforeLines="20" w:before="48" w:afterLines="20" w:after="48"/>
              <w:jc w:val="center"/>
              <w:rPr>
                <w:noProof/>
                <w:sz w:val="16"/>
                <w:szCs w:val="20"/>
              </w:rPr>
            </w:pPr>
          </w:p>
        </w:tc>
        <w:tc>
          <w:tcPr>
            <w:tcW w:w="374" w:type="pct"/>
            <w:tcBorders>
              <w:bottom w:val="double" w:sz="4" w:space="0" w:color="auto"/>
            </w:tcBorders>
          </w:tcPr>
          <w:p>
            <w:pPr>
              <w:spacing w:beforeLines="20" w:before="48" w:afterLines="20" w:after="48"/>
              <w:jc w:val="center"/>
              <w:rPr>
                <w:noProof/>
                <w:sz w:val="16"/>
                <w:szCs w:val="20"/>
              </w:rPr>
            </w:pPr>
          </w:p>
        </w:tc>
        <w:tc>
          <w:tcPr>
            <w:tcW w:w="342" w:type="pct"/>
            <w:gridSpan w:val="2"/>
            <w:tcBorders>
              <w:bottom w:val="double" w:sz="4" w:space="0" w:color="auto"/>
            </w:tcBorders>
            <w:vAlign w:val="center"/>
          </w:tcPr>
          <w:p>
            <w:pPr>
              <w:spacing w:beforeLines="20" w:before="48" w:afterLines="20" w:after="48"/>
              <w:jc w:val="center"/>
              <w:rPr>
                <w:noProof/>
                <w:sz w:val="16"/>
                <w:szCs w:val="20"/>
              </w:rPr>
            </w:pPr>
          </w:p>
        </w:tc>
        <w:tc>
          <w:tcPr>
            <w:tcW w:w="546" w:type="pct"/>
            <w:gridSpan w:val="2"/>
            <w:tcBorders>
              <w:bottom w:val="double" w:sz="4" w:space="0" w:color="auto"/>
            </w:tcBorders>
            <w:vAlign w:val="center"/>
          </w:tcPr>
          <w:p>
            <w:pPr>
              <w:spacing w:beforeLines="20" w:before="48" w:afterLines="20" w:after="48"/>
              <w:jc w:val="center"/>
              <w:rPr>
                <w:noProof/>
                <w:sz w:val="16"/>
                <w:szCs w:val="20"/>
              </w:rPr>
            </w:pPr>
          </w:p>
        </w:tc>
        <w:tc>
          <w:tcPr>
            <w:tcW w:w="581" w:type="pct"/>
            <w:gridSpan w:val="2"/>
            <w:tcBorders>
              <w:bottom w:val="double" w:sz="4" w:space="0" w:color="auto"/>
            </w:tcBorders>
            <w:vAlign w:val="center"/>
          </w:tcPr>
          <w:p>
            <w:pPr>
              <w:spacing w:beforeLines="20" w:before="48" w:afterLines="20" w:after="48"/>
              <w:jc w:val="center"/>
              <w:rPr>
                <w:noProof/>
                <w:sz w:val="16"/>
                <w:szCs w:val="20"/>
              </w:rPr>
            </w:pPr>
          </w:p>
        </w:tc>
        <w:tc>
          <w:tcPr>
            <w:tcW w:w="411" w:type="pct"/>
            <w:tcBorders>
              <w:bottom w:val="double" w:sz="4" w:space="0" w:color="auto"/>
            </w:tcBorders>
            <w:vAlign w:val="center"/>
          </w:tcPr>
          <w:p>
            <w:pPr>
              <w:spacing w:beforeLines="20" w:before="48" w:afterLines="20" w:after="48"/>
              <w:jc w:val="center"/>
              <w:rPr>
                <w:noProof/>
                <w:sz w:val="16"/>
                <w:szCs w:val="20"/>
              </w:rPr>
            </w:pPr>
          </w:p>
        </w:tc>
      </w:tr>
      <w:tr>
        <w:trPr>
          <w:trHeight w:val="207"/>
          <w:jc w:val="center"/>
        </w:trPr>
        <w:tc>
          <w:tcPr>
            <w:tcW w:w="1404" w:type="pct"/>
            <w:gridSpan w:val="2"/>
            <w:tcBorders>
              <w:top w:val="double" w:sz="4" w:space="0" w:color="auto"/>
            </w:tcBorders>
            <w:vAlign w:val="center"/>
          </w:tcPr>
          <w:p>
            <w:pPr>
              <w:spacing w:beforeLines="20" w:before="48" w:afterLines="20" w:after="48"/>
              <w:ind w:left="136"/>
              <w:jc w:val="left"/>
              <w:rPr>
                <w:noProof/>
                <w:szCs w:val="20"/>
              </w:rPr>
            </w:pPr>
            <w:r>
              <w:rPr>
                <w:b/>
                <w:noProof/>
                <w:sz w:val="16"/>
              </w:rPr>
              <w:t>ОБЩО</w:t>
            </w:r>
          </w:p>
        </w:tc>
        <w:tc>
          <w:tcPr>
            <w:tcW w:w="590" w:type="pct"/>
            <w:tcBorders>
              <w:top w:val="double" w:sz="4" w:space="0" w:color="auto"/>
            </w:tcBorders>
            <w:vAlign w:val="center"/>
          </w:tcPr>
          <w:p>
            <w:pPr>
              <w:spacing w:before="0"/>
              <w:jc w:val="left"/>
              <w:rPr>
                <w:b/>
                <w:noProof/>
                <w:sz w:val="20"/>
                <w:szCs w:val="20"/>
              </w:rPr>
            </w:pPr>
          </w:p>
        </w:tc>
        <w:tc>
          <w:tcPr>
            <w:tcW w:w="410" w:type="pct"/>
            <w:tcBorders>
              <w:top w:val="double" w:sz="4" w:space="0" w:color="auto"/>
            </w:tcBorders>
            <w:vAlign w:val="center"/>
          </w:tcPr>
          <w:p>
            <w:pPr>
              <w:spacing w:beforeLines="20" w:before="48" w:afterLines="20" w:after="48"/>
              <w:jc w:val="center"/>
              <w:rPr>
                <w:b/>
                <w:noProof/>
                <w:sz w:val="20"/>
                <w:szCs w:val="20"/>
              </w:rPr>
            </w:pPr>
            <w:r>
              <w:rPr>
                <w:noProof/>
                <w:sz w:val="20"/>
              </w:rPr>
              <w:t>0,3</w:t>
            </w:r>
          </w:p>
        </w:tc>
        <w:tc>
          <w:tcPr>
            <w:tcW w:w="342" w:type="pct"/>
            <w:tcBorders>
              <w:top w:val="double" w:sz="4" w:space="0" w:color="auto"/>
            </w:tcBorders>
            <w:vAlign w:val="center"/>
          </w:tcPr>
          <w:p>
            <w:pPr>
              <w:spacing w:beforeLines="20" w:before="48" w:afterLines="20" w:after="48"/>
              <w:jc w:val="center"/>
              <w:rPr>
                <w:b/>
                <w:noProof/>
                <w:sz w:val="20"/>
                <w:szCs w:val="20"/>
              </w:rPr>
            </w:pPr>
            <w:r>
              <w:rPr>
                <w:noProof/>
                <w:sz w:val="20"/>
              </w:rPr>
              <w:t>3,0</w:t>
            </w:r>
          </w:p>
        </w:tc>
        <w:tc>
          <w:tcPr>
            <w:tcW w:w="374" w:type="pct"/>
            <w:tcBorders>
              <w:top w:val="double" w:sz="4" w:space="0" w:color="auto"/>
            </w:tcBorders>
            <w:vAlign w:val="center"/>
          </w:tcPr>
          <w:p>
            <w:pPr>
              <w:spacing w:beforeLines="20" w:before="48" w:afterLines="20" w:after="48"/>
              <w:jc w:val="center"/>
              <w:rPr>
                <w:b/>
                <w:noProof/>
                <w:sz w:val="20"/>
                <w:szCs w:val="20"/>
              </w:rPr>
            </w:pPr>
            <w:r>
              <w:rPr>
                <w:noProof/>
                <w:sz w:val="20"/>
              </w:rPr>
              <w:t>1,5</w:t>
            </w:r>
          </w:p>
        </w:tc>
        <w:tc>
          <w:tcPr>
            <w:tcW w:w="342" w:type="pct"/>
            <w:gridSpan w:val="2"/>
            <w:tcBorders>
              <w:top w:val="double" w:sz="4" w:space="0" w:color="auto"/>
            </w:tcBorders>
            <w:vAlign w:val="center"/>
          </w:tcPr>
          <w:p>
            <w:pPr>
              <w:spacing w:beforeLines="20" w:before="48" w:afterLines="20" w:after="48"/>
              <w:jc w:val="center"/>
              <w:rPr>
                <w:b/>
                <w:noProof/>
                <w:sz w:val="20"/>
                <w:szCs w:val="20"/>
              </w:rPr>
            </w:pPr>
            <w:r>
              <w:rPr>
                <w:noProof/>
                <w:sz w:val="20"/>
              </w:rPr>
              <w:t>0,07</w:t>
            </w:r>
          </w:p>
        </w:tc>
        <w:tc>
          <w:tcPr>
            <w:tcW w:w="546" w:type="pct"/>
            <w:gridSpan w:val="2"/>
            <w:tcBorders>
              <w:top w:val="double" w:sz="4" w:space="0" w:color="auto"/>
            </w:tcBorders>
            <w:vAlign w:val="center"/>
          </w:tcPr>
          <w:p>
            <w:pPr>
              <w:spacing w:beforeLines="20" w:before="48" w:afterLines="20" w:after="48"/>
              <w:jc w:val="center"/>
              <w:rPr>
                <w:b/>
                <w:noProof/>
                <w:sz w:val="16"/>
                <w:szCs w:val="20"/>
              </w:rPr>
            </w:pPr>
            <w:r>
              <w:rPr>
                <w:noProof/>
                <w:sz w:val="20"/>
              </w:rPr>
              <w:t>0,07</w:t>
            </w:r>
          </w:p>
        </w:tc>
        <w:tc>
          <w:tcPr>
            <w:tcW w:w="581" w:type="pct"/>
            <w:gridSpan w:val="2"/>
            <w:tcBorders>
              <w:top w:val="double" w:sz="4" w:space="0" w:color="auto"/>
            </w:tcBorders>
            <w:vAlign w:val="center"/>
          </w:tcPr>
          <w:p>
            <w:pPr>
              <w:spacing w:beforeLines="20" w:before="48" w:afterLines="20" w:after="48"/>
              <w:jc w:val="center"/>
              <w:rPr>
                <w:b/>
                <w:noProof/>
                <w:sz w:val="16"/>
                <w:szCs w:val="20"/>
              </w:rPr>
            </w:pPr>
          </w:p>
        </w:tc>
        <w:tc>
          <w:tcPr>
            <w:tcW w:w="411" w:type="pct"/>
            <w:tcBorders>
              <w:top w:val="double" w:sz="4" w:space="0" w:color="auto"/>
            </w:tcBorders>
            <w:vAlign w:val="center"/>
          </w:tcPr>
          <w:p>
            <w:pPr>
              <w:spacing w:beforeLines="20" w:before="48" w:afterLines="20" w:after="48"/>
              <w:jc w:val="center"/>
              <w:rPr>
                <w:b/>
                <w:noProof/>
                <w:sz w:val="16"/>
                <w:szCs w:val="20"/>
              </w:rPr>
            </w:pPr>
          </w:p>
        </w:tc>
      </w:tr>
    </w:tbl>
    <w:p>
      <w:pPr>
        <w:spacing w:before="60" w:after="60"/>
        <w:ind w:left="851"/>
        <w:rPr>
          <w:noProof/>
          <w:sz w:val="18"/>
          <w:szCs w:val="20"/>
        </w:rPr>
      </w:pPr>
      <w:r>
        <w:rPr>
          <w:b/>
          <w:noProof/>
          <w:sz w:val="18"/>
        </w:rPr>
        <w:t>XX</w:t>
      </w:r>
      <w:r>
        <w:rPr>
          <w:noProof/>
        </w:rPr>
        <w:t xml:space="preserve"> </w:t>
      </w:r>
      <w:r>
        <w:rPr>
          <w:noProof/>
          <w:sz w:val="18"/>
        </w:rPr>
        <w:t>е съответната област на политиката или бюджетен дял.</w:t>
      </w:r>
    </w:p>
    <w:p>
      <w:pPr>
        <w:ind w:left="850"/>
        <w:rPr>
          <w:noProof/>
          <w:sz w:val="18"/>
          <w:szCs w:val="20"/>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ind w:left="850"/>
        <w:rPr>
          <w:noProof/>
          <w:sz w:val="20"/>
          <w:szCs w:val="20"/>
        </w:rPr>
      </w:pPr>
      <w:r>
        <w:rPr>
          <w:noProof/>
          <w:sz w:val="20"/>
        </w:rPr>
        <w:t>Описание на задачите, които трябва да се изпълнят:</w:t>
      </w:r>
    </w:p>
    <w:tbl>
      <w:tblPr>
        <w:tblW w:w="9333" w:type="dxa"/>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647"/>
      </w:tblGrid>
      <w:tr>
        <w:trPr>
          <w:cantSplit/>
        </w:trPr>
        <w:tc>
          <w:tcPr>
            <w:tcW w:w="3686" w:type="dxa"/>
          </w:tcPr>
          <w:p>
            <w:pPr>
              <w:rPr>
                <w:noProof/>
                <w:szCs w:val="20"/>
              </w:rPr>
            </w:pPr>
            <w:r>
              <w:rPr>
                <w:noProof/>
                <w:sz w:val="20"/>
              </w:rPr>
              <w:t>Длъжностни лица и временно наети служители</w:t>
            </w:r>
          </w:p>
        </w:tc>
        <w:tc>
          <w:tcPr>
            <w:tcW w:w="5647" w:type="dxa"/>
          </w:tcPr>
          <w:p>
            <w:pPr>
              <w:spacing w:after="200"/>
              <w:rPr>
                <w:noProof/>
                <w:sz w:val="20"/>
                <w:szCs w:val="20"/>
              </w:rPr>
            </w:pPr>
            <w:r>
              <w:rPr>
                <w:noProof/>
                <w:sz w:val="20"/>
              </w:rPr>
              <w:t>Директор, Дирекция D: осъществяване на надзор и управление на операцията, поддържане на връзки със Съвета и Парламента за приемането на Решението и одобрението на Меморандума за разбирателство (МР), водене на преговори с украинските органи по МР, преглед на доклади, ръководене на мисии и оценяване на напредъка по отношение на спазването на условията.</w:t>
            </w:r>
          </w:p>
          <w:p>
            <w:pPr>
              <w:spacing w:after="200"/>
              <w:rPr>
                <w:noProof/>
                <w:sz w:val="20"/>
              </w:rPr>
            </w:pPr>
            <w:r>
              <w:rPr>
                <w:noProof/>
                <w:sz w:val="20"/>
              </w:rPr>
              <w:t xml:space="preserve">Началник на отдел/заместник-началник на отдел, Дирекция D: подпомагане на директора при управлението на операцията, поддържане на връзки със Съвета и Парламента за приемането на Решението и одобрението на МР, водене на преговори с украинските органи по МР и Споразумението за заем (заедно с Дирекция L), преглед на доклади и оценяване на напредъка по отношение на спазването на условията. </w:t>
            </w:r>
          </w:p>
          <w:p>
            <w:pPr>
              <w:rPr>
                <w:noProof/>
                <w:sz w:val="20"/>
                <w:szCs w:val="20"/>
              </w:rPr>
            </w:pPr>
            <w:r>
              <w:rPr>
                <w:noProof/>
                <w:sz w:val="20"/>
              </w:rPr>
              <w:t xml:space="preserve">Икономисти, сектор МФП (Дирекция D): Изготвяне на Решението и МР, поддържане на връзки с органите и МФИ, провеждане на мисии за проверка, изготвяне на доклади на службите на Комисията и на процедури на Комисията, свързани с управлението на помощта, поддържане на връзки с външни експерти във връзка с оперативната оценка и последващата оценка. </w:t>
            </w:r>
          </w:p>
          <w:p>
            <w:pPr>
              <w:rPr>
                <w:noProof/>
                <w:sz w:val="20"/>
                <w:szCs w:val="20"/>
              </w:rPr>
            </w:pPr>
            <w:r>
              <w:rPr>
                <w:noProof/>
                <w:sz w:val="20"/>
              </w:rPr>
              <w:t>Дирекция L (отдели L4, L5 и L6 под ръководството на директора): Изготвяне на Споразумението за заем, водене на преговори с украинските органи и получаване на одобрение за него от отговорните служби на Комисията. Споразумението трябва да се подпише от двете страни. Следи се за влизане в сила на Споразумението за заем. Изготвяне на решението(ята) на Комисията за получаване на заем(и), предприемане на последващи мерки във връзка с подаването на искане(ия) за средства, избор на банки, подготовка и изпълнение на трансакцията(ите) за финансиране и предоставяне на средствата на Украйна. Организиране на бекофис, който да следи за погасяването на заема(ите). Изготвяне на съответните доклади относно тези дейности.</w:t>
            </w:r>
          </w:p>
        </w:tc>
      </w:tr>
      <w:tr>
        <w:trPr>
          <w:cantSplit/>
        </w:trPr>
        <w:tc>
          <w:tcPr>
            <w:tcW w:w="3686" w:type="dxa"/>
          </w:tcPr>
          <w:p>
            <w:pPr>
              <w:spacing w:before="60" w:after="60"/>
              <w:rPr>
                <w:noProof/>
                <w:szCs w:val="20"/>
              </w:rPr>
            </w:pPr>
            <w:r>
              <w:rPr>
                <w:noProof/>
                <w:sz w:val="20"/>
              </w:rPr>
              <w:t>Външен персонал</w:t>
            </w:r>
          </w:p>
        </w:tc>
        <w:tc>
          <w:tcPr>
            <w:tcW w:w="5647" w:type="dxa"/>
          </w:tcPr>
          <w:p>
            <w:pPr>
              <w:rPr>
                <w:noProof/>
                <w:sz w:val="20"/>
                <w:szCs w:val="20"/>
              </w:rPr>
            </w:pPr>
            <w:r>
              <w:rPr>
                <w:noProof/>
                <w:sz w:val="20"/>
              </w:rPr>
              <w:t>Не се прилага.</w:t>
            </w:r>
          </w:p>
        </w:tc>
      </w:tr>
    </w:tbl>
    <w:p>
      <w:pPr>
        <w:rPr>
          <w:noProof/>
          <w:szCs w:val="20"/>
        </w:rPr>
        <w:sectPr>
          <w:headerReference w:type="default" r:id="rId26"/>
          <w:footerReference w:type="default" r:id="rId27"/>
          <w:headerReference w:type="first" r:id="rId28"/>
          <w:footerReference w:type="first" r:id="rId29"/>
          <w:pgSz w:w="11907" w:h="16840"/>
          <w:pgMar w:top="720" w:right="720" w:bottom="720" w:left="720" w:header="709" w:footer="709" w:gutter="0"/>
          <w:cols w:space="708"/>
          <w:docGrid w:linePitch="360"/>
        </w:sectPr>
      </w:pPr>
    </w:p>
    <w:p>
      <w:pPr>
        <w:keepNext/>
        <w:tabs>
          <w:tab w:val="left" w:pos="850"/>
        </w:tabs>
        <w:ind w:left="850" w:hanging="850"/>
        <w:outlineLvl w:val="2"/>
        <w:rPr>
          <w:i/>
          <w:noProof/>
          <w:szCs w:val="20"/>
        </w:rPr>
      </w:pPr>
      <w:r>
        <w:rPr>
          <w:i/>
          <w:noProof/>
        </w:rPr>
        <w:t>3.2.4.</w:t>
      </w:r>
      <w:r>
        <w:rPr>
          <w:noProof/>
        </w:rPr>
        <w:tab/>
      </w:r>
      <w:r>
        <w:rPr>
          <w:i/>
          <w:noProof/>
        </w:rPr>
        <w:t xml:space="preserve">Съвместимост с настоящата многогодишна финансова рамка </w:t>
      </w:r>
    </w:p>
    <w:p>
      <w:pPr>
        <w:tabs>
          <w:tab w:val="num" w:pos="1134"/>
        </w:tabs>
        <w:ind w:left="1134" w:hanging="283"/>
        <w:rPr>
          <w:noProof/>
          <w:szCs w:val="20"/>
        </w:rPr>
      </w:pPr>
      <w:r>
        <w:rPr>
          <w:noProof/>
        </w:rPr>
        <w:t>X Предложението/инициативата е съвместимо(а) с настоящата многогодишна финансова рамка.</w:t>
      </w:r>
    </w:p>
    <w:p>
      <w:pPr>
        <w:keepNext/>
        <w:tabs>
          <w:tab w:val="left" w:pos="850"/>
        </w:tabs>
        <w:ind w:left="850" w:hanging="850"/>
        <w:outlineLvl w:val="2"/>
        <w:rPr>
          <w:i/>
          <w:noProof/>
          <w:szCs w:val="20"/>
        </w:rPr>
      </w:pPr>
      <w:r>
        <w:rPr>
          <w:i/>
          <w:noProof/>
        </w:rPr>
        <w:t>3.2.5.</w:t>
      </w:r>
      <w:r>
        <w:rPr>
          <w:noProof/>
        </w:rPr>
        <w:tab/>
      </w:r>
      <w:r>
        <w:rPr>
          <w:i/>
          <w:noProof/>
        </w:rPr>
        <w:t xml:space="preserve">Участие на трети страни във финансирането </w:t>
      </w:r>
    </w:p>
    <w:p>
      <w:pPr>
        <w:tabs>
          <w:tab w:val="num" w:pos="1134"/>
        </w:tabs>
        <w:ind w:left="1134" w:hanging="283"/>
        <w:rPr>
          <w:noProof/>
          <w:szCs w:val="20"/>
        </w:rPr>
      </w:pPr>
      <w:r>
        <w:rPr>
          <w:noProof/>
        </w:rPr>
        <w:t xml:space="preserve">X Предложението/инициативата не предвижда съфинансиране от трети страни. </w:t>
      </w:r>
    </w:p>
    <w:p>
      <w:pPr>
        <w:keepNext/>
        <w:tabs>
          <w:tab w:val="left" w:pos="850"/>
        </w:tabs>
        <w:ind w:left="850" w:hanging="850"/>
        <w:outlineLvl w:val="1"/>
        <w:rPr>
          <w:b/>
          <w:noProof/>
          <w:szCs w:val="20"/>
        </w:rPr>
      </w:pPr>
      <w:r>
        <w:rPr>
          <w:b/>
          <w:noProof/>
        </w:rPr>
        <w:t>3.3.</w:t>
      </w:r>
      <w:r>
        <w:rPr>
          <w:noProof/>
        </w:rPr>
        <w:tab/>
      </w:r>
      <w:r>
        <w:rPr>
          <w:b/>
          <w:noProof/>
        </w:rPr>
        <w:t xml:space="preserve">Очаквано отражение върху приходите </w:t>
      </w:r>
    </w:p>
    <w:p>
      <w:pPr>
        <w:ind w:left="850"/>
        <w:rPr>
          <w:noProof/>
        </w:rPr>
      </w:pPr>
      <w:r>
        <w:rPr>
          <w:noProof/>
        </w:rPr>
        <w:t>X Предложението/инициативата няма финансово отражение върху приходите.</w:t>
      </w:r>
    </w:p>
    <w:sectPr>
      <w:headerReference w:type="default" r:id="rId30"/>
      <w:footerReference w:type="default" r:id="rId31"/>
      <w:headerReference w:type="first" r:id="rId32"/>
      <w:footerReference w:type="first" r:id="rId33"/>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rPr>
          <w:lang w:eastAsia="en-US"/>
        </w:rPr>
      </w:pPr>
      <w:r>
        <w:rPr>
          <w:lang w:eastAsia="en-US"/>
        </w:rPr>
        <w:separator/>
      </w:r>
    </w:p>
  </w:endnote>
  <w:endnote w:type="continuationSeparator" w:id="0">
    <w:p>
      <w:pPr>
        <w:spacing w:before="0"/>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rPr>
          <w:lang w:eastAsia="en-US"/>
        </w:rPr>
      </w:pPr>
      <w:r>
        <w:rPr>
          <w:lang w:eastAsia="en-US"/>
        </w:rPr>
        <w:separator/>
      </w:r>
    </w:p>
  </w:footnote>
  <w:footnote w:type="continuationSeparator" w:id="0">
    <w:p>
      <w:pPr>
        <w:spacing w:before="0"/>
        <w:rPr>
          <w:lang w:eastAsia="en-US"/>
        </w:rPr>
      </w:pPr>
      <w:r>
        <w:rPr>
          <w:lang w:eastAsia="en-US"/>
        </w:rPr>
        <w:continuationSeparator/>
      </w:r>
    </w:p>
  </w:footnote>
  <w:footnote w:id="1">
    <w:p>
      <w:pPr>
        <w:pStyle w:val="FootnoteText"/>
      </w:pPr>
      <w:r>
        <w:rPr>
          <w:rStyle w:val="FootnoteReference"/>
        </w:rPr>
        <w:footnoteRef/>
      </w:r>
      <w:r>
        <w:tab/>
        <w:t>За всички конвертирания в настоящия документ е използван обменен курс EUR/USD 1,19.</w:t>
      </w:r>
    </w:p>
  </w:footnote>
  <w:footnote w:id="2">
    <w:p>
      <w:pPr>
        <w:pStyle w:val="FootnoteText"/>
      </w:pPr>
      <w:r>
        <w:rPr>
          <w:rStyle w:val="FootnoteReference"/>
        </w:rPr>
        <w:footnoteRef/>
      </w:r>
      <w:r>
        <w:tab/>
        <w:t>За всички конвертирания в настоящия документ е използван обменен курс EUR/USD 1,19.</w:t>
      </w:r>
    </w:p>
  </w:footnote>
  <w:footnote w:id="3">
    <w:p>
      <w:pPr>
        <w:pStyle w:val="FootnoteText"/>
      </w:pPr>
      <w:r>
        <w:rPr>
          <w:rStyle w:val="FootnoteReference"/>
        </w:rPr>
        <w:footnoteRef/>
      </w:r>
      <w:r>
        <w:tab/>
        <w:t>ОВ L 209, 6.8.2002 г., стр. 22—23.</w:t>
      </w:r>
    </w:p>
  </w:footnote>
  <w:footnote w:id="4">
    <w:p>
      <w:pPr>
        <w:pStyle w:val="FootnoteText"/>
      </w:pPr>
      <w:r>
        <w:rPr>
          <w:rStyle w:val="FootnoteReference"/>
        </w:rPr>
        <w:footnoteRef/>
      </w:r>
      <w:r>
        <w:tab/>
        <w:t>ОВ L 179, 14.7.2010 г., стр. 1.</w:t>
      </w:r>
    </w:p>
  </w:footnote>
  <w:footnote w:id="5">
    <w:p>
      <w:pPr>
        <w:pStyle w:val="FootnoteText"/>
      </w:pPr>
      <w:r>
        <w:rPr>
          <w:rStyle w:val="FootnoteReference"/>
        </w:rPr>
        <w:footnoteRef/>
      </w:r>
      <w:r>
        <w:tab/>
        <w:t>OB L 111, 15.4.2014 г., стр. 85.</w:t>
      </w:r>
    </w:p>
  </w:footnote>
  <w:footnote w:id="6">
    <w:p>
      <w:pPr>
        <w:pStyle w:val="FootnoteText"/>
      </w:pPr>
      <w:r>
        <w:rPr>
          <w:rStyle w:val="FootnoteReference"/>
        </w:rPr>
        <w:footnoteRef/>
      </w:r>
      <w:r>
        <w:tab/>
        <w:t>ОВ L 100, 17.4.2015 г., стр. 1—7.</w:t>
      </w:r>
    </w:p>
  </w:footnote>
  <w:footnote w:id="7">
    <w:p>
      <w:pPr>
        <w:pStyle w:val="FootnoteText"/>
      </w:pPr>
      <w:r>
        <w:rPr>
          <w:rStyle w:val="FootnoteReference"/>
        </w:rPr>
        <w:footnoteRef/>
      </w:r>
      <w:r>
        <w:tab/>
        <w:t>Решение 2002/639/ЕО на Съвета от 12 юли 2012 г. за предоставяне на допълнителна макрофинансова помощ на Украйна (ОВ L 209, 6.8.2002 г., стр. 22).</w:t>
      </w:r>
    </w:p>
  </w:footnote>
  <w:footnote w:id="8">
    <w:p>
      <w:pPr>
        <w:pStyle w:val="FootnoteText"/>
      </w:pPr>
      <w:r>
        <w:rPr>
          <w:rStyle w:val="FootnoteReference"/>
        </w:rPr>
        <w:footnoteRef/>
      </w:r>
      <w:r>
        <w:tab/>
        <w:t>Решение № 646/2010/ЕС на Европейския парламент и на Съвета от 7 юли 2010 г. за предоставяне на макрофинансова помощ на Украйна (ОВ L 179, 14.7.2010 г., стр. 1).</w:t>
      </w:r>
    </w:p>
  </w:footnote>
  <w:footnote w:id="9">
    <w:p>
      <w:pPr>
        <w:pStyle w:val="FootnoteText"/>
      </w:pPr>
      <w:r>
        <w:rPr>
          <w:rStyle w:val="FootnoteReference"/>
        </w:rPr>
        <w:footnoteRef/>
      </w:r>
      <w:r>
        <w:tab/>
        <w:t>Решение 2014/215/ЕС на Съвета от 14 април 2014 г. за предоставяне на макрофинансова помощ на Украйна (ОВ L 111, 15.4.2014 г., стр. 85).</w:t>
      </w:r>
    </w:p>
  </w:footnote>
  <w:footnote w:id="10">
    <w:p>
      <w:pPr>
        <w:pStyle w:val="FootnoteText"/>
      </w:pPr>
      <w:r>
        <w:rPr>
          <w:rStyle w:val="FootnoteReference"/>
        </w:rPr>
        <w:footnoteRef/>
      </w:r>
      <w:r>
        <w:tab/>
        <w:t>Решение (ЕС) 2015/601 на Европейския парламент и на Съвета от 15 април 2015 г. (ОВ L 100, 17.4.2015 г., стр. 1).</w:t>
      </w:r>
    </w:p>
  </w:footnote>
  <w:footnote w:id="11">
    <w:p>
      <w:pPr>
        <w:pStyle w:val="FootnoteText"/>
        <w:keepLines/>
        <w:spacing w:after="120"/>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12">
    <w:p>
      <w:pPr>
        <w:pStyle w:val="FootnoteText"/>
        <w:keepLines/>
        <w:spacing w:after="120"/>
      </w:pPr>
      <w:r>
        <w:rPr>
          <w:rStyle w:val="FootnoteReference"/>
        </w:rPr>
        <w:footnoteRef/>
      </w:r>
      <w:r>
        <w:tab/>
        <w:t xml:space="preserve">Решение 2010/427/ЕС на Съвета </w:t>
      </w:r>
      <w:r>
        <w:rPr>
          <w:color w:val="000000"/>
        </w:rPr>
        <w:t>от 26 юли 2010 г.</w:t>
      </w:r>
      <w:r>
        <w:t xml:space="preserve"> за определяне на организацията и функционирането на Европейската служба за външна дейност (ОВ L 201, 3.8.2010 г., стр. 30).</w:t>
      </w:r>
    </w:p>
  </w:footnote>
  <w:footnote w:id="13">
    <w:p>
      <w:pPr>
        <w:pStyle w:val="FootnoteText"/>
        <w:keepLines/>
        <w:spacing w:after="120"/>
      </w:pPr>
      <w:r>
        <w:rPr>
          <w:rStyle w:val="FootnoteReference"/>
        </w:rPr>
        <w:footnoteRef/>
      </w:r>
      <w:r>
        <w:tab/>
        <w:t>Регламент (ЕО, Евратом) № 480/2009 на Съвета от 25 май 2009 г. относно създаване на Гаранционен фонд за външни дейности (ОВ L 145, 10.6.2009 г., стр. 10).</w:t>
      </w:r>
    </w:p>
  </w:footnote>
  <w:footnote w:id="14">
    <w:p>
      <w:pPr>
        <w:pStyle w:val="FootnoteText"/>
        <w:keepLines/>
        <w:spacing w:after="120"/>
      </w:pPr>
      <w:r>
        <w:rPr>
          <w:rStyle w:val="FootnoteReference"/>
        </w:rPr>
        <w:footnoteRef/>
      </w:r>
      <w:r>
        <w:tab/>
        <w:t xml:space="preserve">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w:t>
      </w:r>
      <w:r>
        <w:rPr>
          <w:rStyle w:val="Emphasis"/>
        </w:rPr>
        <w:t>(ОВ L 298, 26.10.2012 г., стр. 1).</w:t>
      </w:r>
    </w:p>
  </w:footnote>
  <w:footnote w:id="15">
    <w:p>
      <w:pPr>
        <w:pStyle w:val="FootnoteText"/>
        <w:keepLines/>
        <w:spacing w:after="120"/>
      </w:pPr>
      <w:r>
        <w:rPr>
          <w:rStyle w:val="FootnoteReference"/>
        </w:rPr>
        <w:footnoteRef/>
      </w:r>
      <w:r>
        <w:tab/>
        <w:t>Делегиран регламент (ЕС) № 1268/2012 на Комисията от 29 октомври 2012 г. относно правилата за прилагане на Регламент (ЕС, Евратом) № 966/2012 относно финансовите правила, приложими за общия бюджет на Съюза (ОВ L 362, 31.12.2012 г., стр. 1).</w:t>
      </w:r>
    </w:p>
  </w:footnote>
  <w:footnote w:id="16">
    <w:p>
      <w:pPr>
        <w:pStyle w:val="FootnoteText"/>
        <w:keepLines/>
        <w:spacing w:after="120"/>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(ОВ L 312, 23.12.1995 г., стр. 1).</w:t>
      </w:r>
    </w:p>
  </w:footnote>
  <w:footnote w:id="17">
    <w:p>
      <w:pPr>
        <w:pStyle w:val="FootnoteText"/>
        <w:keepLines/>
        <w:spacing w:after="120"/>
      </w:pPr>
      <w:r>
        <w:rPr>
          <w:rStyle w:val="FootnoteReference"/>
        </w:rPr>
        <w:footnoteRef/>
      </w:r>
      <w:r>
        <w:tab/>
        <w:t>Регламент (ЕО, Евратом)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18">
    <w:p>
      <w:pPr>
        <w:pStyle w:val="FootnoteText"/>
        <w:keepLines/>
        <w:spacing w:after="120"/>
      </w:pPr>
      <w:r>
        <w:rPr>
          <w:rStyle w:val="FootnoteReference"/>
        </w:rPr>
        <w:footnoteRef/>
      </w:r>
      <w:r>
        <w:tab/>
      </w:r>
      <w:r>
        <w:rPr>
          <w:color w:val="000000"/>
        </w:rPr>
        <w:t>Регламент (ЕС, Евратом) № 883/2013 на Европейския парламент и на Съвета</w:t>
      </w:r>
      <w:r>
        <w:t xml:space="preserve">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19">
    <w:p>
      <w:pPr>
        <w:pStyle w:val="FootnoteText"/>
      </w:pPr>
      <w:r>
        <w:rPr>
          <w:rStyle w:val="FootnoteReference"/>
        </w:rPr>
        <w:footnoteRef/>
      </w:r>
      <w:r>
        <w:tab/>
        <w:t>УД: управление по дейности — БД: бюджетиране по дейности.</w:t>
      </w:r>
    </w:p>
  </w:footnote>
  <w:footnote w:id="20">
    <w:p>
      <w:pPr>
        <w:pStyle w:val="FootnoteText"/>
      </w:pPr>
      <w:r>
        <w:rPr>
          <w:rStyle w:val="FootnoteReference"/>
        </w:rPr>
        <w:footnoteRef/>
      </w:r>
      <w:r>
        <w:tab/>
        <w:t xml:space="preserve">Подробна информация за методите на управление и позоваванията на Финансовия регламент може да бъде намерена на уебсайта BudgWeb: </w:t>
      </w:r>
      <w:hyperlink r:id="rId1">
        <w:r>
          <w:rPr>
            <w:rStyle w:val="Hyperlink"/>
            <w:sz w:val="18"/>
          </w:rPr>
          <w:t>http://www.cc.cec/budg/man/budgmanag/budgmanag_en.html</w:t>
        </w:r>
      </w:hyperlink>
    </w:p>
  </w:footnote>
  <w:footnote w:id="21">
    <w:p>
      <w:pPr>
        <w:pStyle w:val="FootnoteText"/>
      </w:pPr>
      <w:r>
        <w:rPr>
          <w:rStyle w:val="FootnoteReference"/>
        </w:rPr>
        <w:footnoteRef/>
      </w:r>
      <w:r>
        <w:tab/>
        <w:t>МБК = многогодишни бюджетни кредити / ЕБК = едногодишни бюджетни кредити.</w:t>
      </w:r>
    </w:p>
  </w:footnote>
  <w:footnote w:id="22">
    <w:p>
      <w:pPr>
        <w:pStyle w:val="FootnoteText"/>
      </w:pPr>
      <w:r>
        <w:rPr>
          <w:rStyle w:val="FootnoteReference"/>
        </w:rPr>
        <w:footnoteRef/>
      </w:r>
      <w:r>
        <w:tab/>
        <w:t>ЕАСТ: Европейска асоциация за свободна търговия.</w:t>
      </w:r>
    </w:p>
  </w:footnote>
  <w:footnote w:id="23">
    <w:p>
      <w:pPr>
        <w:pStyle w:val="FootnoteText"/>
      </w:pPr>
      <w:r>
        <w:rPr>
          <w:rStyle w:val="FootnoteReference"/>
        </w:rPr>
        <w:footnoteRef/>
      </w:r>
      <w:r>
        <w:tab/>
        <w:t>Държави кандидатки и ако е приложимо, държави потенциални кандидатки от Западните Балкани.</w:t>
      </w:r>
    </w:p>
  </w:footnote>
  <w:footnote w:id="24">
    <w:p>
      <w:pPr>
        <w:pStyle w:val="FootnoteText"/>
        <w:keepLines/>
        <w:spacing w:after="120"/>
      </w:pPr>
      <w:r>
        <w:rPr>
          <w:rStyle w:val="FootnoteReference"/>
        </w:rPr>
        <w:footnoteRef/>
      </w:r>
      <w:r>
        <w:tab/>
        <w:t>Регламент (ЕО, Евратом) № 480/2009 на Съвета от 25 май 2009 г. относно създаване на Гаранционен фонд за външни дейности (ОВ L 145, 10.6.2009 г., стр. 10).</w:t>
      </w:r>
    </w:p>
  </w:footnote>
  <w:footnote w:id="25">
    <w:p>
      <w:pPr>
        <w:pStyle w:val="FootnoteText"/>
      </w:pPr>
      <w:r>
        <w:rPr>
          <w:rStyle w:val="FootnoteReference"/>
        </w:rPr>
        <w:footnoteRef/>
      </w:r>
      <w:r>
        <w:tab/>
        <w:t>Съгласно описанието в точка 1.4.2. „Конкретни цели…“.</w:t>
      </w:r>
    </w:p>
  </w:footnote>
  <w:footnote w:id="26">
    <w:p>
      <w:pPr>
        <w:pStyle w:val="FootnoteText"/>
      </w:pPr>
      <w:r>
        <w:rPr>
          <w:rStyle w:val="FootnoteReference"/>
        </w:rPr>
        <w:footnoteRef/>
      </w:r>
      <w:r>
        <w:tab/>
        <w:t>Година N е годината, през която започва да се осъществява предложението/инициативата.</w:t>
      </w:r>
    </w:p>
  </w:footnote>
  <w:footnote w:id="27">
    <w:p>
      <w:pPr>
        <w:pStyle w:val="FootnoteText"/>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8">
    <w:p>
      <w:pPr>
        <w:pStyle w:val="FootnoteText"/>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29">
    <w:p>
      <w:pPr>
        <w:pStyle w:val="FootnoteText"/>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28BA3C"/>
    <w:lvl w:ilvl="0">
      <w:start w:val="1"/>
      <w:numFmt w:val="decimal"/>
      <w:pStyle w:val="ListBullet3"/>
      <w:lvlText w:val="%1."/>
      <w:lvlJc w:val="left"/>
      <w:pPr>
        <w:tabs>
          <w:tab w:val="num" w:pos="1209"/>
        </w:tabs>
        <w:ind w:left="1209" w:hanging="360"/>
      </w:pPr>
      <w:rPr>
        <w:rFonts w:cs="Times New Roman"/>
      </w:rPr>
    </w:lvl>
  </w:abstractNum>
  <w:abstractNum w:abstractNumId="1">
    <w:nsid w:val="FFFFFF7E"/>
    <w:multiLevelType w:val="singleLevel"/>
    <w:tmpl w:val="D6B22A22"/>
    <w:lvl w:ilvl="0">
      <w:start w:val="1"/>
      <w:numFmt w:val="decimal"/>
      <w:pStyle w:val="ListBullet2"/>
      <w:lvlText w:val="%1."/>
      <w:lvlJc w:val="left"/>
      <w:pPr>
        <w:tabs>
          <w:tab w:val="num" w:pos="926"/>
        </w:tabs>
        <w:ind w:left="926" w:hanging="360"/>
      </w:pPr>
      <w:rPr>
        <w:rFonts w:cs="Times New Roman"/>
      </w:rPr>
    </w:lvl>
  </w:abstractNum>
  <w:abstractNum w:abstractNumId="2">
    <w:nsid w:val="FFFFFF81"/>
    <w:multiLevelType w:val="singleLevel"/>
    <w:tmpl w:val="00169DA4"/>
    <w:lvl w:ilvl="0">
      <w:start w:val="1"/>
      <w:numFmt w:val="bullet"/>
      <w:pStyle w:val="ListNumber3"/>
      <w:lvlText w:val=""/>
      <w:lvlJc w:val="left"/>
      <w:pPr>
        <w:tabs>
          <w:tab w:val="num" w:pos="1209"/>
        </w:tabs>
        <w:ind w:left="1209" w:hanging="360"/>
      </w:pPr>
      <w:rPr>
        <w:rFonts w:ascii="Symbol" w:hAnsi="Symbol" w:hint="default"/>
      </w:rPr>
    </w:lvl>
  </w:abstractNum>
  <w:abstractNum w:abstractNumId="3">
    <w:nsid w:val="FFFFFF82"/>
    <w:multiLevelType w:val="singleLevel"/>
    <w:tmpl w:val="9A2E42F0"/>
    <w:lvl w:ilvl="0">
      <w:start w:val="1"/>
      <w:numFmt w:val="bullet"/>
      <w:pStyle w:val="ListNumber2"/>
      <w:lvlText w:val=""/>
      <w:lvlJc w:val="left"/>
      <w:pPr>
        <w:tabs>
          <w:tab w:val="num" w:pos="926"/>
        </w:tabs>
        <w:ind w:left="926" w:hanging="360"/>
      </w:pPr>
      <w:rPr>
        <w:rFonts w:ascii="Symbol" w:hAnsi="Symbol" w:hint="default"/>
      </w:rPr>
    </w:lvl>
  </w:abstractNum>
  <w:abstractNum w:abstractNumId="4">
    <w:nsid w:val="FFFFFF83"/>
    <w:multiLevelType w:val="singleLevel"/>
    <w:tmpl w:val="F77859B8"/>
    <w:name w:val="0.5282818"/>
    <w:lvl w:ilvl="0">
      <w:start w:val="1"/>
      <w:numFmt w:val="bullet"/>
      <w:pStyle w:val="ListBullet"/>
      <w:lvlText w:val=""/>
      <w:lvlJc w:val="left"/>
      <w:pPr>
        <w:tabs>
          <w:tab w:val="num" w:pos="643"/>
        </w:tabs>
        <w:ind w:left="643" w:hanging="360"/>
      </w:pPr>
      <w:rPr>
        <w:rFonts w:ascii="Symbol" w:hAnsi="Symbol" w:hint="default"/>
      </w:rPr>
    </w:lvl>
  </w:abstractNum>
  <w:abstractNum w:abstractNumId="5">
    <w:nsid w:val="FFFFFF88"/>
    <w:multiLevelType w:val="singleLevel"/>
    <w:tmpl w:val="8A740DC4"/>
    <w:lvl w:ilvl="0">
      <w:start w:val="1"/>
      <w:numFmt w:val="decimal"/>
      <w:pStyle w:val="ListNumber4"/>
      <w:lvlText w:val="%1."/>
      <w:lvlJc w:val="left"/>
      <w:pPr>
        <w:tabs>
          <w:tab w:val="num" w:pos="360"/>
        </w:tabs>
        <w:ind w:left="360" w:hanging="360"/>
      </w:pPr>
      <w:rPr>
        <w:rFonts w:cs="Times New Roman"/>
      </w:rPr>
    </w:lvl>
  </w:abstractNum>
  <w:abstractNum w:abstractNumId="6">
    <w:nsid w:val="FFFFFF89"/>
    <w:multiLevelType w:val="singleLevel"/>
    <w:tmpl w:val="5ADAD0EC"/>
    <w:lvl w:ilvl="0">
      <w:start w:val="1"/>
      <w:numFmt w:val="bullet"/>
      <w:pStyle w:val="ListBullet4"/>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0.5806239"/>
    <w:lvl w:ilvl="0">
      <w:start w:val="1"/>
      <w:numFmt w:val="bullet"/>
      <w:pStyle w:val="ListBullet1"/>
      <w:lvlText w:val=""/>
      <w:lvlJc w:val="left"/>
      <w:pPr>
        <w:tabs>
          <w:tab w:val="num" w:pos="1134"/>
        </w:tabs>
        <w:ind w:left="1134" w:hanging="283"/>
      </w:pPr>
      <w:rPr>
        <w:rFonts w:ascii="Symbol" w:hAnsi="Symbol" w:hint="default"/>
      </w:rPr>
    </w:lvl>
  </w:abstractNum>
  <w:abstractNum w:abstractNumId="8">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0.0692364"/>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 w:numId="8">
    <w:abstractNumId w:val="7"/>
  </w:num>
  <w:num w:numId="9">
    <w:abstractNumId w:val="13"/>
  </w:num>
  <w:num w:numId="10">
    <w:abstractNumId w:val="18"/>
  </w:num>
  <w:num w:numId="11">
    <w:abstractNumId w:val="17"/>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num>
  <w:num w:numId="16">
    <w:abstractNumId w:val="20"/>
    <w:lvlOverride w:ilvl="0">
      <w:startOverride w:val="1"/>
    </w:lvlOverride>
  </w:num>
  <w:num w:numId="17">
    <w:abstractNumId w:val="14"/>
    <w:lvlOverride w:ilvl="0">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4"/>
  </w:num>
  <w:num w:numId="27">
    <w:abstractNumId w:val="24"/>
  </w:num>
  <w:num w:numId="28">
    <w:abstractNumId w:val="12"/>
  </w:num>
  <w:num w:numId="29">
    <w:abstractNumId w:val="15"/>
  </w:num>
  <w:num w:numId="30">
    <w:abstractNumId w:val="10"/>
  </w:num>
  <w:num w:numId="31">
    <w:abstractNumId w:val="23"/>
  </w:num>
  <w:num w:numId="32">
    <w:abstractNumId w:val="9"/>
  </w:num>
  <w:num w:numId="33">
    <w:abstractNumId w:val="16"/>
  </w:num>
  <w:num w:numId="34">
    <w:abstractNumId w:val="20"/>
  </w:num>
  <w:num w:numId="35">
    <w:abstractNumId w:val="21"/>
  </w:num>
  <w:num w:numId="36">
    <w:abstractNumId w:val="11"/>
  </w:num>
  <w:num w:numId="37">
    <w:abstractNumId w:val="19"/>
  </w:num>
  <w:num w:numId="38">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8 13:14:2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5"/>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78168B7-79EA-424A-AE8C-0BFD86F66E88"/>
    <w:docVar w:name="LW_COVERPAGE_TYPE" w:val="1"/>
    <w:docVar w:name="LW_CROSSREFERENCE" w:val="{SWD(2018) 66 final}"/>
    <w:docVar w:name="LW_DocType" w:val="COM"/>
    <w:docVar w:name="LW_EMISSION" w:val="9.3.2018"/>
    <w:docVar w:name="LW_EMISSION_ISODATE" w:val="2018-03-09"/>
    <w:docVar w:name="LW_EMISSION_LOCATION" w:val="BRX"/>
    <w:docVar w:name="LW_EMISSION_PREFIX" w:val="Брюксел, "/>
    <w:docVar w:name="LW_EMISSION_SUFFIX" w:val=" \u1075?."/>
    <w:docVar w:name="LW_ID_DOCMODEL" w:val="SJ-025"/>
    <w:docVar w:name="LW_ID_DOCSIGNATURE" w:val="SJ-025"/>
    <w:docVar w:name="LW_ID_DOCSTRUCTURE" w:val="COM/PL/ORG"/>
    <w:docVar w:name="LW_ID_DOCTYPE" w:val="SJ-025"/>
    <w:docVar w:name="LW_ID_STATUT" w:val="SJ-02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58"/>
    <w:docVar w:name="LW_REF.II.NEW.CP_YEAR" w:val="2018"/>
    <w:docVar w:name="LW_REF.INST.NEW" w:val="COM"/>
    <w:docVar w:name="LW_REF.INST.NEW_ADOPTED" w:val="final"/>
    <w:docVar w:name="LW_REF.INST.NEW_TEXT" w:val="(2018)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7?\u1088?\u1077?\u1076?\u1086?\u1089?\u1090?\u1072?\u1074?\u1103?\u1085?\u1077? \u1085?\u1072? \u1076?\u1086?\u1087?\u1098?\u1083?\u1085?\u1080?\u1090?\u1077?\u1083?\u1085?\u1072? \u1084?\u1072?\u1082?\u1088?\u1086?\u1092?\u1080?\u1085?\u1072?\u1085?\u1089?\u1086?\u1074?\u1072? \u1087?\u1086?\u1084?\u1086?\u1097? \u1085?\u1072? \u1059?\u1082?\u1088?\u1072?\u1081?\u1085?\u1072?"/>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List Bullet" w:uiPriority="99"/>
    <w:lsdException w:name="List Number 3"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1">
    <w:name w:val="italic1"/>
    <w:rPr>
      <w:i/>
      <w:shd w:val="clear" w:color="auto" w:fill="auto"/>
    </w:rPr>
  </w:style>
  <w:style w:type="paragraph" w:customStyle="1" w:styleId="llcomment">
    <w:name w:val="ll comment"/>
    <w:basedOn w:val="Titreobjet"/>
    <w:link w:val="llcommentChar"/>
    <w:autoRedefine/>
    <w:rPr>
      <w:i/>
    </w:rPr>
  </w:style>
  <w:style w:type="character" w:customStyle="1" w:styleId="llcommentChar">
    <w:name w:val="ll comment Char"/>
    <w:link w:val="llcomment"/>
    <w:locked/>
    <w:rPr>
      <w:b/>
      <w:i/>
      <w:sz w:val="24"/>
      <w:lang w:val="bg-BG" w:eastAsia="bg-BG"/>
    </w:rPr>
  </w:style>
  <w:style w:type="character" w:customStyle="1" w:styleId="st1">
    <w:name w:val="st1"/>
  </w:style>
  <w:style w:type="paragraph" w:styleId="ListBullet">
    <w:name w:val="List Bullet"/>
    <w:basedOn w:val="Normal"/>
    <w:uiPriority w:val="99"/>
    <w:pPr>
      <w:numPr>
        <w:numId w:val="1"/>
      </w:numPr>
    </w:pPr>
  </w:style>
  <w:style w:type="character" w:customStyle="1" w:styleId="at31">
    <w:name w:val="a__t31"/>
    <w:rPr>
      <w:i/>
    </w:rPr>
  </w:style>
  <w:style w:type="paragraph" w:styleId="EndnoteText">
    <w:name w:val="endnote text"/>
    <w:basedOn w:val="Normal"/>
    <w:link w:val="EndnoteTextChar"/>
    <w:uiPriority w:val="99"/>
    <w:pPr>
      <w:spacing w:before="0" w:after="240"/>
    </w:pPr>
    <w:rPr>
      <w:sz w:val="20"/>
      <w:szCs w:val="20"/>
    </w:rPr>
  </w:style>
  <w:style w:type="character" w:customStyle="1" w:styleId="EndnoteTextChar">
    <w:name w:val="Endnote Text Char"/>
    <w:link w:val="EndnoteText"/>
    <w:uiPriority w:val="99"/>
    <w:semiHidden/>
    <w:locked/>
    <w:rPr>
      <w:lang w:val="bg-BG" w:eastAsia="bg-BG"/>
    </w:rPr>
  </w:style>
  <w:style w:type="paragraph" w:styleId="NormalIndent">
    <w:name w:val="Normal Indent"/>
    <w:basedOn w:val="Normal"/>
    <w:uiPriority w:val="99"/>
    <w:pPr>
      <w:spacing w:before="0" w:line="240" w:lineRule="atLeast"/>
      <w:ind w:left="720"/>
    </w:pPr>
    <w:rPr>
      <w:rFonts w:ascii="Arial" w:hAnsi="Arial"/>
      <w:sz w:val="28"/>
      <w:szCs w:val="20"/>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tyle>
  <w:style w:type="paragraph" w:styleId="ListBullet2">
    <w:name w:val="List Bullet 2"/>
    <w:basedOn w:val="Normal"/>
    <w:uiPriority w:val="99"/>
    <w:pPr>
      <w:numPr>
        <w:numId w:val="2"/>
      </w:numPr>
      <w:tabs>
        <w:tab w:val="num" w:pos="643"/>
        <w:tab w:val="num" w:pos="850"/>
      </w:tabs>
      <w:ind w:left="643"/>
      <w:contextualSpacing/>
    </w:pPr>
  </w:style>
  <w:style w:type="paragraph" w:styleId="ListBullet3">
    <w:name w:val="List Bullet 3"/>
    <w:basedOn w:val="Normal"/>
    <w:uiPriority w:val="99"/>
    <w:pPr>
      <w:numPr>
        <w:numId w:val="3"/>
      </w:numPr>
      <w:tabs>
        <w:tab w:val="num" w:pos="0"/>
        <w:tab w:val="num" w:pos="850"/>
        <w:tab w:val="num" w:pos="926"/>
      </w:tabs>
      <w:ind w:left="926"/>
      <w:contextualSpacing/>
    </w:pPr>
  </w:style>
  <w:style w:type="paragraph" w:styleId="ListBullet4">
    <w:name w:val="List Bullet 4"/>
    <w:basedOn w:val="Normal"/>
    <w:uiPriority w:val="99"/>
    <w:pPr>
      <w:numPr>
        <w:numId w:val="4"/>
      </w:numPr>
      <w:tabs>
        <w:tab w:val="clear" w:pos="360"/>
        <w:tab w:val="num" w:pos="283"/>
        <w:tab w:val="num" w:pos="850"/>
        <w:tab w:val="num" w:pos="1209"/>
      </w:tabs>
      <w:ind w:left="1209"/>
      <w:contextualSpacing/>
    </w:pPr>
  </w:style>
  <w:style w:type="paragraph" w:styleId="ListNumber">
    <w:name w:val="List Number"/>
    <w:basedOn w:val="Normal"/>
    <w:uiPriority w:val="99"/>
    <w:pPr>
      <w:tabs>
        <w:tab w:val="num" w:pos="283"/>
        <w:tab w:val="num" w:pos="643"/>
        <w:tab w:val="num" w:pos="1417"/>
      </w:tabs>
      <w:ind w:left="360" w:hanging="360"/>
      <w:contextualSpacing/>
    </w:pPr>
  </w:style>
  <w:style w:type="paragraph" w:styleId="ListNumber2">
    <w:name w:val="List Number 2"/>
    <w:basedOn w:val="Normal"/>
    <w:uiPriority w:val="99"/>
    <w:pPr>
      <w:numPr>
        <w:numId w:val="5"/>
      </w:numPr>
      <w:tabs>
        <w:tab w:val="num" w:pos="283"/>
        <w:tab w:val="num" w:pos="643"/>
        <w:tab w:val="num" w:pos="1984"/>
      </w:tabs>
      <w:ind w:left="643"/>
      <w:contextualSpacing/>
    </w:pPr>
  </w:style>
  <w:style w:type="paragraph" w:styleId="ListNumber3">
    <w:name w:val="List Number 3"/>
    <w:basedOn w:val="Normal"/>
    <w:uiPriority w:val="99"/>
    <w:pPr>
      <w:numPr>
        <w:numId w:val="6"/>
      </w:numPr>
      <w:tabs>
        <w:tab w:val="num" w:pos="283"/>
        <w:tab w:val="num" w:pos="926"/>
        <w:tab w:val="num" w:pos="2551"/>
      </w:tabs>
      <w:ind w:left="926"/>
      <w:contextualSpacing/>
    </w:pPr>
  </w:style>
  <w:style w:type="paragraph" w:styleId="ListNumber4">
    <w:name w:val="List Number 4"/>
    <w:basedOn w:val="Normal"/>
    <w:uiPriority w:val="99"/>
    <w:pPr>
      <w:numPr>
        <w:numId w:val="7"/>
      </w:numPr>
      <w:tabs>
        <w:tab w:val="clear" w:pos="360"/>
        <w:tab w:val="num" w:pos="283"/>
        <w:tab w:val="num" w:pos="1209"/>
        <w:tab w:val="num" w:pos="3118"/>
      </w:tabs>
      <w:ind w:left="1209"/>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emiHidden/>
    <w:locked/>
    <w:rPr>
      <w:lang w:val="bg-B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locked/>
    <w:rPr>
      <w:b/>
      <w:lang w:val="bg-BG" w:eastAsia="bg-BG"/>
    </w:rPr>
  </w:style>
  <w:style w:type="character" w:styleId="Hyperlink">
    <w:name w:val="Hyperlink"/>
    <w:rPr>
      <w:color w:val="0000FF"/>
      <w:u w:val="single"/>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bg-BG" w:eastAsia="bg-BG"/>
    </w:rPr>
  </w:style>
  <w:style w:type="paragraph" w:customStyle="1" w:styleId="ListBullet1">
    <w:name w:val="List Bullet 1"/>
    <w:basedOn w:val="Normal"/>
    <w:pPr>
      <w:numPr>
        <w:numId w:val="8"/>
      </w:numPr>
    </w:pPr>
  </w:style>
  <w:style w:type="paragraph" w:customStyle="1" w:styleId="ListDash">
    <w:name w:val="List Dash"/>
    <w:basedOn w:val="Normal"/>
    <w:pPr>
      <w:numPr>
        <w:numId w:val="9"/>
      </w:numPr>
    </w:pPr>
  </w:style>
  <w:style w:type="paragraph" w:customStyle="1" w:styleId="ListDash1">
    <w:name w:val="List Dash 1"/>
    <w:basedOn w:val="Normal"/>
    <w:pPr>
      <w:numPr>
        <w:numId w:val="10"/>
      </w:numPr>
    </w:pPr>
  </w:style>
  <w:style w:type="paragraph" w:customStyle="1" w:styleId="ListDash2">
    <w:name w:val="List Dash 2"/>
    <w:basedOn w:val="Normal"/>
    <w:pPr>
      <w:numPr>
        <w:numId w:val="11"/>
      </w:numPr>
    </w:pPr>
  </w:style>
  <w:style w:type="paragraph" w:customStyle="1" w:styleId="Briefinglist1">
    <w:name w:val="Briefing list 1"/>
    <w:basedOn w:val="Normal"/>
    <w:pPr>
      <w:keepLines/>
      <w:numPr>
        <w:numId w:val="12"/>
      </w:numPr>
      <w:spacing w:before="0"/>
    </w:pPr>
    <w:rPr>
      <w:rFonts w:ascii="Arial" w:hAnsi="Arial" w:cs="Arial"/>
      <w:sz w:val="22"/>
    </w:rPr>
  </w:style>
  <w:style w:type="character" w:customStyle="1" w:styleId="hps">
    <w:name w:val="hps"/>
  </w:style>
  <w:style w:type="paragraph" w:customStyle="1" w:styleId="Normal6">
    <w:name w:val="Normal6"/>
    <w:basedOn w:val="Normal"/>
    <w:pPr>
      <w:widowControl w:val="0"/>
      <w:spacing w:before="0"/>
      <w:jc w:val="left"/>
    </w:pPr>
    <w:rPr>
      <w:szCs w:val="20"/>
    </w:rPr>
  </w:style>
  <w:style w:type="paragraph" w:customStyle="1" w:styleId="Normal12Hanging">
    <w:name w:val="Normal12Hanging"/>
    <w:basedOn w:val="Normal"/>
    <w:pPr>
      <w:widowControl w:val="0"/>
      <w:spacing w:before="0" w:after="240"/>
      <w:ind w:left="357" w:hanging="357"/>
      <w:jc w:val="left"/>
    </w:pPr>
    <w:rPr>
      <w:szCs w:val="20"/>
    </w:rPr>
  </w:style>
  <w:style w:type="character" w:styleId="Emphasis">
    <w:name w:val="Emphasis"/>
    <w:uiPriority w:val="20"/>
    <w:qFormat/>
    <w:rPr>
      <w:i/>
    </w:rPr>
  </w:style>
  <w:style w:type="paragraph" w:styleId="Revision">
    <w:name w:val="Revision"/>
    <w:hidden/>
    <w:uiPriority w:val="99"/>
    <w:semiHidden/>
    <w:rPr>
      <w:sz w:val="24"/>
      <w:szCs w:val="24"/>
    </w:rPr>
  </w:style>
  <w:style w:type="paragraph" w:styleId="NormalWeb">
    <w:name w:val="Normal (Web)"/>
    <w:basedOn w:val="Normal"/>
    <w:uiPriority w:val="99"/>
    <w:unhideWhenUsed/>
    <w:pPr>
      <w:spacing w:before="100" w:beforeAutospacing="1" w:after="100" w:afterAutospacing="1"/>
      <w:jc w:val="left"/>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uiPriority w:val="22"/>
    <w:qFormat/>
    <w:rPr>
      <w:rFonts w:ascii="open_sansbold" w:hAnsi="open_sansbold" w:hint="default"/>
      <w:b/>
      <w:bCs/>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customStyle="1" w:styleId="Considerant">
    <w:name w:val="Considerant"/>
    <w:basedOn w:val="Normal"/>
    <w:pPr>
      <w:autoSpaceDE w:val="0"/>
      <w:autoSpaceDN w:val="0"/>
      <w:adjustRightInd w:val="0"/>
      <w:spacing w:before="0" w:after="0"/>
      <w:ind w:left="709" w:hanging="709"/>
    </w:pPr>
  </w:style>
  <w:style w:type="character" w:styleId="FollowedHyperlink">
    <w:name w:val="FollowedHyperlink"/>
    <w:basedOn w:val="DefaultParagraphFont"/>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List Bullet" w:uiPriority="99"/>
    <w:lsdException w:name="List Number 3"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1">
    <w:name w:val="italic1"/>
    <w:rPr>
      <w:i/>
      <w:shd w:val="clear" w:color="auto" w:fill="auto"/>
    </w:rPr>
  </w:style>
  <w:style w:type="paragraph" w:customStyle="1" w:styleId="llcomment">
    <w:name w:val="ll comment"/>
    <w:basedOn w:val="Titreobjet"/>
    <w:link w:val="llcommentChar"/>
    <w:autoRedefine/>
    <w:rPr>
      <w:i/>
    </w:rPr>
  </w:style>
  <w:style w:type="character" w:customStyle="1" w:styleId="llcommentChar">
    <w:name w:val="ll comment Char"/>
    <w:link w:val="llcomment"/>
    <w:locked/>
    <w:rPr>
      <w:b/>
      <w:i/>
      <w:sz w:val="24"/>
      <w:lang w:val="bg-BG" w:eastAsia="bg-BG"/>
    </w:rPr>
  </w:style>
  <w:style w:type="character" w:customStyle="1" w:styleId="st1">
    <w:name w:val="st1"/>
  </w:style>
  <w:style w:type="paragraph" w:styleId="ListBullet">
    <w:name w:val="List Bullet"/>
    <w:basedOn w:val="Normal"/>
    <w:uiPriority w:val="99"/>
    <w:pPr>
      <w:numPr>
        <w:numId w:val="1"/>
      </w:numPr>
    </w:pPr>
  </w:style>
  <w:style w:type="character" w:customStyle="1" w:styleId="at31">
    <w:name w:val="a__t31"/>
    <w:rPr>
      <w:i/>
    </w:rPr>
  </w:style>
  <w:style w:type="paragraph" w:styleId="EndnoteText">
    <w:name w:val="endnote text"/>
    <w:basedOn w:val="Normal"/>
    <w:link w:val="EndnoteTextChar"/>
    <w:uiPriority w:val="99"/>
    <w:pPr>
      <w:spacing w:before="0" w:after="240"/>
    </w:pPr>
    <w:rPr>
      <w:sz w:val="20"/>
      <w:szCs w:val="20"/>
    </w:rPr>
  </w:style>
  <w:style w:type="character" w:customStyle="1" w:styleId="EndnoteTextChar">
    <w:name w:val="Endnote Text Char"/>
    <w:link w:val="EndnoteText"/>
    <w:uiPriority w:val="99"/>
    <w:semiHidden/>
    <w:locked/>
    <w:rPr>
      <w:lang w:val="bg-BG" w:eastAsia="bg-BG"/>
    </w:rPr>
  </w:style>
  <w:style w:type="paragraph" w:styleId="NormalIndent">
    <w:name w:val="Normal Indent"/>
    <w:basedOn w:val="Normal"/>
    <w:uiPriority w:val="99"/>
    <w:pPr>
      <w:spacing w:before="0" w:line="240" w:lineRule="atLeast"/>
      <w:ind w:left="720"/>
    </w:pPr>
    <w:rPr>
      <w:rFonts w:ascii="Arial" w:hAnsi="Arial"/>
      <w:sz w:val="28"/>
      <w:szCs w:val="20"/>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tyle>
  <w:style w:type="paragraph" w:styleId="ListBullet2">
    <w:name w:val="List Bullet 2"/>
    <w:basedOn w:val="Normal"/>
    <w:uiPriority w:val="99"/>
    <w:pPr>
      <w:numPr>
        <w:numId w:val="2"/>
      </w:numPr>
      <w:tabs>
        <w:tab w:val="num" w:pos="643"/>
        <w:tab w:val="num" w:pos="850"/>
      </w:tabs>
      <w:ind w:left="643"/>
      <w:contextualSpacing/>
    </w:pPr>
  </w:style>
  <w:style w:type="paragraph" w:styleId="ListBullet3">
    <w:name w:val="List Bullet 3"/>
    <w:basedOn w:val="Normal"/>
    <w:uiPriority w:val="99"/>
    <w:pPr>
      <w:numPr>
        <w:numId w:val="3"/>
      </w:numPr>
      <w:tabs>
        <w:tab w:val="num" w:pos="0"/>
        <w:tab w:val="num" w:pos="850"/>
        <w:tab w:val="num" w:pos="926"/>
      </w:tabs>
      <w:ind w:left="926"/>
      <w:contextualSpacing/>
    </w:pPr>
  </w:style>
  <w:style w:type="paragraph" w:styleId="ListBullet4">
    <w:name w:val="List Bullet 4"/>
    <w:basedOn w:val="Normal"/>
    <w:uiPriority w:val="99"/>
    <w:pPr>
      <w:numPr>
        <w:numId w:val="4"/>
      </w:numPr>
      <w:tabs>
        <w:tab w:val="clear" w:pos="360"/>
        <w:tab w:val="num" w:pos="283"/>
        <w:tab w:val="num" w:pos="850"/>
        <w:tab w:val="num" w:pos="1209"/>
      </w:tabs>
      <w:ind w:left="1209"/>
      <w:contextualSpacing/>
    </w:pPr>
  </w:style>
  <w:style w:type="paragraph" w:styleId="ListNumber">
    <w:name w:val="List Number"/>
    <w:basedOn w:val="Normal"/>
    <w:uiPriority w:val="99"/>
    <w:pPr>
      <w:tabs>
        <w:tab w:val="num" w:pos="283"/>
        <w:tab w:val="num" w:pos="643"/>
        <w:tab w:val="num" w:pos="1417"/>
      </w:tabs>
      <w:ind w:left="360" w:hanging="360"/>
      <w:contextualSpacing/>
    </w:pPr>
  </w:style>
  <w:style w:type="paragraph" w:styleId="ListNumber2">
    <w:name w:val="List Number 2"/>
    <w:basedOn w:val="Normal"/>
    <w:uiPriority w:val="99"/>
    <w:pPr>
      <w:numPr>
        <w:numId w:val="5"/>
      </w:numPr>
      <w:tabs>
        <w:tab w:val="num" w:pos="283"/>
        <w:tab w:val="num" w:pos="643"/>
        <w:tab w:val="num" w:pos="1984"/>
      </w:tabs>
      <w:ind w:left="643"/>
      <w:contextualSpacing/>
    </w:pPr>
  </w:style>
  <w:style w:type="paragraph" w:styleId="ListNumber3">
    <w:name w:val="List Number 3"/>
    <w:basedOn w:val="Normal"/>
    <w:uiPriority w:val="99"/>
    <w:pPr>
      <w:numPr>
        <w:numId w:val="6"/>
      </w:numPr>
      <w:tabs>
        <w:tab w:val="num" w:pos="283"/>
        <w:tab w:val="num" w:pos="926"/>
        <w:tab w:val="num" w:pos="2551"/>
      </w:tabs>
      <w:ind w:left="926"/>
      <w:contextualSpacing/>
    </w:pPr>
  </w:style>
  <w:style w:type="paragraph" w:styleId="ListNumber4">
    <w:name w:val="List Number 4"/>
    <w:basedOn w:val="Normal"/>
    <w:uiPriority w:val="99"/>
    <w:pPr>
      <w:numPr>
        <w:numId w:val="7"/>
      </w:numPr>
      <w:tabs>
        <w:tab w:val="clear" w:pos="360"/>
        <w:tab w:val="num" w:pos="283"/>
        <w:tab w:val="num" w:pos="1209"/>
        <w:tab w:val="num" w:pos="3118"/>
      </w:tabs>
      <w:ind w:left="1209"/>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emiHidden/>
    <w:locked/>
    <w:rPr>
      <w:lang w:val="bg-B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locked/>
    <w:rPr>
      <w:b/>
      <w:lang w:val="bg-BG" w:eastAsia="bg-BG"/>
    </w:rPr>
  </w:style>
  <w:style w:type="character" w:styleId="Hyperlink">
    <w:name w:val="Hyperlink"/>
    <w:rPr>
      <w:color w:val="0000FF"/>
      <w:u w:val="single"/>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bg-BG" w:eastAsia="bg-BG"/>
    </w:rPr>
  </w:style>
  <w:style w:type="paragraph" w:customStyle="1" w:styleId="ListBullet1">
    <w:name w:val="List Bullet 1"/>
    <w:basedOn w:val="Normal"/>
    <w:pPr>
      <w:numPr>
        <w:numId w:val="8"/>
      </w:numPr>
    </w:pPr>
  </w:style>
  <w:style w:type="paragraph" w:customStyle="1" w:styleId="ListDash">
    <w:name w:val="List Dash"/>
    <w:basedOn w:val="Normal"/>
    <w:pPr>
      <w:numPr>
        <w:numId w:val="9"/>
      </w:numPr>
    </w:pPr>
  </w:style>
  <w:style w:type="paragraph" w:customStyle="1" w:styleId="ListDash1">
    <w:name w:val="List Dash 1"/>
    <w:basedOn w:val="Normal"/>
    <w:pPr>
      <w:numPr>
        <w:numId w:val="10"/>
      </w:numPr>
    </w:pPr>
  </w:style>
  <w:style w:type="paragraph" w:customStyle="1" w:styleId="ListDash2">
    <w:name w:val="List Dash 2"/>
    <w:basedOn w:val="Normal"/>
    <w:pPr>
      <w:numPr>
        <w:numId w:val="11"/>
      </w:numPr>
    </w:pPr>
  </w:style>
  <w:style w:type="paragraph" w:customStyle="1" w:styleId="Briefinglist1">
    <w:name w:val="Briefing list 1"/>
    <w:basedOn w:val="Normal"/>
    <w:pPr>
      <w:keepLines/>
      <w:numPr>
        <w:numId w:val="12"/>
      </w:numPr>
      <w:spacing w:before="0"/>
    </w:pPr>
    <w:rPr>
      <w:rFonts w:ascii="Arial" w:hAnsi="Arial" w:cs="Arial"/>
      <w:sz w:val="22"/>
    </w:rPr>
  </w:style>
  <w:style w:type="character" w:customStyle="1" w:styleId="hps">
    <w:name w:val="hps"/>
  </w:style>
  <w:style w:type="paragraph" w:customStyle="1" w:styleId="Normal6">
    <w:name w:val="Normal6"/>
    <w:basedOn w:val="Normal"/>
    <w:pPr>
      <w:widowControl w:val="0"/>
      <w:spacing w:before="0"/>
      <w:jc w:val="left"/>
    </w:pPr>
    <w:rPr>
      <w:szCs w:val="20"/>
    </w:rPr>
  </w:style>
  <w:style w:type="paragraph" w:customStyle="1" w:styleId="Normal12Hanging">
    <w:name w:val="Normal12Hanging"/>
    <w:basedOn w:val="Normal"/>
    <w:pPr>
      <w:widowControl w:val="0"/>
      <w:spacing w:before="0" w:after="240"/>
      <w:ind w:left="357" w:hanging="357"/>
      <w:jc w:val="left"/>
    </w:pPr>
    <w:rPr>
      <w:szCs w:val="20"/>
    </w:rPr>
  </w:style>
  <w:style w:type="character" w:styleId="Emphasis">
    <w:name w:val="Emphasis"/>
    <w:uiPriority w:val="20"/>
    <w:qFormat/>
    <w:rPr>
      <w:i/>
    </w:rPr>
  </w:style>
  <w:style w:type="paragraph" w:styleId="Revision">
    <w:name w:val="Revision"/>
    <w:hidden/>
    <w:uiPriority w:val="99"/>
    <w:semiHidden/>
    <w:rPr>
      <w:sz w:val="24"/>
      <w:szCs w:val="24"/>
    </w:rPr>
  </w:style>
  <w:style w:type="paragraph" w:styleId="NormalWeb">
    <w:name w:val="Normal (Web)"/>
    <w:basedOn w:val="Normal"/>
    <w:uiPriority w:val="99"/>
    <w:unhideWhenUsed/>
    <w:pPr>
      <w:spacing w:before="100" w:beforeAutospacing="1" w:after="100" w:afterAutospacing="1"/>
      <w:jc w:val="left"/>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uiPriority w:val="22"/>
    <w:qFormat/>
    <w:rPr>
      <w:rFonts w:ascii="open_sansbold" w:hAnsi="open_sansbold" w:hint="default"/>
      <w:b/>
      <w:bCs/>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customStyle="1" w:styleId="Considerant">
    <w:name w:val="Considerant"/>
    <w:basedOn w:val="Normal"/>
    <w:pPr>
      <w:autoSpaceDE w:val="0"/>
      <w:autoSpaceDN w:val="0"/>
      <w:adjustRightInd w:val="0"/>
      <w:spacing w:before="0" w:after="0"/>
      <w:ind w:left="709" w:hanging="709"/>
    </w:pPr>
  </w:style>
  <w:style w:type="character" w:styleId="FollowedHyperlink">
    <w:name w:val="FollowedHyperlink"/>
    <w:basedOn w:val="DefaultParagraphFont"/>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75544">
      <w:bodyDiv w:val="1"/>
      <w:marLeft w:val="0"/>
      <w:marRight w:val="0"/>
      <w:marTop w:val="0"/>
      <w:marBottom w:val="0"/>
      <w:divBdr>
        <w:top w:val="none" w:sz="0" w:space="0" w:color="auto"/>
        <w:left w:val="none" w:sz="0" w:space="0" w:color="auto"/>
        <w:bottom w:val="none" w:sz="0" w:space="0" w:color="auto"/>
        <w:right w:val="none" w:sz="0" w:space="0" w:color="auto"/>
      </w:divBdr>
    </w:div>
    <w:div w:id="403839333">
      <w:bodyDiv w:val="1"/>
      <w:marLeft w:val="0"/>
      <w:marRight w:val="0"/>
      <w:marTop w:val="0"/>
      <w:marBottom w:val="0"/>
      <w:divBdr>
        <w:top w:val="none" w:sz="0" w:space="0" w:color="auto"/>
        <w:left w:val="none" w:sz="0" w:space="0" w:color="auto"/>
        <w:bottom w:val="none" w:sz="0" w:space="0" w:color="auto"/>
        <w:right w:val="none" w:sz="0" w:space="0" w:color="auto"/>
      </w:divBdr>
    </w:div>
    <w:div w:id="1068529824">
      <w:bodyDiv w:val="1"/>
      <w:marLeft w:val="0"/>
      <w:marRight w:val="0"/>
      <w:marTop w:val="0"/>
      <w:marBottom w:val="0"/>
      <w:divBdr>
        <w:top w:val="none" w:sz="0" w:space="0" w:color="auto"/>
        <w:left w:val="none" w:sz="0" w:space="0" w:color="auto"/>
        <w:bottom w:val="none" w:sz="0" w:space="0" w:color="auto"/>
        <w:right w:val="none" w:sz="0" w:space="0" w:color="auto"/>
      </w:divBdr>
    </w:div>
    <w:div w:id="1086921379">
      <w:bodyDiv w:val="1"/>
      <w:marLeft w:val="0"/>
      <w:marRight w:val="0"/>
      <w:marTop w:val="0"/>
      <w:marBottom w:val="0"/>
      <w:divBdr>
        <w:top w:val="none" w:sz="0" w:space="0" w:color="auto"/>
        <w:left w:val="none" w:sz="0" w:space="0" w:color="auto"/>
        <w:bottom w:val="none" w:sz="0" w:space="0" w:color="auto"/>
        <w:right w:val="none" w:sz="0" w:space="0" w:color="auto"/>
      </w:divBdr>
    </w:div>
    <w:div w:id="1793551898">
      <w:marLeft w:val="0"/>
      <w:marRight w:val="0"/>
      <w:marTop w:val="0"/>
      <w:marBottom w:val="0"/>
      <w:divBdr>
        <w:top w:val="none" w:sz="0" w:space="0" w:color="auto"/>
        <w:left w:val="none" w:sz="0" w:space="0" w:color="auto"/>
        <w:bottom w:val="none" w:sz="0" w:space="0" w:color="auto"/>
        <w:right w:val="none" w:sz="0" w:space="0" w:color="auto"/>
      </w:divBdr>
      <w:divsChild>
        <w:div w:id="1793551923">
          <w:marLeft w:val="0"/>
          <w:marRight w:val="0"/>
          <w:marTop w:val="180"/>
          <w:marBottom w:val="0"/>
          <w:divBdr>
            <w:top w:val="none" w:sz="0" w:space="0" w:color="auto"/>
            <w:left w:val="none" w:sz="0" w:space="0" w:color="auto"/>
            <w:bottom w:val="none" w:sz="0" w:space="0" w:color="auto"/>
            <w:right w:val="none" w:sz="0" w:space="0" w:color="auto"/>
          </w:divBdr>
          <w:divsChild>
            <w:div w:id="1793551897">
              <w:marLeft w:val="0"/>
              <w:marRight w:val="0"/>
              <w:marTop w:val="0"/>
              <w:marBottom w:val="0"/>
              <w:divBdr>
                <w:top w:val="none" w:sz="0" w:space="0" w:color="auto"/>
                <w:left w:val="none" w:sz="0" w:space="0" w:color="auto"/>
                <w:bottom w:val="none" w:sz="0" w:space="0" w:color="auto"/>
                <w:right w:val="none" w:sz="0" w:space="0" w:color="auto"/>
              </w:divBdr>
              <w:divsChild>
                <w:div w:id="1793551901">
                  <w:marLeft w:val="0"/>
                  <w:marRight w:val="0"/>
                  <w:marTop w:val="0"/>
                  <w:marBottom w:val="0"/>
                  <w:divBdr>
                    <w:top w:val="none" w:sz="0" w:space="0" w:color="auto"/>
                    <w:left w:val="none" w:sz="0" w:space="0" w:color="auto"/>
                    <w:bottom w:val="none" w:sz="0" w:space="0" w:color="auto"/>
                    <w:right w:val="none" w:sz="0" w:space="0" w:color="auto"/>
                  </w:divBdr>
                  <w:divsChild>
                    <w:div w:id="1793551928">
                      <w:marLeft w:val="0"/>
                      <w:marRight w:val="0"/>
                      <w:marTop w:val="0"/>
                      <w:marBottom w:val="0"/>
                      <w:divBdr>
                        <w:top w:val="none" w:sz="0" w:space="0" w:color="auto"/>
                        <w:left w:val="none" w:sz="0" w:space="0" w:color="auto"/>
                        <w:bottom w:val="none" w:sz="0" w:space="0" w:color="auto"/>
                        <w:right w:val="none" w:sz="0" w:space="0" w:color="auto"/>
                      </w:divBdr>
                      <w:divsChild>
                        <w:div w:id="1793551936">
                          <w:marLeft w:val="2940"/>
                          <w:marRight w:val="0"/>
                          <w:marTop w:val="0"/>
                          <w:marBottom w:val="0"/>
                          <w:divBdr>
                            <w:top w:val="none" w:sz="0" w:space="0" w:color="auto"/>
                            <w:left w:val="none" w:sz="0" w:space="0" w:color="auto"/>
                            <w:bottom w:val="none" w:sz="0" w:space="0" w:color="auto"/>
                            <w:right w:val="none" w:sz="0" w:space="0" w:color="auto"/>
                          </w:divBdr>
                          <w:divsChild>
                            <w:div w:id="1793551940">
                              <w:marLeft w:val="0"/>
                              <w:marRight w:val="0"/>
                              <w:marTop w:val="0"/>
                              <w:marBottom w:val="0"/>
                              <w:divBdr>
                                <w:top w:val="none" w:sz="0" w:space="0" w:color="auto"/>
                                <w:left w:val="none" w:sz="0" w:space="0" w:color="auto"/>
                                <w:bottom w:val="none" w:sz="0" w:space="0" w:color="auto"/>
                                <w:right w:val="none" w:sz="0" w:space="0" w:color="auto"/>
                              </w:divBdr>
                              <w:divsChild>
                                <w:div w:id="17935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51899">
      <w:marLeft w:val="0"/>
      <w:marRight w:val="0"/>
      <w:marTop w:val="0"/>
      <w:marBottom w:val="0"/>
      <w:divBdr>
        <w:top w:val="none" w:sz="0" w:space="0" w:color="auto"/>
        <w:left w:val="none" w:sz="0" w:space="0" w:color="auto"/>
        <w:bottom w:val="none" w:sz="0" w:space="0" w:color="auto"/>
        <w:right w:val="none" w:sz="0" w:space="0" w:color="auto"/>
      </w:divBdr>
      <w:divsChild>
        <w:div w:id="1793551939">
          <w:marLeft w:val="0"/>
          <w:marRight w:val="0"/>
          <w:marTop w:val="0"/>
          <w:marBottom w:val="0"/>
          <w:divBdr>
            <w:top w:val="none" w:sz="0" w:space="0" w:color="auto"/>
            <w:left w:val="none" w:sz="0" w:space="0" w:color="auto"/>
            <w:bottom w:val="none" w:sz="0" w:space="0" w:color="auto"/>
            <w:right w:val="none" w:sz="0" w:space="0" w:color="auto"/>
          </w:divBdr>
          <w:divsChild>
            <w:div w:id="1793551931">
              <w:marLeft w:val="0"/>
              <w:marRight w:val="0"/>
              <w:marTop w:val="0"/>
              <w:marBottom w:val="0"/>
              <w:divBdr>
                <w:top w:val="none" w:sz="0" w:space="0" w:color="auto"/>
                <w:left w:val="none" w:sz="0" w:space="0" w:color="auto"/>
                <w:bottom w:val="none" w:sz="0" w:space="0" w:color="auto"/>
                <w:right w:val="none" w:sz="0" w:space="0" w:color="auto"/>
              </w:divBdr>
              <w:divsChild>
                <w:div w:id="1793551942">
                  <w:marLeft w:val="0"/>
                  <w:marRight w:val="0"/>
                  <w:marTop w:val="0"/>
                  <w:marBottom w:val="0"/>
                  <w:divBdr>
                    <w:top w:val="none" w:sz="0" w:space="0" w:color="auto"/>
                    <w:left w:val="none" w:sz="0" w:space="0" w:color="auto"/>
                    <w:bottom w:val="none" w:sz="0" w:space="0" w:color="auto"/>
                    <w:right w:val="none" w:sz="0" w:space="0" w:color="auto"/>
                  </w:divBdr>
                  <w:divsChild>
                    <w:div w:id="1793551914">
                      <w:marLeft w:val="0"/>
                      <w:marRight w:val="0"/>
                      <w:marTop w:val="0"/>
                      <w:marBottom w:val="0"/>
                      <w:divBdr>
                        <w:top w:val="none" w:sz="0" w:space="0" w:color="auto"/>
                        <w:left w:val="none" w:sz="0" w:space="0" w:color="auto"/>
                        <w:bottom w:val="none" w:sz="0" w:space="0" w:color="auto"/>
                        <w:right w:val="none" w:sz="0" w:space="0" w:color="auto"/>
                      </w:divBdr>
                      <w:divsChild>
                        <w:div w:id="17935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551905">
      <w:marLeft w:val="0"/>
      <w:marRight w:val="0"/>
      <w:marTop w:val="0"/>
      <w:marBottom w:val="0"/>
      <w:divBdr>
        <w:top w:val="none" w:sz="0" w:space="0" w:color="auto"/>
        <w:left w:val="none" w:sz="0" w:space="0" w:color="auto"/>
        <w:bottom w:val="none" w:sz="0" w:space="0" w:color="auto"/>
        <w:right w:val="none" w:sz="0" w:space="0" w:color="auto"/>
      </w:divBdr>
      <w:divsChild>
        <w:div w:id="1793551918">
          <w:marLeft w:val="0"/>
          <w:marRight w:val="0"/>
          <w:marTop w:val="0"/>
          <w:marBottom w:val="0"/>
          <w:divBdr>
            <w:top w:val="none" w:sz="0" w:space="0" w:color="auto"/>
            <w:left w:val="none" w:sz="0" w:space="0" w:color="auto"/>
            <w:bottom w:val="none" w:sz="0" w:space="0" w:color="auto"/>
            <w:right w:val="none" w:sz="0" w:space="0" w:color="auto"/>
          </w:divBdr>
          <w:divsChild>
            <w:div w:id="1793551944">
              <w:marLeft w:val="0"/>
              <w:marRight w:val="0"/>
              <w:marTop w:val="0"/>
              <w:marBottom w:val="0"/>
              <w:divBdr>
                <w:top w:val="none" w:sz="0" w:space="0" w:color="auto"/>
                <w:left w:val="none" w:sz="0" w:space="0" w:color="auto"/>
                <w:bottom w:val="none" w:sz="0" w:space="0" w:color="auto"/>
                <w:right w:val="none" w:sz="0" w:space="0" w:color="auto"/>
              </w:divBdr>
              <w:divsChild>
                <w:div w:id="1793551927">
                  <w:marLeft w:val="0"/>
                  <w:marRight w:val="0"/>
                  <w:marTop w:val="0"/>
                  <w:marBottom w:val="0"/>
                  <w:divBdr>
                    <w:top w:val="none" w:sz="0" w:space="0" w:color="auto"/>
                    <w:left w:val="none" w:sz="0" w:space="0" w:color="auto"/>
                    <w:bottom w:val="none" w:sz="0" w:space="0" w:color="auto"/>
                    <w:right w:val="none" w:sz="0" w:space="0" w:color="auto"/>
                  </w:divBdr>
                  <w:divsChild>
                    <w:div w:id="1793551900">
                      <w:marLeft w:val="0"/>
                      <w:marRight w:val="0"/>
                      <w:marTop w:val="0"/>
                      <w:marBottom w:val="0"/>
                      <w:divBdr>
                        <w:top w:val="none" w:sz="0" w:space="0" w:color="auto"/>
                        <w:left w:val="none" w:sz="0" w:space="0" w:color="auto"/>
                        <w:bottom w:val="none" w:sz="0" w:space="0" w:color="auto"/>
                        <w:right w:val="none" w:sz="0" w:space="0" w:color="auto"/>
                      </w:divBdr>
                      <w:divsChild>
                        <w:div w:id="17935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551910">
      <w:marLeft w:val="0"/>
      <w:marRight w:val="0"/>
      <w:marTop w:val="0"/>
      <w:marBottom w:val="0"/>
      <w:divBdr>
        <w:top w:val="none" w:sz="0" w:space="0" w:color="auto"/>
        <w:left w:val="none" w:sz="0" w:space="0" w:color="auto"/>
        <w:bottom w:val="none" w:sz="0" w:space="0" w:color="auto"/>
        <w:right w:val="none" w:sz="0" w:space="0" w:color="auto"/>
      </w:divBdr>
      <w:divsChild>
        <w:div w:id="1793551929">
          <w:marLeft w:val="0"/>
          <w:marRight w:val="0"/>
          <w:marTop w:val="0"/>
          <w:marBottom w:val="0"/>
          <w:divBdr>
            <w:top w:val="none" w:sz="0" w:space="0" w:color="auto"/>
            <w:left w:val="none" w:sz="0" w:space="0" w:color="auto"/>
            <w:bottom w:val="none" w:sz="0" w:space="0" w:color="auto"/>
            <w:right w:val="none" w:sz="0" w:space="0" w:color="auto"/>
          </w:divBdr>
          <w:divsChild>
            <w:div w:id="1793551933">
              <w:marLeft w:val="0"/>
              <w:marRight w:val="0"/>
              <w:marTop w:val="0"/>
              <w:marBottom w:val="0"/>
              <w:divBdr>
                <w:top w:val="none" w:sz="0" w:space="0" w:color="auto"/>
                <w:left w:val="none" w:sz="0" w:space="0" w:color="auto"/>
                <w:bottom w:val="none" w:sz="0" w:space="0" w:color="auto"/>
                <w:right w:val="none" w:sz="0" w:space="0" w:color="auto"/>
              </w:divBdr>
              <w:divsChild>
                <w:div w:id="1793551922">
                  <w:marLeft w:val="2955"/>
                  <w:marRight w:val="0"/>
                  <w:marTop w:val="0"/>
                  <w:marBottom w:val="0"/>
                  <w:divBdr>
                    <w:top w:val="none" w:sz="0" w:space="0" w:color="auto"/>
                    <w:left w:val="none" w:sz="0" w:space="0" w:color="auto"/>
                    <w:bottom w:val="none" w:sz="0" w:space="0" w:color="auto"/>
                    <w:right w:val="none" w:sz="0" w:space="0" w:color="auto"/>
                  </w:divBdr>
                  <w:divsChild>
                    <w:div w:id="1793551943">
                      <w:marLeft w:val="0"/>
                      <w:marRight w:val="0"/>
                      <w:marTop w:val="0"/>
                      <w:marBottom w:val="0"/>
                      <w:divBdr>
                        <w:top w:val="none" w:sz="0" w:space="0" w:color="auto"/>
                        <w:left w:val="none" w:sz="0" w:space="0" w:color="auto"/>
                        <w:bottom w:val="none" w:sz="0" w:space="0" w:color="auto"/>
                        <w:right w:val="none" w:sz="0" w:space="0" w:color="auto"/>
                      </w:divBdr>
                      <w:divsChild>
                        <w:div w:id="1793551915">
                          <w:marLeft w:val="0"/>
                          <w:marRight w:val="3300"/>
                          <w:marTop w:val="15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793551926">
      <w:marLeft w:val="0"/>
      <w:marRight w:val="0"/>
      <w:marTop w:val="0"/>
      <w:marBottom w:val="0"/>
      <w:divBdr>
        <w:top w:val="none" w:sz="0" w:space="0" w:color="auto"/>
        <w:left w:val="none" w:sz="0" w:space="0" w:color="auto"/>
        <w:bottom w:val="none" w:sz="0" w:space="0" w:color="auto"/>
        <w:right w:val="none" w:sz="0" w:space="0" w:color="auto"/>
      </w:divBdr>
      <w:divsChild>
        <w:div w:id="1793551920">
          <w:marLeft w:val="0"/>
          <w:marRight w:val="0"/>
          <w:marTop w:val="180"/>
          <w:marBottom w:val="0"/>
          <w:divBdr>
            <w:top w:val="none" w:sz="0" w:space="0" w:color="auto"/>
            <w:left w:val="none" w:sz="0" w:space="0" w:color="auto"/>
            <w:bottom w:val="none" w:sz="0" w:space="0" w:color="auto"/>
            <w:right w:val="none" w:sz="0" w:space="0" w:color="auto"/>
          </w:divBdr>
          <w:divsChild>
            <w:div w:id="1793551903">
              <w:marLeft w:val="0"/>
              <w:marRight w:val="0"/>
              <w:marTop w:val="0"/>
              <w:marBottom w:val="0"/>
              <w:divBdr>
                <w:top w:val="none" w:sz="0" w:space="0" w:color="auto"/>
                <w:left w:val="none" w:sz="0" w:space="0" w:color="auto"/>
                <w:bottom w:val="none" w:sz="0" w:space="0" w:color="auto"/>
                <w:right w:val="none" w:sz="0" w:space="0" w:color="auto"/>
              </w:divBdr>
              <w:divsChild>
                <w:div w:id="1793551917">
                  <w:marLeft w:val="0"/>
                  <w:marRight w:val="0"/>
                  <w:marTop w:val="0"/>
                  <w:marBottom w:val="0"/>
                  <w:divBdr>
                    <w:top w:val="none" w:sz="0" w:space="0" w:color="auto"/>
                    <w:left w:val="none" w:sz="0" w:space="0" w:color="auto"/>
                    <w:bottom w:val="none" w:sz="0" w:space="0" w:color="auto"/>
                    <w:right w:val="none" w:sz="0" w:space="0" w:color="auto"/>
                  </w:divBdr>
                  <w:divsChild>
                    <w:div w:id="1793551902">
                      <w:marLeft w:val="0"/>
                      <w:marRight w:val="0"/>
                      <w:marTop w:val="0"/>
                      <w:marBottom w:val="0"/>
                      <w:divBdr>
                        <w:top w:val="none" w:sz="0" w:space="0" w:color="auto"/>
                        <w:left w:val="none" w:sz="0" w:space="0" w:color="auto"/>
                        <w:bottom w:val="none" w:sz="0" w:space="0" w:color="auto"/>
                        <w:right w:val="none" w:sz="0" w:space="0" w:color="auto"/>
                      </w:divBdr>
                      <w:divsChild>
                        <w:div w:id="1793551913">
                          <w:marLeft w:val="2940"/>
                          <w:marRight w:val="0"/>
                          <w:marTop w:val="0"/>
                          <w:marBottom w:val="0"/>
                          <w:divBdr>
                            <w:top w:val="none" w:sz="0" w:space="0" w:color="auto"/>
                            <w:left w:val="none" w:sz="0" w:space="0" w:color="auto"/>
                            <w:bottom w:val="none" w:sz="0" w:space="0" w:color="auto"/>
                            <w:right w:val="none" w:sz="0" w:space="0" w:color="auto"/>
                          </w:divBdr>
                          <w:divsChild>
                            <w:div w:id="1793551937">
                              <w:marLeft w:val="0"/>
                              <w:marRight w:val="0"/>
                              <w:marTop w:val="0"/>
                              <w:marBottom w:val="0"/>
                              <w:divBdr>
                                <w:top w:val="none" w:sz="0" w:space="0" w:color="auto"/>
                                <w:left w:val="none" w:sz="0" w:space="0" w:color="auto"/>
                                <w:bottom w:val="none" w:sz="0" w:space="0" w:color="auto"/>
                                <w:right w:val="none" w:sz="0" w:space="0" w:color="auto"/>
                              </w:divBdr>
                              <w:divsChild>
                                <w:div w:id="17935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51932">
      <w:marLeft w:val="0"/>
      <w:marRight w:val="0"/>
      <w:marTop w:val="0"/>
      <w:marBottom w:val="0"/>
      <w:divBdr>
        <w:top w:val="none" w:sz="0" w:space="0" w:color="auto"/>
        <w:left w:val="none" w:sz="0" w:space="0" w:color="auto"/>
        <w:bottom w:val="none" w:sz="0" w:space="0" w:color="auto"/>
        <w:right w:val="none" w:sz="0" w:space="0" w:color="auto"/>
      </w:divBdr>
      <w:divsChild>
        <w:div w:id="1793551907">
          <w:marLeft w:val="0"/>
          <w:marRight w:val="0"/>
          <w:marTop w:val="0"/>
          <w:marBottom w:val="0"/>
          <w:divBdr>
            <w:top w:val="none" w:sz="0" w:space="0" w:color="auto"/>
            <w:left w:val="none" w:sz="0" w:space="0" w:color="auto"/>
            <w:bottom w:val="none" w:sz="0" w:space="0" w:color="auto"/>
            <w:right w:val="none" w:sz="0" w:space="0" w:color="auto"/>
          </w:divBdr>
          <w:divsChild>
            <w:div w:id="1793551924">
              <w:marLeft w:val="0"/>
              <w:marRight w:val="0"/>
              <w:marTop w:val="0"/>
              <w:marBottom w:val="0"/>
              <w:divBdr>
                <w:top w:val="none" w:sz="0" w:space="0" w:color="auto"/>
                <w:left w:val="none" w:sz="0" w:space="0" w:color="auto"/>
                <w:bottom w:val="none" w:sz="0" w:space="0" w:color="auto"/>
                <w:right w:val="none" w:sz="0" w:space="0" w:color="auto"/>
              </w:divBdr>
              <w:divsChild>
                <w:div w:id="1793551908">
                  <w:marLeft w:val="2955"/>
                  <w:marRight w:val="0"/>
                  <w:marTop w:val="0"/>
                  <w:marBottom w:val="0"/>
                  <w:divBdr>
                    <w:top w:val="none" w:sz="0" w:space="0" w:color="auto"/>
                    <w:left w:val="none" w:sz="0" w:space="0" w:color="auto"/>
                    <w:bottom w:val="none" w:sz="0" w:space="0" w:color="auto"/>
                    <w:right w:val="none" w:sz="0" w:space="0" w:color="auto"/>
                  </w:divBdr>
                  <w:divsChild>
                    <w:div w:id="1793551919">
                      <w:marLeft w:val="0"/>
                      <w:marRight w:val="0"/>
                      <w:marTop w:val="0"/>
                      <w:marBottom w:val="0"/>
                      <w:divBdr>
                        <w:top w:val="none" w:sz="0" w:space="0" w:color="auto"/>
                        <w:left w:val="none" w:sz="0" w:space="0" w:color="auto"/>
                        <w:bottom w:val="none" w:sz="0" w:space="0" w:color="auto"/>
                        <w:right w:val="none" w:sz="0" w:space="0" w:color="auto"/>
                      </w:divBdr>
                      <w:divsChild>
                        <w:div w:id="1793551911">
                          <w:marLeft w:val="0"/>
                          <w:marRight w:val="3300"/>
                          <w:marTop w:val="15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793551934">
      <w:marLeft w:val="0"/>
      <w:marRight w:val="0"/>
      <w:marTop w:val="0"/>
      <w:marBottom w:val="0"/>
      <w:divBdr>
        <w:top w:val="none" w:sz="0" w:space="0" w:color="auto"/>
        <w:left w:val="none" w:sz="0" w:space="0" w:color="auto"/>
        <w:bottom w:val="none" w:sz="0" w:space="0" w:color="auto"/>
        <w:right w:val="none" w:sz="0" w:space="0" w:color="auto"/>
      </w:divBdr>
      <w:divsChild>
        <w:div w:id="1793551941">
          <w:marLeft w:val="0"/>
          <w:marRight w:val="0"/>
          <w:marTop w:val="180"/>
          <w:marBottom w:val="0"/>
          <w:divBdr>
            <w:top w:val="none" w:sz="0" w:space="0" w:color="auto"/>
            <w:left w:val="none" w:sz="0" w:space="0" w:color="auto"/>
            <w:bottom w:val="none" w:sz="0" w:space="0" w:color="auto"/>
            <w:right w:val="none" w:sz="0" w:space="0" w:color="auto"/>
          </w:divBdr>
          <w:divsChild>
            <w:div w:id="1793551925">
              <w:marLeft w:val="0"/>
              <w:marRight w:val="0"/>
              <w:marTop w:val="0"/>
              <w:marBottom w:val="0"/>
              <w:divBdr>
                <w:top w:val="none" w:sz="0" w:space="0" w:color="auto"/>
                <w:left w:val="none" w:sz="0" w:space="0" w:color="auto"/>
                <w:bottom w:val="none" w:sz="0" w:space="0" w:color="auto"/>
                <w:right w:val="none" w:sz="0" w:space="0" w:color="auto"/>
              </w:divBdr>
              <w:divsChild>
                <w:div w:id="1793551930">
                  <w:marLeft w:val="0"/>
                  <w:marRight w:val="0"/>
                  <w:marTop w:val="0"/>
                  <w:marBottom w:val="0"/>
                  <w:divBdr>
                    <w:top w:val="none" w:sz="0" w:space="0" w:color="auto"/>
                    <w:left w:val="none" w:sz="0" w:space="0" w:color="auto"/>
                    <w:bottom w:val="none" w:sz="0" w:space="0" w:color="auto"/>
                    <w:right w:val="none" w:sz="0" w:space="0" w:color="auto"/>
                  </w:divBdr>
                  <w:divsChild>
                    <w:div w:id="1793551921">
                      <w:marLeft w:val="0"/>
                      <w:marRight w:val="0"/>
                      <w:marTop w:val="0"/>
                      <w:marBottom w:val="0"/>
                      <w:divBdr>
                        <w:top w:val="none" w:sz="0" w:space="0" w:color="auto"/>
                        <w:left w:val="none" w:sz="0" w:space="0" w:color="auto"/>
                        <w:bottom w:val="none" w:sz="0" w:space="0" w:color="auto"/>
                        <w:right w:val="none" w:sz="0" w:space="0" w:color="auto"/>
                      </w:divBdr>
                      <w:divsChild>
                        <w:div w:id="1793551904">
                          <w:marLeft w:val="2940"/>
                          <w:marRight w:val="0"/>
                          <w:marTop w:val="0"/>
                          <w:marBottom w:val="0"/>
                          <w:divBdr>
                            <w:top w:val="none" w:sz="0" w:space="0" w:color="auto"/>
                            <w:left w:val="none" w:sz="0" w:space="0" w:color="auto"/>
                            <w:bottom w:val="none" w:sz="0" w:space="0" w:color="auto"/>
                            <w:right w:val="none" w:sz="0" w:space="0" w:color="auto"/>
                          </w:divBdr>
                          <w:divsChild>
                            <w:div w:id="1793551935">
                              <w:marLeft w:val="0"/>
                              <w:marRight w:val="0"/>
                              <w:marTop w:val="0"/>
                              <w:marBottom w:val="0"/>
                              <w:divBdr>
                                <w:top w:val="none" w:sz="0" w:space="0" w:color="auto"/>
                                <w:left w:val="none" w:sz="0" w:space="0" w:color="auto"/>
                                <w:bottom w:val="none" w:sz="0" w:space="0" w:color="auto"/>
                                <w:right w:val="none" w:sz="0" w:space="0" w:color="auto"/>
                              </w:divBdr>
                              <w:divsChild>
                                <w:div w:id="17935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793467">
      <w:bodyDiv w:val="1"/>
      <w:marLeft w:val="0"/>
      <w:marRight w:val="0"/>
      <w:marTop w:val="0"/>
      <w:marBottom w:val="0"/>
      <w:divBdr>
        <w:top w:val="none" w:sz="0" w:space="0" w:color="auto"/>
        <w:left w:val="none" w:sz="0" w:space="0" w:color="auto"/>
        <w:bottom w:val="none" w:sz="0" w:space="0" w:color="auto"/>
        <w:right w:val="none" w:sz="0" w:space="0" w:color="auto"/>
      </w:divBdr>
      <w:divsChild>
        <w:div w:id="1854804569">
          <w:marLeft w:val="0"/>
          <w:marRight w:val="0"/>
          <w:marTop w:val="0"/>
          <w:marBottom w:val="0"/>
          <w:divBdr>
            <w:top w:val="none" w:sz="0" w:space="0" w:color="auto"/>
            <w:left w:val="none" w:sz="0" w:space="0" w:color="auto"/>
            <w:bottom w:val="none" w:sz="0" w:space="0" w:color="auto"/>
            <w:right w:val="none" w:sz="0" w:space="0" w:color="auto"/>
          </w:divBdr>
          <w:divsChild>
            <w:div w:id="355081164">
              <w:marLeft w:val="0"/>
              <w:marRight w:val="0"/>
              <w:marTop w:val="0"/>
              <w:marBottom w:val="0"/>
              <w:divBdr>
                <w:top w:val="none" w:sz="0" w:space="0" w:color="auto"/>
                <w:left w:val="none" w:sz="0" w:space="0" w:color="auto"/>
                <w:bottom w:val="none" w:sz="0" w:space="0" w:color="auto"/>
                <w:right w:val="none" w:sz="0" w:space="0" w:color="auto"/>
              </w:divBdr>
              <w:divsChild>
                <w:div w:id="6351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C59F1-E7A3-49DA-AE41-8BCF49EC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32</Pages>
  <Words>10538</Words>
  <Characters>60916</Characters>
  <Application>Microsoft Office Word</Application>
  <DocSecurity>0</DocSecurity>
  <Lines>1740</Lines>
  <Paragraphs>643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70811</CharactersWithSpaces>
  <SharedDoc>false</SharedDoc>
  <HLinks>
    <vt:vector size="6" baseType="variant">
      <vt:variant>
        <vt:i4>7209039</vt:i4>
      </vt:variant>
      <vt:variant>
        <vt:i4>0</vt:i4>
      </vt:variant>
      <vt:variant>
        <vt:i4>0</vt:i4>
      </vt:variant>
      <vt:variant>
        <vt:i4>5</vt:i4>
      </vt:variant>
      <vt:variant>
        <vt:lpwstr>http://www.cc.cec/budg/man/budgmanag/budgmanag_en.html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2018-02-02T12:55:00Z</cp:lastPrinted>
  <dcterms:created xsi:type="dcterms:W3CDTF">2018-03-08T11:49:00Z</dcterms:created>
  <dcterms:modified xsi:type="dcterms:W3CDTF">2018-03-08T12:14:00Z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6.0, Build 20171009</vt:lpwstr>
  </property>
  <property fmtid="{D5CDD505-2E9C-101B-9397-08002B2CF9AE}" pid="5" name="Created using">
    <vt:lpwstr>LW 5.8.2, Build 20120919</vt:lpwstr>
  </property>
  <property fmtid="{D5CDD505-2E9C-101B-9397-08002B2CF9AE}" pid="6" name="LWTemplateID">
    <vt:lpwstr>SJ-025</vt:lpwstr>
  </property>
  <property fmtid="{D5CDD505-2E9C-101B-9397-08002B2CF9AE}" pid="7" name="Part">
    <vt:lpwstr>1</vt:lpwstr>
  </property>
  <property fmtid="{D5CDD505-2E9C-101B-9397-08002B2CF9AE}" pid="8" name="Total parts">
    <vt:lpwstr>1</vt:lpwstr>
  </property>
  <property fmtid="{D5CDD505-2E9C-101B-9397-08002B2CF9AE}" pid="9" name="Level of sensitivity">
    <vt:lpwstr>Standard treatment</vt:lpwstr>
  </property>
  <property fmtid="{D5CDD505-2E9C-101B-9397-08002B2CF9AE}" pid="10" name="DQCStatus">
    <vt:lpwstr>Green (DQC version 03)</vt:lpwstr>
  </property>
</Properties>
</file>