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A30FD29-72A0-42D3-B01E-521B86DF0022" style="width:450.4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lang w:val="mt-MT"/>
        </w:rPr>
      </w:pPr>
      <w:bookmarkStart w:id="0" w:name="_GoBack"/>
      <w:bookmarkEnd w:id="0"/>
      <w:r>
        <w:rPr>
          <w:noProof/>
        </w:rPr>
        <w:lastRenderedPageBreak/>
        <w:t>ANNEX</w:t>
      </w:r>
      <w:r>
        <w:rPr>
          <w:noProof/>
          <w:lang w:val="mt-MT"/>
        </w:rPr>
        <w:t xml:space="preserve"> </w:t>
      </w:r>
    </w:p>
    <w:tbl>
      <w:tblPr>
        <w:tblStyle w:val="TableGrid"/>
        <w:tblW w:w="0" w:type="auto"/>
        <w:tblLayout w:type="fixed"/>
        <w:tblLook w:val="04A0" w:firstRow="1" w:lastRow="0" w:firstColumn="1" w:lastColumn="0" w:noHBand="0" w:noVBand="1"/>
      </w:tblPr>
      <w:tblGrid>
        <w:gridCol w:w="817"/>
        <w:gridCol w:w="2693"/>
        <w:gridCol w:w="1701"/>
        <w:gridCol w:w="2268"/>
        <w:gridCol w:w="1810"/>
      </w:tblGrid>
      <w:tr>
        <w:tc>
          <w:tcPr>
            <w:tcW w:w="817" w:type="dxa"/>
          </w:tcPr>
          <w:p>
            <w:pPr>
              <w:rPr>
                <w:noProof/>
              </w:rPr>
            </w:pPr>
            <w:r>
              <w:rPr>
                <w:noProof/>
              </w:rPr>
              <w:t xml:space="preserve">Proposal </w:t>
            </w:r>
          </w:p>
        </w:tc>
        <w:tc>
          <w:tcPr>
            <w:tcW w:w="2693" w:type="dxa"/>
          </w:tcPr>
          <w:p>
            <w:pPr>
              <w:rPr>
                <w:noProof/>
              </w:rPr>
            </w:pPr>
            <w:r>
              <w:rPr>
                <w:noProof/>
              </w:rPr>
              <w:t xml:space="preserve">Reference document </w:t>
            </w:r>
          </w:p>
        </w:tc>
        <w:tc>
          <w:tcPr>
            <w:tcW w:w="1701" w:type="dxa"/>
          </w:tcPr>
          <w:p>
            <w:pPr>
              <w:rPr>
                <w:noProof/>
              </w:rPr>
            </w:pPr>
            <w:r>
              <w:rPr>
                <w:noProof/>
              </w:rPr>
              <w:t xml:space="preserve">Issue </w:t>
            </w:r>
          </w:p>
        </w:tc>
        <w:tc>
          <w:tcPr>
            <w:tcW w:w="2268" w:type="dxa"/>
          </w:tcPr>
          <w:p>
            <w:pPr>
              <w:rPr>
                <w:noProof/>
              </w:rPr>
            </w:pPr>
            <w:r>
              <w:rPr>
                <w:noProof/>
              </w:rPr>
              <w:t xml:space="preserve">Comments </w:t>
            </w:r>
          </w:p>
        </w:tc>
        <w:tc>
          <w:tcPr>
            <w:tcW w:w="1810" w:type="dxa"/>
          </w:tcPr>
          <w:p>
            <w:pPr>
              <w:rPr>
                <w:noProof/>
              </w:rPr>
            </w:pPr>
            <w:r>
              <w:rPr>
                <w:noProof/>
              </w:rPr>
              <w:t>Union position</w:t>
            </w:r>
          </w:p>
        </w:tc>
      </w:tr>
      <w:tr>
        <w:tc>
          <w:tcPr>
            <w:tcW w:w="817" w:type="dxa"/>
          </w:tcPr>
          <w:p>
            <w:pPr>
              <w:rPr>
                <w:noProof/>
                <w:szCs w:val="24"/>
              </w:rPr>
            </w:pPr>
            <w:r>
              <w:rPr>
                <w:noProof/>
                <w:szCs w:val="24"/>
              </w:rPr>
              <w:t>1</w:t>
            </w:r>
          </w:p>
        </w:tc>
        <w:tc>
          <w:tcPr>
            <w:tcW w:w="2693" w:type="dxa"/>
          </w:tcPr>
          <w:p>
            <w:pPr>
              <w:rPr>
                <w:noProof/>
                <w:szCs w:val="24"/>
              </w:rPr>
            </w:pPr>
            <w:r>
              <w:rPr>
                <w:noProof/>
                <w:szCs w:val="24"/>
              </w:rPr>
              <w:t>OTIF/RID/CE/GTP/2017/1</w:t>
            </w:r>
          </w:p>
        </w:tc>
        <w:tc>
          <w:tcPr>
            <w:tcW w:w="1701" w:type="dxa"/>
          </w:tcPr>
          <w:p>
            <w:pPr>
              <w:rPr>
                <w:noProof/>
                <w:szCs w:val="24"/>
              </w:rPr>
            </w:pPr>
            <w:r>
              <w:rPr>
                <w:rFonts w:eastAsia="Times New Roman"/>
                <w:noProof/>
                <w:szCs w:val="24"/>
                <w:lang w:eastAsia="en-GB"/>
              </w:rPr>
              <w:t>Hazard identification number for UN numbers 3166 and 3171</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 xml:space="preserve">Agree with the amendments. </w:t>
            </w:r>
          </w:p>
        </w:tc>
      </w:tr>
      <w:tr>
        <w:tc>
          <w:tcPr>
            <w:tcW w:w="817" w:type="dxa"/>
          </w:tcPr>
          <w:p>
            <w:pPr>
              <w:rPr>
                <w:noProof/>
                <w:szCs w:val="24"/>
              </w:rPr>
            </w:pPr>
            <w:r>
              <w:rPr>
                <w:noProof/>
                <w:szCs w:val="24"/>
              </w:rPr>
              <w:t>2</w:t>
            </w:r>
          </w:p>
        </w:tc>
        <w:tc>
          <w:tcPr>
            <w:tcW w:w="2693" w:type="dxa"/>
          </w:tcPr>
          <w:p>
            <w:pPr>
              <w:rPr>
                <w:noProof/>
                <w:szCs w:val="24"/>
              </w:rPr>
            </w:pPr>
            <w:r>
              <w:rPr>
                <w:noProof/>
                <w:szCs w:val="24"/>
              </w:rPr>
              <w:t>OTIF/RID/CE/GTP/2017/3</w:t>
            </w:r>
          </w:p>
        </w:tc>
        <w:tc>
          <w:tcPr>
            <w:tcW w:w="1701" w:type="dxa"/>
          </w:tcPr>
          <w:p>
            <w:pPr>
              <w:rPr>
                <w:rFonts w:eastAsia="Times New Roman"/>
                <w:noProof/>
                <w:szCs w:val="24"/>
                <w:lang w:eastAsia="en-GB"/>
              </w:rPr>
            </w:pPr>
            <w:r>
              <w:rPr>
                <w:rFonts w:eastAsia="Times New Roman"/>
                <w:noProof/>
                <w:szCs w:val="24"/>
                <w:lang w:eastAsia="en-GB"/>
              </w:rPr>
              <w:t>Carriage of dangerous goods as hand luggage or registered luggage</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w:t>
            </w:r>
          </w:p>
        </w:tc>
      </w:tr>
      <w:tr>
        <w:tc>
          <w:tcPr>
            <w:tcW w:w="817" w:type="dxa"/>
          </w:tcPr>
          <w:p>
            <w:pPr>
              <w:rPr>
                <w:noProof/>
                <w:szCs w:val="24"/>
              </w:rPr>
            </w:pPr>
            <w:r>
              <w:rPr>
                <w:noProof/>
                <w:szCs w:val="24"/>
              </w:rPr>
              <w:t>3</w:t>
            </w:r>
          </w:p>
        </w:tc>
        <w:tc>
          <w:tcPr>
            <w:tcW w:w="2693" w:type="dxa"/>
          </w:tcPr>
          <w:p>
            <w:pPr>
              <w:rPr>
                <w:noProof/>
                <w:szCs w:val="24"/>
              </w:rPr>
            </w:pPr>
            <w:r>
              <w:rPr>
                <w:noProof/>
                <w:szCs w:val="24"/>
              </w:rPr>
              <w:t>OTIF/RID/CE/GTP/2017/5</w:t>
            </w:r>
          </w:p>
        </w:tc>
        <w:tc>
          <w:tcPr>
            <w:tcW w:w="1701" w:type="dxa"/>
          </w:tcPr>
          <w:p>
            <w:pPr>
              <w:rPr>
                <w:rFonts w:eastAsia="Times New Roman"/>
                <w:noProof/>
                <w:szCs w:val="24"/>
                <w:lang w:eastAsia="en-GB"/>
              </w:rPr>
            </w:pPr>
            <w:r>
              <w:rPr>
                <w:rFonts w:eastAsia="Times New Roman"/>
                <w:noProof/>
                <w:szCs w:val="24"/>
                <w:lang w:eastAsia="en-GB"/>
              </w:rPr>
              <w:t>102nd session of WP.15 (Geneva, 8–12 May 2017)</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rPr>
            </w:pPr>
            <w:r>
              <w:rPr>
                <w:noProof/>
                <w:szCs w:val="24"/>
              </w:rPr>
              <w:t>4</w:t>
            </w:r>
          </w:p>
        </w:tc>
        <w:tc>
          <w:tcPr>
            <w:tcW w:w="2693" w:type="dxa"/>
          </w:tcPr>
          <w:p>
            <w:pPr>
              <w:rPr>
                <w:noProof/>
                <w:szCs w:val="24"/>
                <w:lang w:val="fr-BE"/>
              </w:rPr>
            </w:pPr>
            <w:r>
              <w:rPr>
                <w:noProof/>
                <w:szCs w:val="24"/>
                <w:lang w:val="fr-BE"/>
              </w:rPr>
              <w:t>OTIF/RID/CE/GTP/2017/7/Rev.1</w:t>
            </w:r>
          </w:p>
        </w:tc>
        <w:tc>
          <w:tcPr>
            <w:tcW w:w="1701" w:type="dxa"/>
          </w:tcPr>
          <w:p>
            <w:pPr>
              <w:rPr>
                <w:rFonts w:eastAsia="Times New Roman"/>
                <w:noProof/>
                <w:szCs w:val="24"/>
                <w:lang w:eastAsia="en-GB"/>
              </w:rPr>
            </w:pPr>
            <w:r>
              <w:rPr>
                <w:rFonts w:eastAsia="Times New Roman"/>
                <w:noProof/>
                <w:szCs w:val="24"/>
                <w:lang w:eastAsia="en-GB"/>
              </w:rPr>
              <w:t>Draft list of corrections 2 to the 2017 edition of RID</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rPr>
            </w:pPr>
            <w:r>
              <w:rPr>
                <w:noProof/>
                <w:szCs w:val="24"/>
              </w:rPr>
              <w:t>5</w:t>
            </w:r>
          </w:p>
        </w:tc>
        <w:tc>
          <w:tcPr>
            <w:tcW w:w="2693" w:type="dxa"/>
          </w:tcPr>
          <w:p>
            <w:pPr>
              <w:rPr>
                <w:noProof/>
                <w:szCs w:val="24"/>
                <w:lang w:val="fr-BE"/>
              </w:rPr>
            </w:pPr>
            <w:r>
              <w:rPr>
                <w:noProof/>
                <w:szCs w:val="24"/>
                <w:lang w:val="fr-BE"/>
              </w:rPr>
              <w:t>OTIF/RID/CE/GTP/2017/8</w:t>
            </w:r>
          </w:p>
        </w:tc>
        <w:tc>
          <w:tcPr>
            <w:tcW w:w="1701" w:type="dxa"/>
          </w:tcPr>
          <w:p>
            <w:pPr>
              <w:rPr>
                <w:rFonts w:eastAsia="Times New Roman"/>
                <w:noProof/>
                <w:szCs w:val="24"/>
                <w:lang w:eastAsia="en-GB"/>
              </w:rPr>
            </w:pPr>
            <w:r>
              <w:rPr>
                <w:rFonts w:eastAsia="Times New Roman"/>
                <w:noProof/>
                <w:szCs w:val="24"/>
                <w:lang w:eastAsia="en-GB"/>
              </w:rPr>
              <w:t>Informal working group on checklists for the filling and emptying of liquefied gas tank-wagons (Florence 11-13 July 2017)</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rPr>
            </w:pPr>
            <w:r>
              <w:rPr>
                <w:noProof/>
                <w:szCs w:val="24"/>
              </w:rPr>
              <w:t>6</w:t>
            </w:r>
          </w:p>
        </w:tc>
        <w:tc>
          <w:tcPr>
            <w:tcW w:w="2693" w:type="dxa"/>
          </w:tcPr>
          <w:p>
            <w:pPr>
              <w:rPr>
                <w:noProof/>
                <w:szCs w:val="24"/>
                <w:lang w:val="fr-BE"/>
              </w:rPr>
            </w:pPr>
            <w:r>
              <w:rPr>
                <w:noProof/>
                <w:szCs w:val="24"/>
                <w:lang w:val="fr-BE"/>
              </w:rPr>
              <w:t>OTIF/RID/CE/GTP/2017/15</w:t>
            </w:r>
          </w:p>
        </w:tc>
        <w:tc>
          <w:tcPr>
            <w:tcW w:w="1701" w:type="dxa"/>
          </w:tcPr>
          <w:p>
            <w:pPr>
              <w:rPr>
                <w:rFonts w:eastAsia="Times New Roman"/>
                <w:noProof/>
                <w:szCs w:val="24"/>
                <w:lang w:eastAsia="en-GB"/>
              </w:rPr>
            </w:pPr>
            <w:r>
              <w:rPr>
                <w:rFonts w:eastAsia="Times New Roman"/>
                <w:noProof/>
                <w:szCs w:val="24"/>
                <w:lang w:eastAsia="en-GB"/>
              </w:rPr>
              <w:t xml:space="preserve">Consolidated texts adopted by the Joint Meeting in 2016 and 2017 and by the RID Committee of Experts’ standing working group </w:t>
            </w:r>
            <w:r>
              <w:rPr>
                <w:rFonts w:eastAsia="Times New Roman"/>
                <w:noProof/>
                <w:szCs w:val="24"/>
                <w:lang w:eastAsia="en-GB"/>
              </w:rPr>
              <w:lastRenderedPageBreak/>
              <w:t>in November 2016.</w:t>
            </w:r>
          </w:p>
        </w:tc>
        <w:tc>
          <w:tcPr>
            <w:tcW w:w="2268" w:type="dxa"/>
          </w:tcPr>
          <w:p>
            <w:pPr>
              <w:rPr>
                <w:noProof/>
                <w:szCs w:val="24"/>
              </w:rPr>
            </w:pPr>
            <w:r>
              <w:rPr>
                <w:noProof/>
                <w:szCs w:val="24"/>
              </w:rPr>
              <w:lastRenderedPageBreak/>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rPr>
            </w:pPr>
            <w:r>
              <w:rPr>
                <w:noProof/>
                <w:szCs w:val="24"/>
              </w:rPr>
              <w:lastRenderedPageBreak/>
              <w:t>7</w:t>
            </w:r>
          </w:p>
        </w:tc>
        <w:tc>
          <w:tcPr>
            <w:tcW w:w="2693" w:type="dxa"/>
          </w:tcPr>
          <w:p>
            <w:pPr>
              <w:rPr>
                <w:noProof/>
                <w:szCs w:val="24"/>
              </w:rPr>
            </w:pPr>
            <w:r>
              <w:rPr>
                <w:noProof/>
                <w:szCs w:val="24"/>
              </w:rPr>
              <w:t>Idem</w:t>
            </w:r>
          </w:p>
        </w:tc>
        <w:tc>
          <w:tcPr>
            <w:tcW w:w="1701" w:type="dxa"/>
          </w:tcPr>
          <w:p>
            <w:pPr>
              <w:rPr>
                <w:rFonts w:eastAsia="Times New Roman"/>
                <w:noProof/>
                <w:szCs w:val="24"/>
                <w:lang w:eastAsia="en-GB"/>
              </w:rPr>
            </w:pPr>
            <w:r>
              <w:rPr>
                <w:rFonts w:eastAsia="Times New Roman"/>
                <w:noProof/>
                <w:szCs w:val="24"/>
                <w:lang w:eastAsia="en-GB"/>
              </w:rPr>
              <w:t>Amendments left for further examination by the Standing Working Group</w:t>
            </w:r>
          </w:p>
        </w:tc>
        <w:tc>
          <w:tcPr>
            <w:tcW w:w="2268" w:type="dxa"/>
          </w:tcPr>
          <w:p>
            <w:pPr>
              <w:rPr>
                <w:noProof/>
                <w:szCs w:val="24"/>
              </w:rPr>
            </w:pPr>
            <w:r>
              <w:rPr>
                <w:noProof/>
                <w:szCs w:val="24"/>
              </w:rPr>
              <w:t xml:space="preserve">- </w:t>
            </w:r>
          </w:p>
        </w:tc>
        <w:tc>
          <w:tcPr>
            <w:tcW w:w="1810" w:type="dxa"/>
          </w:tcPr>
          <w:p>
            <w:pPr>
              <w:rPr>
                <w:noProof/>
                <w:szCs w:val="24"/>
              </w:rPr>
            </w:pPr>
            <w:r>
              <w:rPr>
                <w:noProof/>
                <w:szCs w:val="24"/>
              </w:rPr>
              <w:t>-</w:t>
            </w:r>
          </w:p>
        </w:tc>
      </w:tr>
      <w:tr>
        <w:tc>
          <w:tcPr>
            <w:tcW w:w="817" w:type="dxa"/>
          </w:tcPr>
          <w:p>
            <w:pPr>
              <w:rPr>
                <w:noProof/>
                <w:szCs w:val="24"/>
              </w:rPr>
            </w:pPr>
            <w:r>
              <w:rPr>
                <w:noProof/>
                <w:szCs w:val="24"/>
              </w:rPr>
              <w:t>8</w:t>
            </w:r>
          </w:p>
        </w:tc>
        <w:tc>
          <w:tcPr>
            <w:tcW w:w="2693" w:type="dxa"/>
          </w:tcPr>
          <w:p>
            <w:pPr>
              <w:rPr>
                <w:noProof/>
                <w:szCs w:val="24"/>
              </w:rPr>
            </w:pPr>
            <w:r>
              <w:rPr>
                <w:noProof/>
                <w:szCs w:val="24"/>
              </w:rPr>
              <w:t>Idem</w:t>
            </w:r>
          </w:p>
        </w:tc>
        <w:tc>
          <w:tcPr>
            <w:tcW w:w="1701" w:type="dxa"/>
          </w:tcPr>
          <w:p>
            <w:pPr>
              <w:rPr>
                <w:rFonts w:eastAsia="Times New Roman"/>
                <w:noProof/>
                <w:szCs w:val="24"/>
                <w:lang w:eastAsia="en-GB"/>
              </w:rPr>
            </w:pPr>
            <w:r>
              <w:rPr>
                <w:rFonts w:eastAsia="Times New Roman"/>
                <w:noProof/>
                <w:szCs w:val="24"/>
                <w:lang w:eastAsia="en-GB"/>
              </w:rPr>
              <w:t>Those calling for a common view from the UNECE – OTIF Joint Meeting</w:t>
            </w:r>
          </w:p>
        </w:tc>
        <w:tc>
          <w:tcPr>
            <w:tcW w:w="2268" w:type="dxa"/>
          </w:tcPr>
          <w:p>
            <w:pPr>
              <w:rPr>
                <w:noProof/>
                <w:szCs w:val="24"/>
              </w:rPr>
            </w:pPr>
            <w:r>
              <w:rPr>
                <w:noProof/>
                <w:szCs w:val="24"/>
              </w:rPr>
              <w:t>Efficient multimodal transport needs to be facilitated</w:t>
            </w:r>
          </w:p>
        </w:tc>
        <w:tc>
          <w:tcPr>
            <w:tcW w:w="1810" w:type="dxa"/>
          </w:tcPr>
          <w:p>
            <w:pPr>
              <w:rPr>
                <w:noProof/>
                <w:szCs w:val="24"/>
              </w:rPr>
            </w:pPr>
            <w:r>
              <w:rPr>
                <w:noProof/>
                <w:szCs w:val="24"/>
              </w:rPr>
              <w:t>Agree with the amendment as recommended by the Joint Meeting</w:t>
            </w:r>
          </w:p>
        </w:tc>
      </w:tr>
      <w:tr>
        <w:tc>
          <w:tcPr>
            <w:tcW w:w="817" w:type="dxa"/>
          </w:tcPr>
          <w:p>
            <w:pPr>
              <w:rPr>
                <w:noProof/>
                <w:szCs w:val="24"/>
              </w:rPr>
            </w:pPr>
            <w:r>
              <w:rPr>
                <w:noProof/>
                <w:szCs w:val="24"/>
              </w:rPr>
              <w:t>9</w:t>
            </w:r>
          </w:p>
        </w:tc>
        <w:tc>
          <w:tcPr>
            <w:tcW w:w="2693" w:type="dxa"/>
          </w:tcPr>
          <w:p>
            <w:pPr>
              <w:rPr>
                <w:noProof/>
                <w:szCs w:val="24"/>
                <w:lang w:val="fr-BE"/>
              </w:rPr>
            </w:pPr>
            <w:r>
              <w:rPr>
                <w:noProof/>
                <w:szCs w:val="24"/>
                <w:lang w:val="fr-BE"/>
              </w:rPr>
              <w:t>OTIF/RID/CE/GTP/2017/INF.8</w:t>
            </w:r>
          </w:p>
        </w:tc>
        <w:tc>
          <w:tcPr>
            <w:tcW w:w="1701" w:type="dxa"/>
          </w:tcPr>
          <w:p>
            <w:pPr>
              <w:rPr>
                <w:rFonts w:eastAsia="Times New Roman"/>
                <w:noProof/>
                <w:szCs w:val="24"/>
                <w:lang w:eastAsia="en-GB"/>
              </w:rPr>
            </w:pPr>
            <w:r>
              <w:rPr>
                <w:rFonts w:eastAsia="Times New Roman"/>
                <w:noProof/>
                <w:szCs w:val="24"/>
                <w:lang w:eastAsia="en-GB"/>
              </w:rPr>
              <w:t>Duplicated indents in 4.3.3.5.</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rPr>
            </w:pPr>
            <w:r>
              <w:rPr>
                <w:noProof/>
                <w:szCs w:val="24"/>
              </w:rPr>
              <w:t>10</w:t>
            </w:r>
          </w:p>
        </w:tc>
        <w:tc>
          <w:tcPr>
            <w:tcW w:w="2693" w:type="dxa"/>
          </w:tcPr>
          <w:p>
            <w:pPr>
              <w:rPr>
                <w:noProof/>
                <w:szCs w:val="24"/>
                <w:lang w:val="fr-BE"/>
              </w:rPr>
            </w:pPr>
            <w:r>
              <w:rPr>
                <w:noProof/>
                <w:szCs w:val="24"/>
                <w:lang w:val="fr-BE"/>
              </w:rPr>
              <w:t>OTIF/RID/CE/GTP/2017/INF.10</w:t>
            </w:r>
          </w:p>
        </w:tc>
        <w:tc>
          <w:tcPr>
            <w:tcW w:w="1701" w:type="dxa"/>
          </w:tcPr>
          <w:p>
            <w:pPr>
              <w:rPr>
                <w:rFonts w:eastAsia="Times New Roman"/>
                <w:noProof/>
                <w:szCs w:val="24"/>
                <w:lang w:val="fr-BE" w:eastAsia="en-GB"/>
              </w:rPr>
            </w:pPr>
            <w:r>
              <w:rPr>
                <w:rFonts w:eastAsia="Times New Roman"/>
                <w:noProof/>
                <w:szCs w:val="24"/>
                <w:lang w:eastAsia="en-GB"/>
              </w:rPr>
              <w:t>Transitional provisions</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rPr>
            </w:pPr>
            <w:r>
              <w:rPr>
                <w:noProof/>
                <w:szCs w:val="24"/>
              </w:rPr>
              <w:t>11</w:t>
            </w:r>
          </w:p>
        </w:tc>
        <w:tc>
          <w:tcPr>
            <w:tcW w:w="2693" w:type="dxa"/>
          </w:tcPr>
          <w:p>
            <w:pPr>
              <w:rPr>
                <w:noProof/>
                <w:szCs w:val="24"/>
                <w:lang w:val="fr-BE"/>
              </w:rPr>
            </w:pPr>
            <w:r>
              <w:rPr>
                <w:noProof/>
                <w:szCs w:val="24"/>
                <w:lang w:val="fr-BE"/>
              </w:rPr>
              <w:t>OTIF/RID/CE/GTP/2017/INF.12</w:t>
            </w:r>
          </w:p>
        </w:tc>
        <w:tc>
          <w:tcPr>
            <w:tcW w:w="1701" w:type="dxa"/>
          </w:tcPr>
          <w:p>
            <w:pPr>
              <w:rPr>
                <w:rFonts w:eastAsia="Times New Roman"/>
                <w:noProof/>
                <w:szCs w:val="24"/>
                <w:lang w:eastAsia="en-GB"/>
              </w:rPr>
            </w:pPr>
            <w:r>
              <w:rPr>
                <w:rFonts w:eastAsia="Times New Roman"/>
                <w:noProof/>
                <w:szCs w:val="24"/>
                <w:lang w:eastAsia="en-GB"/>
              </w:rPr>
              <w:t>Proposed amendment to 2.1.3.5.5 in document OTIF/RID/CE/GTP/2017/15</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r>
        <w:tc>
          <w:tcPr>
            <w:tcW w:w="817" w:type="dxa"/>
          </w:tcPr>
          <w:p>
            <w:pPr>
              <w:rPr>
                <w:noProof/>
                <w:szCs w:val="24"/>
                <w:highlight w:val="yellow"/>
              </w:rPr>
            </w:pPr>
            <w:r>
              <w:rPr>
                <w:noProof/>
                <w:szCs w:val="24"/>
              </w:rPr>
              <w:t>12</w:t>
            </w:r>
          </w:p>
        </w:tc>
        <w:tc>
          <w:tcPr>
            <w:tcW w:w="2693" w:type="dxa"/>
          </w:tcPr>
          <w:p>
            <w:pPr>
              <w:rPr>
                <w:noProof/>
                <w:szCs w:val="24"/>
                <w:lang w:val="fr-BE"/>
              </w:rPr>
            </w:pPr>
            <w:r>
              <w:rPr>
                <w:noProof/>
                <w:szCs w:val="24"/>
                <w:lang w:val="fr-BE"/>
              </w:rPr>
              <w:t>OTIF/RID/CE/GTP/2017/INF.16</w:t>
            </w:r>
          </w:p>
        </w:tc>
        <w:tc>
          <w:tcPr>
            <w:tcW w:w="1701" w:type="dxa"/>
          </w:tcPr>
          <w:p>
            <w:pPr>
              <w:rPr>
                <w:rFonts w:eastAsia="Times New Roman"/>
                <w:noProof/>
                <w:szCs w:val="24"/>
                <w:lang w:eastAsia="en-GB"/>
              </w:rPr>
            </w:pPr>
            <w:r>
              <w:rPr>
                <w:rFonts w:eastAsia="Times New Roman"/>
                <w:noProof/>
                <w:szCs w:val="24"/>
                <w:lang w:eastAsia="en-GB"/>
              </w:rPr>
              <w:t>103rd session of WP.15 (Geneva, 6 – 10 November 2017)</w:t>
            </w:r>
          </w:p>
        </w:tc>
        <w:tc>
          <w:tcPr>
            <w:tcW w:w="2268" w:type="dxa"/>
          </w:tcPr>
          <w:p>
            <w:pPr>
              <w:rPr>
                <w:noProof/>
                <w:szCs w:val="24"/>
              </w:rPr>
            </w:pPr>
            <w:r>
              <w:rPr>
                <w:noProof/>
                <w:szCs w:val="24"/>
              </w:rPr>
              <w:t>Technical consensus at the OTIF Standing Working Group to adopt a text as amended.</w:t>
            </w:r>
          </w:p>
        </w:tc>
        <w:tc>
          <w:tcPr>
            <w:tcW w:w="1810" w:type="dxa"/>
          </w:tcPr>
          <w:p>
            <w:pPr>
              <w:rPr>
                <w:noProof/>
                <w:szCs w:val="24"/>
              </w:rPr>
            </w:pPr>
            <w:r>
              <w:rPr>
                <w:noProof/>
                <w:szCs w:val="24"/>
              </w:rPr>
              <w:t>Agree with the amendments as revised in the Standing Working Group.</w:t>
            </w:r>
          </w:p>
        </w:tc>
      </w:tr>
    </w:tbl>
    <w:p>
      <w:pPr>
        <w:rPr>
          <w:noProof/>
        </w:rPr>
      </w:pP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865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7880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FEA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94D9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A53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E1E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E8592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D27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2 11:58: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A30FD29-72A0-42D3-B01E-521B86DF0022"/>
    <w:docVar w:name="LW_COVERPAGE_TYPE" w:val="1"/>
    <w:docVar w:name="LW_CROSSREFERENCE" w:val="&lt;UNUSED&gt;"/>
    <w:docVar w:name="LW_DocType" w:val="ANNEX"/>
    <w:docVar w:name="LW_EMISSION" w:val="9.3.2018"/>
    <w:docVar w:name="LW_EMISSION_ISODATE" w:val="2018-03-09"/>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55th session of the Organisation for International Carriage by Rail  Committee of Experts for the Carriage of Dangerous Goods as regards certain amendments to Appendix C to the Convention concerning International Carriage by Rail as applicable from 1 January 2019"/>
    <w:docVar w:name="LW_OBJETACTEPRINCIPAL.CP" w:val="on the position to be taken on behalf of the European Union at the 55th session of the Organisation for International Carriage by Rail  Committee of Experts for the Carriage of Dangerous Goods as regards certain amendments to Appendix C to the Convention concerning International Carriage by Rail as applicable from 1 January 2019"/>
    <w:docVar w:name="LW_PART_NBR" w:val="1"/>
    <w:docVar w:name="LW_PART_NBR_TOTAL" w:val="1"/>
    <w:docVar w:name="LW_REF.INST.NEW" w:val="COM"/>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423">
      <w:bodyDiv w:val="1"/>
      <w:marLeft w:val="0"/>
      <w:marRight w:val="0"/>
      <w:marTop w:val="0"/>
      <w:marBottom w:val="0"/>
      <w:divBdr>
        <w:top w:val="none" w:sz="0" w:space="0" w:color="auto"/>
        <w:left w:val="none" w:sz="0" w:space="0" w:color="auto"/>
        <w:bottom w:val="none" w:sz="0" w:space="0" w:color="auto"/>
        <w:right w:val="none" w:sz="0" w:space="0" w:color="auto"/>
      </w:divBdr>
      <w:divsChild>
        <w:div w:id="1897475766">
          <w:marLeft w:val="0"/>
          <w:marRight w:val="0"/>
          <w:marTop w:val="0"/>
          <w:marBottom w:val="0"/>
          <w:divBdr>
            <w:top w:val="none" w:sz="0" w:space="0" w:color="auto"/>
            <w:left w:val="none" w:sz="0" w:space="0" w:color="auto"/>
            <w:bottom w:val="none" w:sz="0" w:space="0" w:color="auto"/>
            <w:right w:val="none" w:sz="0" w:space="0" w:color="auto"/>
          </w:divBdr>
          <w:divsChild>
            <w:div w:id="798644740">
              <w:marLeft w:val="0"/>
              <w:marRight w:val="0"/>
              <w:marTop w:val="0"/>
              <w:marBottom w:val="0"/>
              <w:divBdr>
                <w:top w:val="none" w:sz="0" w:space="0" w:color="auto"/>
                <w:left w:val="none" w:sz="0" w:space="0" w:color="auto"/>
                <w:bottom w:val="none" w:sz="0" w:space="0" w:color="auto"/>
                <w:right w:val="none" w:sz="0" w:space="0" w:color="auto"/>
              </w:divBdr>
              <w:divsChild>
                <w:div w:id="1542473230">
                  <w:marLeft w:val="0"/>
                  <w:marRight w:val="0"/>
                  <w:marTop w:val="0"/>
                  <w:marBottom w:val="0"/>
                  <w:divBdr>
                    <w:top w:val="none" w:sz="0" w:space="0" w:color="auto"/>
                    <w:left w:val="none" w:sz="0" w:space="0" w:color="auto"/>
                    <w:bottom w:val="none" w:sz="0" w:space="0" w:color="auto"/>
                    <w:right w:val="none" w:sz="0" w:space="0" w:color="auto"/>
                  </w:divBdr>
                  <w:divsChild>
                    <w:div w:id="919950571">
                      <w:marLeft w:val="0"/>
                      <w:marRight w:val="0"/>
                      <w:marTop w:val="0"/>
                      <w:marBottom w:val="0"/>
                      <w:divBdr>
                        <w:top w:val="none" w:sz="0" w:space="0" w:color="auto"/>
                        <w:left w:val="none" w:sz="0" w:space="0" w:color="auto"/>
                        <w:bottom w:val="none" w:sz="0" w:space="0" w:color="auto"/>
                        <w:right w:val="none" w:sz="0" w:space="0" w:color="auto"/>
                      </w:divBdr>
                      <w:divsChild>
                        <w:div w:id="955793330">
                          <w:marLeft w:val="0"/>
                          <w:marRight w:val="0"/>
                          <w:marTop w:val="0"/>
                          <w:marBottom w:val="0"/>
                          <w:divBdr>
                            <w:top w:val="none" w:sz="0" w:space="0" w:color="auto"/>
                            <w:left w:val="none" w:sz="0" w:space="0" w:color="auto"/>
                            <w:bottom w:val="none" w:sz="0" w:space="0" w:color="auto"/>
                            <w:right w:val="none" w:sz="0" w:space="0" w:color="auto"/>
                          </w:divBdr>
                          <w:divsChild>
                            <w:div w:id="1322542756">
                              <w:marLeft w:val="0"/>
                              <w:marRight w:val="0"/>
                              <w:marTop w:val="0"/>
                              <w:marBottom w:val="0"/>
                              <w:divBdr>
                                <w:top w:val="none" w:sz="0" w:space="0" w:color="auto"/>
                                <w:left w:val="none" w:sz="0" w:space="0" w:color="auto"/>
                                <w:bottom w:val="none" w:sz="0" w:space="0" w:color="auto"/>
                                <w:right w:val="none" w:sz="0" w:space="0" w:color="auto"/>
                              </w:divBdr>
                              <w:divsChild>
                                <w:div w:id="884945502">
                                  <w:marLeft w:val="0"/>
                                  <w:marRight w:val="0"/>
                                  <w:marTop w:val="100"/>
                                  <w:marBottom w:val="100"/>
                                  <w:divBdr>
                                    <w:top w:val="single" w:sz="2" w:space="0" w:color="73AD21"/>
                                    <w:left w:val="single" w:sz="2" w:space="0" w:color="73AD21"/>
                                    <w:bottom w:val="single" w:sz="2" w:space="0" w:color="73AD21"/>
                                    <w:right w:val="single" w:sz="2" w:space="0" w:color="73AD21"/>
                                  </w:divBdr>
                                  <w:divsChild>
                                    <w:div w:id="1857764237">
                                      <w:marLeft w:val="0"/>
                                      <w:marRight w:val="0"/>
                                      <w:marTop w:val="0"/>
                                      <w:marBottom w:val="0"/>
                                      <w:divBdr>
                                        <w:top w:val="none" w:sz="0" w:space="0" w:color="auto"/>
                                        <w:left w:val="none" w:sz="0" w:space="0" w:color="auto"/>
                                        <w:bottom w:val="none" w:sz="0" w:space="0" w:color="auto"/>
                                        <w:right w:val="none" w:sz="0" w:space="0" w:color="auto"/>
                                      </w:divBdr>
                                      <w:divsChild>
                                        <w:div w:id="1987971049">
                                          <w:marLeft w:val="0"/>
                                          <w:marRight w:val="0"/>
                                          <w:marTop w:val="0"/>
                                          <w:marBottom w:val="0"/>
                                          <w:divBdr>
                                            <w:top w:val="none" w:sz="0" w:space="0" w:color="auto"/>
                                            <w:left w:val="none" w:sz="0" w:space="0" w:color="auto"/>
                                            <w:bottom w:val="none" w:sz="0" w:space="0" w:color="auto"/>
                                            <w:right w:val="none" w:sz="0" w:space="0" w:color="auto"/>
                                          </w:divBdr>
                                          <w:divsChild>
                                            <w:div w:id="1620405676">
                                              <w:marLeft w:val="1"/>
                                              <w:marRight w:val="1"/>
                                              <w:marTop w:val="0"/>
                                              <w:marBottom w:val="600"/>
                                              <w:divBdr>
                                                <w:top w:val="none" w:sz="0" w:space="0" w:color="auto"/>
                                                <w:left w:val="none" w:sz="0" w:space="0" w:color="auto"/>
                                                <w:bottom w:val="none" w:sz="0" w:space="0" w:color="auto"/>
                                                <w:right w:val="none" w:sz="0" w:space="0" w:color="auto"/>
                                              </w:divBdr>
                                              <w:divsChild>
                                                <w:div w:id="86973261">
                                                  <w:marLeft w:val="150"/>
                                                  <w:marRight w:val="0"/>
                                                  <w:marTop w:val="0"/>
                                                  <w:marBottom w:val="0"/>
                                                  <w:divBdr>
                                                    <w:top w:val="none" w:sz="0" w:space="0" w:color="auto"/>
                                                    <w:left w:val="none" w:sz="0" w:space="0" w:color="auto"/>
                                                    <w:bottom w:val="none" w:sz="0" w:space="0" w:color="auto"/>
                                                    <w:right w:val="none" w:sz="0" w:space="0" w:color="auto"/>
                                                  </w:divBdr>
                                                  <w:divsChild>
                                                    <w:div w:id="89446681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5648">
      <w:bodyDiv w:val="1"/>
      <w:marLeft w:val="0"/>
      <w:marRight w:val="0"/>
      <w:marTop w:val="0"/>
      <w:marBottom w:val="0"/>
      <w:divBdr>
        <w:top w:val="none" w:sz="0" w:space="0" w:color="auto"/>
        <w:left w:val="none" w:sz="0" w:space="0" w:color="auto"/>
        <w:bottom w:val="none" w:sz="0" w:space="0" w:color="auto"/>
        <w:right w:val="none" w:sz="0" w:space="0" w:color="auto"/>
      </w:divBdr>
      <w:divsChild>
        <w:div w:id="1079600223">
          <w:marLeft w:val="0"/>
          <w:marRight w:val="0"/>
          <w:marTop w:val="0"/>
          <w:marBottom w:val="0"/>
          <w:divBdr>
            <w:top w:val="none" w:sz="0" w:space="0" w:color="auto"/>
            <w:left w:val="none" w:sz="0" w:space="0" w:color="auto"/>
            <w:bottom w:val="none" w:sz="0" w:space="0" w:color="auto"/>
            <w:right w:val="none" w:sz="0" w:space="0" w:color="auto"/>
          </w:divBdr>
          <w:divsChild>
            <w:div w:id="544947679">
              <w:marLeft w:val="0"/>
              <w:marRight w:val="0"/>
              <w:marTop w:val="0"/>
              <w:marBottom w:val="0"/>
              <w:divBdr>
                <w:top w:val="none" w:sz="0" w:space="0" w:color="auto"/>
                <w:left w:val="none" w:sz="0" w:space="0" w:color="auto"/>
                <w:bottom w:val="none" w:sz="0" w:space="0" w:color="auto"/>
                <w:right w:val="none" w:sz="0" w:space="0" w:color="auto"/>
              </w:divBdr>
              <w:divsChild>
                <w:div w:id="394547446">
                  <w:marLeft w:val="0"/>
                  <w:marRight w:val="0"/>
                  <w:marTop w:val="0"/>
                  <w:marBottom w:val="0"/>
                  <w:divBdr>
                    <w:top w:val="none" w:sz="0" w:space="0" w:color="auto"/>
                    <w:left w:val="none" w:sz="0" w:space="0" w:color="auto"/>
                    <w:bottom w:val="none" w:sz="0" w:space="0" w:color="auto"/>
                    <w:right w:val="none" w:sz="0" w:space="0" w:color="auto"/>
                  </w:divBdr>
                  <w:divsChild>
                    <w:div w:id="1084182978">
                      <w:marLeft w:val="0"/>
                      <w:marRight w:val="0"/>
                      <w:marTop w:val="0"/>
                      <w:marBottom w:val="0"/>
                      <w:divBdr>
                        <w:top w:val="none" w:sz="0" w:space="0" w:color="auto"/>
                        <w:left w:val="none" w:sz="0" w:space="0" w:color="auto"/>
                        <w:bottom w:val="none" w:sz="0" w:space="0" w:color="auto"/>
                        <w:right w:val="none" w:sz="0" w:space="0" w:color="auto"/>
                      </w:divBdr>
                      <w:divsChild>
                        <w:div w:id="80178769">
                          <w:marLeft w:val="0"/>
                          <w:marRight w:val="0"/>
                          <w:marTop w:val="0"/>
                          <w:marBottom w:val="0"/>
                          <w:divBdr>
                            <w:top w:val="none" w:sz="0" w:space="0" w:color="auto"/>
                            <w:left w:val="none" w:sz="0" w:space="0" w:color="auto"/>
                            <w:bottom w:val="none" w:sz="0" w:space="0" w:color="auto"/>
                            <w:right w:val="none" w:sz="0" w:space="0" w:color="auto"/>
                          </w:divBdr>
                          <w:divsChild>
                            <w:div w:id="1119884082">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100"/>
                                  <w:marBottom w:val="100"/>
                                  <w:divBdr>
                                    <w:top w:val="single" w:sz="2" w:space="0" w:color="73AD21"/>
                                    <w:left w:val="single" w:sz="2" w:space="0" w:color="73AD21"/>
                                    <w:bottom w:val="single" w:sz="2" w:space="0" w:color="73AD21"/>
                                    <w:right w:val="single" w:sz="2" w:space="0" w:color="73AD21"/>
                                  </w:divBdr>
                                  <w:divsChild>
                                    <w:div w:id="803622069">
                                      <w:marLeft w:val="0"/>
                                      <w:marRight w:val="0"/>
                                      <w:marTop w:val="0"/>
                                      <w:marBottom w:val="0"/>
                                      <w:divBdr>
                                        <w:top w:val="none" w:sz="0" w:space="0" w:color="auto"/>
                                        <w:left w:val="none" w:sz="0" w:space="0" w:color="auto"/>
                                        <w:bottom w:val="none" w:sz="0" w:space="0" w:color="auto"/>
                                        <w:right w:val="none" w:sz="0" w:space="0" w:color="auto"/>
                                      </w:divBdr>
                                      <w:divsChild>
                                        <w:div w:id="1230966489">
                                          <w:marLeft w:val="0"/>
                                          <w:marRight w:val="0"/>
                                          <w:marTop w:val="0"/>
                                          <w:marBottom w:val="0"/>
                                          <w:divBdr>
                                            <w:top w:val="none" w:sz="0" w:space="0" w:color="auto"/>
                                            <w:left w:val="none" w:sz="0" w:space="0" w:color="auto"/>
                                            <w:bottom w:val="none" w:sz="0" w:space="0" w:color="auto"/>
                                            <w:right w:val="none" w:sz="0" w:space="0" w:color="auto"/>
                                          </w:divBdr>
                                          <w:divsChild>
                                            <w:div w:id="1804034360">
                                              <w:marLeft w:val="1"/>
                                              <w:marRight w:val="1"/>
                                              <w:marTop w:val="0"/>
                                              <w:marBottom w:val="600"/>
                                              <w:divBdr>
                                                <w:top w:val="none" w:sz="0" w:space="0" w:color="auto"/>
                                                <w:left w:val="none" w:sz="0" w:space="0" w:color="auto"/>
                                                <w:bottom w:val="none" w:sz="0" w:space="0" w:color="auto"/>
                                                <w:right w:val="none" w:sz="0" w:space="0" w:color="auto"/>
                                              </w:divBdr>
                                              <w:divsChild>
                                                <w:div w:id="848834966">
                                                  <w:marLeft w:val="150"/>
                                                  <w:marRight w:val="0"/>
                                                  <w:marTop w:val="0"/>
                                                  <w:marBottom w:val="0"/>
                                                  <w:divBdr>
                                                    <w:top w:val="none" w:sz="0" w:space="0" w:color="auto"/>
                                                    <w:left w:val="none" w:sz="0" w:space="0" w:color="auto"/>
                                                    <w:bottom w:val="none" w:sz="0" w:space="0" w:color="auto"/>
                                                    <w:right w:val="none" w:sz="0" w:space="0" w:color="auto"/>
                                                  </w:divBdr>
                                                  <w:divsChild>
                                                    <w:div w:id="18735688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725450">
      <w:bodyDiv w:val="1"/>
      <w:marLeft w:val="0"/>
      <w:marRight w:val="0"/>
      <w:marTop w:val="0"/>
      <w:marBottom w:val="0"/>
      <w:divBdr>
        <w:top w:val="none" w:sz="0" w:space="0" w:color="auto"/>
        <w:left w:val="none" w:sz="0" w:space="0" w:color="auto"/>
        <w:bottom w:val="none" w:sz="0" w:space="0" w:color="auto"/>
        <w:right w:val="none" w:sz="0" w:space="0" w:color="auto"/>
      </w:divBdr>
      <w:divsChild>
        <w:div w:id="1737821678">
          <w:marLeft w:val="0"/>
          <w:marRight w:val="0"/>
          <w:marTop w:val="0"/>
          <w:marBottom w:val="0"/>
          <w:divBdr>
            <w:top w:val="none" w:sz="0" w:space="0" w:color="auto"/>
            <w:left w:val="none" w:sz="0" w:space="0" w:color="auto"/>
            <w:bottom w:val="none" w:sz="0" w:space="0" w:color="auto"/>
            <w:right w:val="none" w:sz="0" w:space="0" w:color="auto"/>
          </w:divBdr>
          <w:divsChild>
            <w:div w:id="624969972">
              <w:marLeft w:val="0"/>
              <w:marRight w:val="0"/>
              <w:marTop w:val="0"/>
              <w:marBottom w:val="0"/>
              <w:divBdr>
                <w:top w:val="none" w:sz="0" w:space="0" w:color="auto"/>
                <w:left w:val="none" w:sz="0" w:space="0" w:color="auto"/>
                <w:bottom w:val="none" w:sz="0" w:space="0" w:color="auto"/>
                <w:right w:val="none" w:sz="0" w:space="0" w:color="auto"/>
              </w:divBdr>
              <w:divsChild>
                <w:div w:id="1558273508">
                  <w:marLeft w:val="0"/>
                  <w:marRight w:val="0"/>
                  <w:marTop w:val="0"/>
                  <w:marBottom w:val="0"/>
                  <w:divBdr>
                    <w:top w:val="none" w:sz="0" w:space="0" w:color="auto"/>
                    <w:left w:val="none" w:sz="0" w:space="0" w:color="auto"/>
                    <w:bottom w:val="none" w:sz="0" w:space="0" w:color="auto"/>
                    <w:right w:val="none" w:sz="0" w:space="0" w:color="auto"/>
                  </w:divBdr>
                  <w:divsChild>
                    <w:div w:id="1534267522">
                      <w:marLeft w:val="0"/>
                      <w:marRight w:val="0"/>
                      <w:marTop w:val="0"/>
                      <w:marBottom w:val="0"/>
                      <w:divBdr>
                        <w:top w:val="none" w:sz="0" w:space="0" w:color="auto"/>
                        <w:left w:val="none" w:sz="0" w:space="0" w:color="auto"/>
                        <w:bottom w:val="none" w:sz="0" w:space="0" w:color="auto"/>
                        <w:right w:val="none" w:sz="0" w:space="0" w:color="auto"/>
                      </w:divBdr>
                      <w:divsChild>
                        <w:div w:id="771709760">
                          <w:marLeft w:val="0"/>
                          <w:marRight w:val="0"/>
                          <w:marTop w:val="0"/>
                          <w:marBottom w:val="0"/>
                          <w:divBdr>
                            <w:top w:val="none" w:sz="0" w:space="0" w:color="auto"/>
                            <w:left w:val="none" w:sz="0" w:space="0" w:color="auto"/>
                            <w:bottom w:val="none" w:sz="0" w:space="0" w:color="auto"/>
                            <w:right w:val="none" w:sz="0" w:space="0" w:color="auto"/>
                          </w:divBdr>
                          <w:divsChild>
                            <w:div w:id="1116481590">
                              <w:marLeft w:val="0"/>
                              <w:marRight w:val="0"/>
                              <w:marTop w:val="0"/>
                              <w:marBottom w:val="0"/>
                              <w:divBdr>
                                <w:top w:val="none" w:sz="0" w:space="0" w:color="auto"/>
                                <w:left w:val="none" w:sz="0" w:space="0" w:color="auto"/>
                                <w:bottom w:val="none" w:sz="0" w:space="0" w:color="auto"/>
                                <w:right w:val="none" w:sz="0" w:space="0" w:color="auto"/>
                              </w:divBdr>
                              <w:divsChild>
                                <w:div w:id="946816307">
                                  <w:marLeft w:val="0"/>
                                  <w:marRight w:val="0"/>
                                  <w:marTop w:val="100"/>
                                  <w:marBottom w:val="100"/>
                                  <w:divBdr>
                                    <w:top w:val="single" w:sz="2" w:space="0" w:color="73AD21"/>
                                    <w:left w:val="single" w:sz="2" w:space="0" w:color="73AD21"/>
                                    <w:bottom w:val="single" w:sz="2" w:space="0" w:color="73AD21"/>
                                    <w:right w:val="single" w:sz="2" w:space="0" w:color="73AD21"/>
                                  </w:divBdr>
                                  <w:divsChild>
                                    <w:div w:id="2108652314">
                                      <w:marLeft w:val="0"/>
                                      <w:marRight w:val="0"/>
                                      <w:marTop w:val="0"/>
                                      <w:marBottom w:val="0"/>
                                      <w:divBdr>
                                        <w:top w:val="none" w:sz="0" w:space="0" w:color="auto"/>
                                        <w:left w:val="none" w:sz="0" w:space="0" w:color="auto"/>
                                        <w:bottom w:val="none" w:sz="0" w:space="0" w:color="auto"/>
                                        <w:right w:val="none" w:sz="0" w:space="0" w:color="auto"/>
                                      </w:divBdr>
                                      <w:divsChild>
                                        <w:div w:id="664568">
                                          <w:marLeft w:val="0"/>
                                          <w:marRight w:val="0"/>
                                          <w:marTop w:val="0"/>
                                          <w:marBottom w:val="0"/>
                                          <w:divBdr>
                                            <w:top w:val="none" w:sz="0" w:space="0" w:color="auto"/>
                                            <w:left w:val="none" w:sz="0" w:space="0" w:color="auto"/>
                                            <w:bottom w:val="none" w:sz="0" w:space="0" w:color="auto"/>
                                            <w:right w:val="none" w:sz="0" w:space="0" w:color="auto"/>
                                          </w:divBdr>
                                          <w:divsChild>
                                            <w:div w:id="1061976563">
                                              <w:marLeft w:val="1"/>
                                              <w:marRight w:val="1"/>
                                              <w:marTop w:val="0"/>
                                              <w:marBottom w:val="600"/>
                                              <w:divBdr>
                                                <w:top w:val="none" w:sz="0" w:space="0" w:color="auto"/>
                                                <w:left w:val="none" w:sz="0" w:space="0" w:color="auto"/>
                                                <w:bottom w:val="none" w:sz="0" w:space="0" w:color="auto"/>
                                                <w:right w:val="none" w:sz="0" w:space="0" w:color="auto"/>
                                              </w:divBdr>
                                              <w:divsChild>
                                                <w:div w:id="2124306139">
                                                  <w:marLeft w:val="150"/>
                                                  <w:marRight w:val="0"/>
                                                  <w:marTop w:val="0"/>
                                                  <w:marBottom w:val="0"/>
                                                  <w:divBdr>
                                                    <w:top w:val="none" w:sz="0" w:space="0" w:color="auto"/>
                                                    <w:left w:val="none" w:sz="0" w:space="0" w:color="auto"/>
                                                    <w:bottom w:val="none" w:sz="0" w:space="0" w:color="auto"/>
                                                    <w:right w:val="none" w:sz="0" w:space="0" w:color="auto"/>
                                                  </w:divBdr>
                                                  <w:divsChild>
                                                    <w:div w:id="114304095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336F0-01A9-4A8A-9A23-7D9B3382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416</Words>
  <Characters>2318</Characters>
  <Application>Microsoft Office Word</Application>
  <DocSecurity>0</DocSecurity>
  <Lines>231</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STANCIU Monica (MOVE)</dc:creator>
  <cp:lastModifiedBy>DIGIT/A3</cp:lastModifiedBy>
  <cp:revision>7</cp:revision>
  <cp:lastPrinted>2017-12-04T08:24:00Z</cp:lastPrinted>
  <dcterms:created xsi:type="dcterms:W3CDTF">2018-02-28T08:28:00Z</dcterms:created>
  <dcterms:modified xsi:type="dcterms:W3CDTF">2018-03-02T10:58:00Z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