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2B0205F-8CF7-4120-B8D5-85570DF3D60E" style="width:450.4pt;height:437.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w:t>
      </w:r>
    </w:p>
    <w:tbl>
      <w:tblPr>
        <w:tblStyle w:val="TableGrid"/>
        <w:tblW w:w="0" w:type="auto"/>
        <w:tblLayout w:type="fixed"/>
        <w:tblLook w:val="04A0" w:firstRow="1" w:lastRow="0" w:firstColumn="1" w:lastColumn="0" w:noHBand="0" w:noVBand="1"/>
      </w:tblPr>
      <w:tblGrid>
        <w:gridCol w:w="817"/>
        <w:gridCol w:w="2693"/>
        <w:gridCol w:w="1701"/>
        <w:gridCol w:w="2268"/>
        <w:gridCol w:w="1810"/>
      </w:tblGrid>
      <w:tr>
        <w:tc>
          <w:tcPr>
            <w:tcW w:w="817" w:type="dxa"/>
          </w:tcPr>
          <w:p>
            <w:pPr>
              <w:rPr>
                <w:noProof/>
              </w:rPr>
            </w:pPr>
            <w:r>
              <w:rPr>
                <w:noProof/>
              </w:rPr>
              <w:t xml:space="preserve">Proposition </w:t>
            </w:r>
          </w:p>
        </w:tc>
        <w:tc>
          <w:tcPr>
            <w:tcW w:w="2693" w:type="dxa"/>
          </w:tcPr>
          <w:p>
            <w:pPr>
              <w:rPr>
                <w:noProof/>
              </w:rPr>
            </w:pPr>
            <w:r>
              <w:rPr>
                <w:noProof/>
              </w:rPr>
              <w:t xml:space="preserve">Document de référence </w:t>
            </w:r>
          </w:p>
        </w:tc>
        <w:tc>
          <w:tcPr>
            <w:tcW w:w="1701" w:type="dxa"/>
          </w:tcPr>
          <w:p>
            <w:pPr>
              <w:rPr>
                <w:noProof/>
              </w:rPr>
            </w:pPr>
            <w:r>
              <w:rPr>
                <w:noProof/>
              </w:rPr>
              <w:t xml:space="preserve">Sujet </w:t>
            </w:r>
          </w:p>
        </w:tc>
        <w:tc>
          <w:tcPr>
            <w:tcW w:w="2268" w:type="dxa"/>
          </w:tcPr>
          <w:p>
            <w:pPr>
              <w:rPr>
                <w:noProof/>
              </w:rPr>
            </w:pPr>
            <w:r>
              <w:rPr>
                <w:noProof/>
              </w:rPr>
              <w:t xml:space="preserve">Remarques </w:t>
            </w:r>
          </w:p>
        </w:tc>
        <w:tc>
          <w:tcPr>
            <w:tcW w:w="1810" w:type="dxa"/>
          </w:tcPr>
          <w:p>
            <w:pPr>
              <w:rPr>
                <w:noProof/>
              </w:rPr>
            </w:pPr>
            <w:r>
              <w:rPr>
                <w:noProof/>
              </w:rPr>
              <w:t>Position de l'Union</w:t>
            </w:r>
          </w:p>
        </w:tc>
      </w:tr>
      <w:tr>
        <w:tc>
          <w:tcPr>
            <w:tcW w:w="817" w:type="dxa"/>
          </w:tcPr>
          <w:p>
            <w:pPr>
              <w:rPr>
                <w:noProof/>
                <w:szCs w:val="24"/>
              </w:rPr>
            </w:pPr>
            <w:r>
              <w:rPr>
                <w:noProof/>
              </w:rPr>
              <w:t>1</w:t>
            </w:r>
          </w:p>
        </w:tc>
        <w:tc>
          <w:tcPr>
            <w:tcW w:w="2693" w:type="dxa"/>
          </w:tcPr>
          <w:p>
            <w:pPr>
              <w:rPr>
                <w:noProof/>
                <w:szCs w:val="24"/>
              </w:rPr>
            </w:pPr>
            <w:r>
              <w:rPr>
                <w:noProof/>
              </w:rPr>
              <w:t>OTIF/RID/CE/GTP/2017/1</w:t>
            </w:r>
          </w:p>
        </w:tc>
        <w:tc>
          <w:tcPr>
            <w:tcW w:w="1701" w:type="dxa"/>
          </w:tcPr>
          <w:p>
            <w:pPr>
              <w:rPr>
                <w:noProof/>
                <w:szCs w:val="24"/>
              </w:rPr>
            </w:pPr>
            <w:r>
              <w:rPr>
                <w:noProof/>
              </w:rPr>
              <w:t>Numéro d’identification du danger pour les numéros 3166 et 3171 de la classification ONU</w:t>
            </w:r>
          </w:p>
        </w:tc>
        <w:tc>
          <w:tcPr>
            <w:tcW w:w="2268" w:type="dxa"/>
          </w:tcPr>
          <w:p>
            <w:pPr>
              <w:rPr>
                <w:noProof/>
                <w:szCs w:val="24"/>
              </w:rPr>
            </w:pPr>
            <w:r>
              <w:rPr>
                <w:noProof/>
              </w:rPr>
              <w:t>Consensus technique au sein du groupe de travail permanent de l'OTIF pour l'adoption d'un texte modifié.</w:t>
            </w:r>
          </w:p>
        </w:tc>
        <w:tc>
          <w:tcPr>
            <w:tcW w:w="1810" w:type="dxa"/>
          </w:tcPr>
          <w:p>
            <w:pPr>
              <w:rPr>
                <w:noProof/>
                <w:szCs w:val="24"/>
              </w:rPr>
            </w:pPr>
            <w:r>
              <w:rPr>
                <w:noProof/>
              </w:rPr>
              <w:t xml:space="preserve">Accepte les modifications. </w:t>
            </w:r>
          </w:p>
        </w:tc>
      </w:tr>
      <w:tr>
        <w:tc>
          <w:tcPr>
            <w:tcW w:w="817" w:type="dxa"/>
          </w:tcPr>
          <w:p>
            <w:pPr>
              <w:rPr>
                <w:noProof/>
                <w:szCs w:val="24"/>
              </w:rPr>
            </w:pPr>
            <w:r>
              <w:rPr>
                <w:noProof/>
              </w:rPr>
              <w:t>2</w:t>
            </w:r>
          </w:p>
        </w:tc>
        <w:tc>
          <w:tcPr>
            <w:tcW w:w="2693" w:type="dxa"/>
          </w:tcPr>
          <w:p>
            <w:pPr>
              <w:rPr>
                <w:noProof/>
                <w:szCs w:val="24"/>
              </w:rPr>
            </w:pPr>
            <w:r>
              <w:rPr>
                <w:noProof/>
              </w:rPr>
              <w:t>OTIF/RID/CE/GTP/2017/3</w:t>
            </w:r>
          </w:p>
        </w:tc>
        <w:tc>
          <w:tcPr>
            <w:tcW w:w="1701" w:type="dxa"/>
          </w:tcPr>
          <w:p>
            <w:pPr>
              <w:rPr>
                <w:rFonts w:eastAsia="Times New Roman"/>
                <w:noProof/>
                <w:szCs w:val="24"/>
              </w:rPr>
            </w:pPr>
            <w:r>
              <w:rPr>
                <w:noProof/>
              </w:rPr>
              <w:t>Transport de marchandises dangereuses en tant que colis à main ou bagage</w:t>
            </w:r>
          </w:p>
        </w:tc>
        <w:tc>
          <w:tcPr>
            <w:tcW w:w="2268" w:type="dxa"/>
          </w:tcPr>
          <w:p>
            <w:pPr>
              <w:rPr>
                <w:noProof/>
                <w:szCs w:val="24"/>
              </w:rPr>
            </w:pPr>
            <w:r>
              <w:rPr>
                <w:noProof/>
              </w:rPr>
              <w:t>Consensus technique au sein du groupe de travail permanent de l'OTIF pour l'adoption d'un texte modifié.</w:t>
            </w:r>
          </w:p>
        </w:tc>
        <w:tc>
          <w:tcPr>
            <w:tcW w:w="1810" w:type="dxa"/>
          </w:tcPr>
          <w:p>
            <w:pPr>
              <w:rPr>
                <w:noProof/>
                <w:szCs w:val="24"/>
              </w:rPr>
            </w:pPr>
            <w:r>
              <w:rPr>
                <w:noProof/>
              </w:rPr>
              <w:t>Accepte la modification.</w:t>
            </w:r>
          </w:p>
        </w:tc>
      </w:tr>
      <w:tr>
        <w:tc>
          <w:tcPr>
            <w:tcW w:w="817" w:type="dxa"/>
          </w:tcPr>
          <w:p>
            <w:pPr>
              <w:rPr>
                <w:noProof/>
                <w:szCs w:val="24"/>
              </w:rPr>
            </w:pPr>
            <w:r>
              <w:rPr>
                <w:noProof/>
              </w:rPr>
              <w:t>3</w:t>
            </w:r>
          </w:p>
        </w:tc>
        <w:tc>
          <w:tcPr>
            <w:tcW w:w="2693" w:type="dxa"/>
          </w:tcPr>
          <w:p>
            <w:pPr>
              <w:rPr>
                <w:noProof/>
                <w:szCs w:val="24"/>
              </w:rPr>
            </w:pPr>
            <w:r>
              <w:rPr>
                <w:noProof/>
              </w:rPr>
              <w:t>OTIF/RID/CE/GTP/2017/5</w:t>
            </w:r>
          </w:p>
        </w:tc>
        <w:tc>
          <w:tcPr>
            <w:tcW w:w="1701" w:type="dxa"/>
          </w:tcPr>
          <w:p>
            <w:pPr>
              <w:rPr>
                <w:rFonts w:eastAsia="Times New Roman"/>
                <w:noProof/>
                <w:szCs w:val="24"/>
              </w:rPr>
            </w:pPr>
            <w:r>
              <w:rPr>
                <w:noProof/>
              </w:rPr>
              <w:t>102</w:t>
            </w:r>
            <w:r>
              <w:rPr>
                <w:noProof/>
                <w:vertAlign w:val="superscript"/>
              </w:rPr>
              <w:t>e</w:t>
            </w:r>
            <w:r>
              <w:rPr>
                <w:noProof/>
              </w:rPr>
              <w:t xml:space="preserve"> session du groupe de travail 15 (Genève, 8 – 12 mai 2017)</w:t>
            </w:r>
          </w:p>
        </w:tc>
        <w:tc>
          <w:tcPr>
            <w:tcW w:w="2268" w:type="dxa"/>
          </w:tcPr>
          <w:p>
            <w:pPr>
              <w:rPr>
                <w:noProof/>
                <w:szCs w:val="24"/>
              </w:rPr>
            </w:pPr>
            <w:r>
              <w:rPr>
                <w:noProof/>
              </w:rPr>
              <w:t>Consensus technique au sein du groupe de travail permanent de l'OTIF pour l'adoption d'un texte modifié.</w:t>
            </w:r>
          </w:p>
        </w:tc>
        <w:tc>
          <w:tcPr>
            <w:tcW w:w="1810" w:type="dxa"/>
          </w:tcPr>
          <w:p>
            <w:pPr>
              <w:rPr>
                <w:noProof/>
                <w:szCs w:val="24"/>
              </w:rPr>
            </w:pPr>
            <w:r>
              <w:rPr>
                <w:noProof/>
              </w:rPr>
              <w:t>Accepte les modifications révisées par le groupe de travail permanent.</w:t>
            </w:r>
          </w:p>
        </w:tc>
      </w:tr>
      <w:tr>
        <w:tc>
          <w:tcPr>
            <w:tcW w:w="817" w:type="dxa"/>
          </w:tcPr>
          <w:p>
            <w:pPr>
              <w:rPr>
                <w:noProof/>
                <w:szCs w:val="24"/>
              </w:rPr>
            </w:pPr>
            <w:r>
              <w:rPr>
                <w:noProof/>
              </w:rPr>
              <w:t>4</w:t>
            </w:r>
          </w:p>
        </w:tc>
        <w:tc>
          <w:tcPr>
            <w:tcW w:w="2693" w:type="dxa"/>
          </w:tcPr>
          <w:p>
            <w:pPr>
              <w:rPr>
                <w:noProof/>
                <w:szCs w:val="24"/>
              </w:rPr>
            </w:pPr>
            <w:r>
              <w:rPr>
                <w:noProof/>
              </w:rPr>
              <w:t>OTIF/RID/CE/GTP/2017/7/Rev.1</w:t>
            </w:r>
          </w:p>
        </w:tc>
        <w:tc>
          <w:tcPr>
            <w:tcW w:w="1701" w:type="dxa"/>
          </w:tcPr>
          <w:p>
            <w:pPr>
              <w:rPr>
                <w:rFonts w:eastAsia="Times New Roman"/>
                <w:noProof/>
                <w:szCs w:val="24"/>
              </w:rPr>
            </w:pPr>
            <w:r>
              <w:rPr>
                <w:noProof/>
              </w:rPr>
              <w:t>Projet de liste des corrections 2 à l’édition 2017 du RID.</w:t>
            </w:r>
          </w:p>
        </w:tc>
        <w:tc>
          <w:tcPr>
            <w:tcW w:w="2268" w:type="dxa"/>
          </w:tcPr>
          <w:p>
            <w:pPr>
              <w:rPr>
                <w:noProof/>
                <w:szCs w:val="24"/>
              </w:rPr>
            </w:pPr>
            <w:r>
              <w:rPr>
                <w:noProof/>
              </w:rPr>
              <w:t>Consensus technique au sein du groupe de travail permanent de l'OTIF pour l'adoption d'un texte modifié.</w:t>
            </w:r>
          </w:p>
        </w:tc>
        <w:tc>
          <w:tcPr>
            <w:tcW w:w="1810" w:type="dxa"/>
          </w:tcPr>
          <w:p>
            <w:pPr>
              <w:rPr>
                <w:noProof/>
                <w:szCs w:val="24"/>
              </w:rPr>
            </w:pPr>
            <w:r>
              <w:rPr>
                <w:noProof/>
              </w:rPr>
              <w:t>Accepte les modifications révisées par le groupe de travail permanent.</w:t>
            </w:r>
          </w:p>
        </w:tc>
      </w:tr>
      <w:tr>
        <w:tc>
          <w:tcPr>
            <w:tcW w:w="817" w:type="dxa"/>
          </w:tcPr>
          <w:p>
            <w:pPr>
              <w:rPr>
                <w:noProof/>
                <w:szCs w:val="24"/>
              </w:rPr>
            </w:pPr>
            <w:r>
              <w:rPr>
                <w:noProof/>
              </w:rPr>
              <w:t>5</w:t>
            </w:r>
          </w:p>
        </w:tc>
        <w:tc>
          <w:tcPr>
            <w:tcW w:w="2693" w:type="dxa"/>
          </w:tcPr>
          <w:p>
            <w:pPr>
              <w:rPr>
                <w:noProof/>
                <w:szCs w:val="24"/>
              </w:rPr>
            </w:pPr>
            <w:r>
              <w:rPr>
                <w:noProof/>
              </w:rPr>
              <w:t>OTIF/RID/CE/GTP/2017/8</w:t>
            </w:r>
          </w:p>
        </w:tc>
        <w:tc>
          <w:tcPr>
            <w:tcW w:w="1701" w:type="dxa"/>
          </w:tcPr>
          <w:p>
            <w:pPr>
              <w:rPr>
                <w:rFonts w:eastAsia="Times New Roman"/>
                <w:noProof/>
                <w:szCs w:val="24"/>
              </w:rPr>
            </w:pPr>
            <w:r>
              <w:rPr>
                <w:noProof/>
              </w:rPr>
              <w:t>Groupe de travail informel sur les listes de contrôle pour le remplissage et la vidange de wagons-citernes pour gaz liquéfié (Florence, 11 – 13 juillet 2017).</w:t>
            </w:r>
          </w:p>
        </w:tc>
        <w:tc>
          <w:tcPr>
            <w:tcW w:w="2268" w:type="dxa"/>
          </w:tcPr>
          <w:p>
            <w:pPr>
              <w:rPr>
                <w:noProof/>
                <w:szCs w:val="24"/>
              </w:rPr>
            </w:pPr>
            <w:r>
              <w:rPr>
                <w:noProof/>
              </w:rPr>
              <w:t>Consensus technique au sein du groupe de travail permanent de l'OTIF pour l'adoption d'un texte modifié.</w:t>
            </w:r>
          </w:p>
        </w:tc>
        <w:tc>
          <w:tcPr>
            <w:tcW w:w="1810" w:type="dxa"/>
          </w:tcPr>
          <w:p>
            <w:pPr>
              <w:rPr>
                <w:noProof/>
                <w:szCs w:val="24"/>
              </w:rPr>
            </w:pPr>
            <w:r>
              <w:rPr>
                <w:noProof/>
              </w:rPr>
              <w:t>Accepte les modifications révisées par le groupe de travail permanent.</w:t>
            </w:r>
          </w:p>
        </w:tc>
      </w:tr>
      <w:tr>
        <w:tc>
          <w:tcPr>
            <w:tcW w:w="817" w:type="dxa"/>
          </w:tcPr>
          <w:p>
            <w:pPr>
              <w:rPr>
                <w:noProof/>
                <w:szCs w:val="24"/>
              </w:rPr>
            </w:pPr>
            <w:r>
              <w:rPr>
                <w:noProof/>
              </w:rPr>
              <w:t>6</w:t>
            </w:r>
          </w:p>
        </w:tc>
        <w:tc>
          <w:tcPr>
            <w:tcW w:w="2693" w:type="dxa"/>
          </w:tcPr>
          <w:p>
            <w:pPr>
              <w:rPr>
                <w:noProof/>
                <w:szCs w:val="24"/>
              </w:rPr>
            </w:pPr>
            <w:r>
              <w:rPr>
                <w:noProof/>
              </w:rPr>
              <w:t>OTIF/RID/CE/GTP/2017/15</w:t>
            </w:r>
          </w:p>
        </w:tc>
        <w:tc>
          <w:tcPr>
            <w:tcW w:w="1701" w:type="dxa"/>
          </w:tcPr>
          <w:p>
            <w:pPr>
              <w:rPr>
                <w:rFonts w:eastAsia="Times New Roman"/>
                <w:noProof/>
                <w:szCs w:val="24"/>
              </w:rPr>
            </w:pPr>
            <w:r>
              <w:rPr>
                <w:noProof/>
              </w:rPr>
              <w:t>Les textes consolidés adoptés lors de la réunion conjointe en 2016 et 2017 et par le groupe de travail permanent de la commission d’experts du RID en novembre 2016.</w:t>
            </w:r>
          </w:p>
        </w:tc>
        <w:tc>
          <w:tcPr>
            <w:tcW w:w="2268" w:type="dxa"/>
          </w:tcPr>
          <w:p>
            <w:pPr>
              <w:rPr>
                <w:noProof/>
                <w:szCs w:val="24"/>
              </w:rPr>
            </w:pPr>
            <w:r>
              <w:rPr>
                <w:noProof/>
              </w:rPr>
              <w:t>Consensus technique au sein du groupe de travail permanent de l'OTIF pour l'adoption d'un texte modifié.</w:t>
            </w:r>
          </w:p>
        </w:tc>
        <w:tc>
          <w:tcPr>
            <w:tcW w:w="1810" w:type="dxa"/>
          </w:tcPr>
          <w:p>
            <w:pPr>
              <w:rPr>
                <w:noProof/>
                <w:szCs w:val="24"/>
              </w:rPr>
            </w:pPr>
            <w:r>
              <w:rPr>
                <w:noProof/>
              </w:rPr>
              <w:t>Accepte les modifications révisées par le groupe de travail permanent.</w:t>
            </w:r>
          </w:p>
        </w:tc>
      </w:tr>
      <w:tr>
        <w:tc>
          <w:tcPr>
            <w:tcW w:w="817" w:type="dxa"/>
          </w:tcPr>
          <w:p>
            <w:pPr>
              <w:rPr>
                <w:noProof/>
                <w:szCs w:val="24"/>
              </w:rPr>
            </w:pPr>
            <w:r>
              <w:rPr>
                <w:noProof/>
              </w:rPr>
              <w:t>7</w:t>
            </w:r>
          </w:p>
        </w:tc>
        <w:tc>
          <w:tcPr>
            <w:tcW w:w="2693" w:type="dxa"/>
          </w:tcPr>
          <w:p>
            <w:pPr>
              <w:rPr>
                <w:noProof/>
                <w:szCs w:val="24"/>
              </w:rPr>
            </w:pPr>
            <w:r>
              <w:rPr>
                <w:noProof/>
              </w:rPr>
              <w:t>Idem</w:t>
            </w:r>
          </w:p>
        </w:tc>
        <w:tc>
          <w:tcPr>
            <w:tcW w:w="1701" w:type="dxa"/>
          </w:tcPr>
          <w:p>
            <w:pPr>
              <w:rPr>
                <w:rFonts w:eastAsia="Times New Roman"/>
                <w:noProof/>
                <w:szCs w:val="24"/>
              </w:rPr>
            </w:pPr>
            <w:r>
              <w:rPr>
                <w:noProof/>
              </w:rPr>
              <w:t>Modifications qui feront l'objet d'un examen plus approfondi par le groupe de travail permanent</w:t>
            </w:r>
          </w:p>
        </w:tc>
        <w:tc>
          <w:tcPr>
            <w:tcW w:w="2268" w:type="dxa"/>
          </w:tcPr>
          <w:p>
            <w:pPr>
              <w:rPr>
                <w:noProof/>
                <w:szCs w:val="24"/>
              </w:rPr>
            </w:pPr>
            <w:r>
              <w:rPr>
                <w:noProof/>
              </w:rPr>
              <w:t xml:space="preserve">- </w:t>
            </w:r>
          </w:p>
        </w:tc>
        <w:tc>
          <w:tcPr>
            <w:tcW w:w="1810" w:type="dxa"/>
          </w:tcPr>
          <w:p>
            <w:pPr>
              <w:rPr>
                <w:noProof/>
                <w:szCs w:val="24"/>
              </w:rPr>
            </w:pPr>
            <w:r>
              <w:rPr>
                <w:noProof/>
              </w:rPr>
              <w:t>-</w:t>
            </w:r>
          </w:p>
        </w:tc>
      </w:tr>
      <w:tr>
        <w:tc>
          <w:tcPr>
            <w:tcW w:w="817" w:type="dxa"/>
          </w:tcPr>
          <w:p>
            <w:pPr>
              <w:rPr>
                <w:noProof/>
                <w:szCs w:val="24"/>
              </w:rPr>
            </w:pPr>
            <w:r>
              <w:rPr>
                <w:noProof/>
              </w:rPr>
              <w:t>8</w:t>
            </w:r>
          </w:p>
        </w:tc>
        <w:tc>
          <w:tcPr>
            <w:tcW w:w="2693" w:type="dxa"/>
          </w:tcPr>
          <w:p>
            <w:pPr>
              <w:rPr>
                <w:noProof/>
                <w:szCs w:val="24"/>
              </w:rPr>
            </w:pPr>
            <w:r>
              <w:rPr>
                <w:noProof/>
              </w:rPr>
              <w:t>Idem</w:t>
            </w:r>
          </w:p>
        </w:tc>
        <w:tc>
          <w:tcPr>
            <w:tcW w:w="1701" w:type="dxa"/>
          </w:tcPr>
          <w:p>
            <w:pPr>
              <w:rPr>
                <w:rFonts w:eastAsia="Times New Roman"/>
                <w:noProof/>
                <w:szCs w:val="24"/>
              </w:rPr>
            </w:pPr>
            <w:r>
              <w:rPr>
                <w:noProof/>
              </w:rPr>
              <w:t>Points nécessitant une position commune lors de la réunion conjointe CEE-ONU — OTIF</w:t>
            </w:r>
          </w:p>
        </w:tc>
        <w:tc>
          <w:tcPr>
            <w:tcW w:w="2268" w:type="dxa"/>
          </w:tcPr>
          <w:p>
            <w:pPr>
              <w:rPr>
                <w:noProof/>
                <w:szCs w:val="24"/>
              </w:rPr>
            </w:pPr>
            <w:r>
              <w:rPr>
                <w:noProof/>
              </w:rPr>
              <w:t>Nécessité de faciliter un transport multimodal efficace</w:t>
            </w:r>
          </w:p>
        </w:tc>
        <w:tc>
          <w:tcPr>
            <w:tcW w:w="1810" w:type="dxa"/>
          </w:tcPr>
          <w:p>
            <w:pPr>
              <w:rPr>
                <w:noProof/>
                <w:szCs w:val="24"/>
              </w:rPr>
            </w:pPr>
            <w:r>
              <w:rPr>
                <w:noProof/>
              </w:rPr>
              <w:t>Accepte la modification recommandée par la réunion conjointe</w:t>
            </w:r>
          </w:p>
        </w:tc>
      </w:tr>
      <w:tr>
        <w:tc>
          <w:tcPr>
            <w:tcW w:w="817" w:type="dxa"/>
          </w:tcPr>
          <w:p>
            <w:pPr>
              <w:rPr>
                <w:noProof/>
                <w:szCs w:val="24"/>
              </w:rPr>
            </w:pPr>
            <w:r>
              <w:rPr>
                <w:noProof/>
              </w:rPr>
              <w:t>9</w:t>
            </w:r>
          </w:p>
        </w:tc>
        <w:tc>
          <w:tcPr>
            <w:tcW w:w="2693" w:type="dxa"/>
          </w:tcPr>
          <w:p>
            <w:pPr>
              <w:rPr>
                <w:noProof/>
                <w:szCs w:val="24"/>
              </w:rPr>
            </w:pPr>
            <w:r>
              <w:rPr>
                <w:noProof/>
              </w:rPr>
              <w:t>OTIF/RID/CE/GTP/2017/INF.8</w:t>
            </w:r>
          </w:p>
        </w:tc>
        <w:tc>
          <w:tcPr>
            <w:tcW w:w="1701" w:type="dxa"/>
          </w:tcPr>
          <w:p>
            <w:pPr>
              <w:rPr>
                <w:noProof/>
              </w:rPr>
            </w:pPr>
            <w:r>
              <w:rPr>
                <w:noProof/>
              </w:rPr>
              <w:t>Tirets redondants au point 4.3.3.5.</w:t>
            </w:r>
          </w:p>
          <w:p>
            <w:pPr>
              <w:rPr>
                <w:noProof/>
              </w:rPr>
            </w:pPr>
          </w:p>
        </w:tc>
        <w:tc>
          <w:tcPr>
            <w:tcW w:w="2268" w:type="dxa"/>
          </w:tcPr>
          <w:p>
            <w:pPr>
              <w:rPr>
                <w:noProof/>
                <w:szCs w:val="24"/>
              </w:rPr>
            </w:pPr>
            <w:r>
              <w:rPr>
                <w:noProof/>
              </w:rPr>
              <w:t>Consensus technique au sein du groupe de travail permanent de l'OTIF pour l'adoption d'un texte modifié.</w:t>
            </w:r>
          </w:p>
        </w:tc>
        <w:tc>
          <w:tcPr>
            <w:tcW w:w="1810" w:type="dxa"/>
          </w:tcPr>
          <w:p>
            <w:pPr>
              <w:rPr>
                <w:noProof/>
                <w:szCs w:val="24"/>
              </w:rPr>
            </w:pPr>
            <w:r>
              <w:rPr>
                <w:noProof/>
              </w:rPr>
              <w:t>Accepte les modifications révisées par le groupe de travail permanent.</w:t>
            </w:r>
          </w:p>
        </w:tc>
      </w:tr>
      <w:tr>
        <w:tc>
          <w:tcPr>
            <w:tcW w:w="817" w:type="dxa"/>
          </w:tcPr>
          <w:p>
            <w:pPr>
              <w:rPr>
                <w:noProof/>
                <w:szCs w:val="24"/>
              </w:rPr>
            </w:pPr>
            <w:r>
              <w:rPr>
                <w:noProof/>
              </w:rPr>
              <w:t>10</w:t>
            </w:r>
          </w:p>
        </w:tc>
        <w:tc>
          <w:tcPr>
            <w:tcW w:w="2693" w:type="dxa"/>
          </w:tcPr>
          <w:p>
            <w:pPr>
              <w:rPr>
                <w:noProof/>
                <w:szCs w:val="24"/>
              </w:rPr>
            </w:pPr>
            <w:r>
              <w:rPr>
                <w:noProof/>
              </w:rPr>
              <w:t>OTIF/RID/CE/GTP/2017/INF.10</w:t>
            </w:r>
          </w:p>
        </w:tc>
        <w:tc>
          <w:tcPr>
            <w:tcW w:w="1701" w:type="dxa"/>
          </w:tcPr>
          <w:p>
            <w:pPr>
              <w:rPr>
                <w:rFonts w:eastAsia="Times New Roman"/>
                <w:noProof/>
                <w:szCs w:val="24"/>
              </w:rPr>
            </w:pPr>
            <w:r>
              <w:rPr>
                <w:noProof/>
              </w:rPr>
              <w:t>Dispositions transitoires</w:t>
            </w:r>
          </w:p>
        </w:tc>
        <w:tc>
          <w:tcPr>
            <w:tcW w:w="2268" w:type="dxa"/>
          </w:tcPr>
          <w:p>
            <w:pPr>
              <w:rPr>
                <w:noProof/>
                <w:szCs w:val="24"/>
              </w:rPr>
            </w:pPr>
            <w:r>
              <w:rPr>
                <w:noProof/>
              </w:rPr>
              <w:t>Consensus technique au sein du groupe de travail permanent de l'OTIF pour l'adoption d'un texte modifié.</w:t>
            </w:r>
          </w:p>
        </w:tc>
        <w:tc>
          <w:tcPr>
            <w:tcW w:w="1810" w:type="dxa"/>
          </w:tcPr>
          <w:p>
            <w:pPr>
              <w:rPr>
                <w:noProof/>
                <w:szCs w:val="24"/>
              </w:rPr>
            </w:pPr>
            <w:r>
              <w:rPr>
                <w:noProof/>
              </w:rPr>
              <w:t>Accepte les modifications révisées par le groupe de travail permanent.</w:t>
            </w:r>
          </w:p>
        </w:tc>
      </w:tr>
      <w:tr>
        <w:tc>
          <w:tcPr>
            <w:tcW w:w="817" w:type="dxa"/>
          </w:tcPr>
          <w:p>
            <w:pPr>
              <w:rPr>
                <w:noProof/>
                <w:szCs w:val="24"/>
              </w:rPr>
            </w:pPr>
            <w:r>
              <w:rPr>
                <w:noProof/>
              </w:rPr>
              <w:t>11</w:t>
            </w:r>
          </w:p>
        </w:tc>
        <w:tc>
          <w:tcPr>
            <w:tcW w:w="2693" w:type="dxa"/>
          </w:tcPr>
          <w:p>
            <w:pPr>
              <w:rPr>
                <w:noProof/>
                <w:szCs w:val="24"/>
              </w:rPr>
            </w:pPr>
            <w:r>
              <w:rPr>
                <w:noProof/>
              </w:rPr>
              <w:t>OTIF/RID/CE/GTP/2017/INF.12</w:t>
            </w:r>
          </w:p>
        </w:tc>
        <w:tc>
          <w:tcPr>
            <w:tcW w:w="1701" w:type="dxa"/>
          </w:tcPr>
          <w:p>
            <w:pPr>
              <w:rPr>
                <w:rFonts w:eastAsia="Times New Roman"/>
                <w:noProof/>
                <w:szCs w:val="24"/>
              </w:rPr>
            </w:pPr>
            <w:r>
              <w:rPr>
                <w:noProof/>
              </w:rPr>
              <w:t>Proposition de modification du point 2.1.3.5.5 du document OTIF/RID/CE/GTP/2017/15</w:t>
            </w:r>
          </w:p>
        </w:tc>
        <w:tc>
          <w:tcPr>
            <w:tcW w:w="2268" w:type="dxa"/>
          </w:tcPr>
          <w:p>
            <w:pPr>
              <w:rPr>
                <w:noProof/>
                <w:szCs w:val="24"/>
              </w:rPr>
            </w:pPr>
            <w:r>
              <w:rPr>
                <w:noProof/>
              </w:rPr>
              <w:t>Consensus technique au sein du groupe de travail permanent de l'OTIF pour l'adoption d'un texte modifié.</w:t>
            </w:r>
          </w:p>
        </w:tc>
        <w:tc>
          <w:tcPr>
            <w:tcW w:w="1810" w:type="dxa"/>
          </w:tcPr>
          <w:p>
            <w:pPr>
              <w:rPr>
                <w:noProof/>
                <w:szCs w:val="24"/>
              </w:rPr>
            </w:pPr>
            <w:r>
              <w:rPr>
                <w:noProof/>
              </w:rPr>
              <w:t>Accepte les modifications révisées par le groupe de travail permanent.</w:t>
            </w:r>
          </w:p>
        </w:tc>
      </w:tr>
      <w:tr>
        <w:tc>
          <w:tcPr>
            <w:tcW w:w="817" w:type="dxa"/>
          </w:tcPr>
          <w:p>
            <w:pPr>
              <w:rPr>
                <w:noProof/>
                <w:szCs w:val="24"/>
                <w:highlight w:val="yellow"/>
              </w:rPr>
            </w:pPr>
            <w:r>
              <w:rPr>
                <w:noProof/>
              </w:rPr>
              <w:t>12</w:t>
            </w:r>
          </w:p>
        </w:tc>
        <w:tc>
          <w:tcPr>
            <w:tcW w:w="2693" w:type="dxa"/>
          </w:tcPr>
          <w:p>
            <w:pPr>
              <w:rPr>
                <w:noProof/>
                <w:szCs w:val="24"/>
              </w:rPr>
            </w:pPr>
            <w:r>
              <w:rPr>
                <w:noProof/>
              </w:rPr>
              <w:t>OTIF/RID/CE/GTP/2017/INF.16</w:t>
            </w:r>
          </w:p>
        </w:tc>
        <w:tc>
          <w:tcPr>
            <w:tcW w:w="1701" w:type="dxa"/>
          </w:tcPr>
          <w:p>
            <w:pPr>
              <w:rPr>
                <w:rFonts w:eastAsia="Times New Roman"/>
                <w:noProof/>
                <w:szCs w:val="24"/>
              </w:rPr>
            </w:pPr>
            <w:r>
              <w:rPr>
                <w:noProof/>
              </w:rPr>
              <w:t>103</w:t>
            </w:r>
            <w:r>
              <w:rPr>
                <w:noProof/>
                <w:vertAlign w:val="superscript"/>
              </w:rPr>
              <w:t>e</w:t>
            </w:r>
            <w:r>
              <w:rPr>
                <w:noProof/>
              </w:rPr>
              <w:t xml:space="preserve"> session du groupe de travail 15 (Genève, 6 – 10 novembre 2017)</w:t>
            </w:r>
          </w:p>
        </w:tc>
        <w:tc>
          <w:tcPr>
            <w:tcW w:w="2268" w:type="dxa"/>
          </w:tcPr>
          <w:p>
            <w:pPr>
              <w:rPr>
                <w:noProof/>
                <w:szCs w:val="24"/>
              </w:rPr>
            </w:pPr>
            <w:r>
              <w:rPr>
                <w:noProof/>
              </w:rPr>
              <w:t>Consensus technique au sein du groupe de travail permanent de l'OTIF pour l'adoption d'un texte modifié.</w:t>
            </w:r>
          </w:p>
        </w:tc>
        <w:tc>
          <w:tcPr>
            <w:tcW w:w="1810" w:type="dxa"/>
          </w:tcPr>
          <w:p>
            <w:pPr>
              <w:rPr>
                <w:noProof/>
                <w:szCs w:val="24"/>
              </w:rPr>
            </w:pPr>
            <w:r>
              <w:rPr>
                <w:noProof/>
              </w:rPr>
              <w:t>Accepte les modifications révisées par le groupe de travail permanent.</w:t>
            </w:r>
          </w:p>
        </w:tc>
      </w:tr>
    </w:tbl>
    <w:p>
      <w:pPr>
        <w:rPr>
          <w:noProof/>
        </w:rPr>
      </w:pPr>
    </w:p>
    <w:sectPr>
      <w:footerReference w:type="default" r:id="rId16"/>
      <w:footerReference w:type="first" r:id="rId17"/>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8653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67880AE"/>
    <w:lvl w:ilvl="0">
      <w:start w:val="1"/>
      <w:numFmt w:val="decimal"/>
      <w:pStyle w:val="ListNumber3"/>
      <w:lvlText w:val="%1."/>
      <w:lvlJc w:val="left"/>
      <w:pPr>
        <w:tabs>
          <w:tab w:val="num" w:pos="926"/>
        </w:tabs>
        <w:ind w:left="926" w:hanging="360"/>
      </w:pPr>
    </w:lvl>
  </w:abstractNum>
  <w:abstractNum w:abstractNumId="2">
    <w:nsid w:val="FFFFFF7F"/>
    <w:multiLevelType w:val="singleLevel"/>
    <w:tmpl w:val="F5FEAC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694D99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2A53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FFE1E3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EE85922"/>
    <w:lvl w:ilvl="0">
      <w:start w:val="1"/>
      <w:numFmt w:val="decimal"/>
      <w:pStyle w:val="ListNumber"/>
      <w:lvlText w:val="%1."/>
      <w:lvlJc w:val="left"/>
      <w:pPr>
        <w:tabs>
          <w:tab w:val="num" w:pos="360"/>
        </w:tabs>
        <w:ind w:left="360" w:hanging="360"/>
      </w:pPr>
    </w:lvl>
  </w:abstractNum>
  <w:abstractNum w:abstractNumId="7">
    <w:nsid w:val="FFFFFF89"/>
    <w:multiLevelType w:val="singleLevel"/>
    <w:tmpl w:val="9ED2715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2 11:58:5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B2B0205F-8CF7-4120-B8D5-85570DF3D60E"/>
    <w:docVar w:name="LW_COVERPAGE_TYPE" w:val="1"/>
    <w:docVar w:name="LW_CROSSREFERENCE" w:val="&lt;UNUSED&gt;"/>
    <w:docVar w:name="LW_DocType" w:val="ANNEX"/>
    <w:docVar w:name="LW_EMISSION" w:val="9.3.2018"/>
    <w:docVar w:name="LW_EMISSION_ISODATE" w:val="2018-03-09"/>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lors de la 55e session de la commission d'experts pour le transport de marchandises dangereuses instituée par l\u8217?Organisation intergouvernementale pour les transports internationaux ferroviaires en ce qui concerne certaines modifications apportées à l\u8217?appendice C de la convention relative aux transports internationaux ferroviaires, applicables à partir du 1er&lt;LWCR:NBS&gt;janvier&lt;LWCR:NBS&gt;2019"/>
    <w:docVar w:name="LW_OBJETACTEPRINCIPAL.CP" w:val="relative à la position à prendre, au nom de l\u8217?Union européenne, lors de la 55e session de la commission d'experts pour le transport de marchandises dangereuses instituée par l\u8217?Organisation intergouvernementale pour les transports internationaux ferroviaires en ce qui concerne certaines modifications apportées à l\u8217?appendice C de la convention relative aux transports internationaux ferroviaires, applicables à partir du 1er janvier 2019"/>
    <w:docVar w:name="LW_PART_NBR" w:val="1"/>
    <w:docVar w:name="LW_PART_NBR_TOTAL" w:val="1"/>
    <w:docVar w:name="LW_REF.INST.NEW" w:val="COM"/>
    <w:docVar w:name="LW_REF.INST.NEW_ADOPTED" w:val="final"/>
    <w:docVar w:name="LW_REF.INST.NEW_TEXT" w:val="(2018) 1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5423">
      <w:bodyDiv w:val="1"/>
      <w:marLeft w:val="0"/>
      <w:marRight w:val="0"/>
      <w:marTop w:val="0"/>
      <w:marBottom w:val="0"/>
      <w:divBdr>
        <w:top w:val="none" w:sz="0" w:space="0" w:color="auto"/>
        <w:left w:val="none" w:sz="0" w:space="0" w:color="auto"/>
        <w:bottom w:val="none" w:sz="0" w:space="0" w:color="auto"/>
        <w:right w:val="none" w:sz="0" w:space="0" w:color="auto"/>
      </w:divBdr>
      <w:divsChild>
        <w:div w:id="1897475766">
          <w:marLeft w:val="0"/>
          <w:marRight w:val="0"/>
          <w:marTop w:val="0"/>
          <w:marBottom w:val="0"/>
          <w:divBdr>
            <w:top w:val="none" w:sz="0" w:space="0" w:color="auto"/>
            <w:left w:val="none" w:sz="0" w:space="0" w:color="auto"/>
            <w:bottom w:val="none" w:sz="0" w:space="0" w:color="auto"/>
            <w:right w:val="none" w:sz="0" w:space="0" w:color="auto"/>
          </w:divBdr>
          <w:divsChild>
            <w:div w:id="798644740">
              <w:marLeft w:val="0"/>
              <w:marRight w:val="0"/>
              <w:marTop w:val="0"/>
              <w:marBottom w:val="0"/>
              <w:divBdr>
                <w:top w:val="none" w:sz="0" w:space="0" w:color="auto"/>
                <w:left w:val="none" w:sz="0" w:space="0" w:color="auto"/>
                <w:bottom w:val="none" w:sz="0" w:space="0" w:color="auto"/>
                <w:right w:val="none" w:sz="0" w:space="0" w:color="auto"/>
              </w:divBdr>
              <w:divsChild>
                <w:div w:id="1542473230">
                  <w:marLeft w:val="0"/>
                  <w:marRight w:val="0"/>
                  <w:marTop w:val="0"/>
                  <w:marBottom w:val="0"/>
                  <w:divBdr>
                    <w:top w:val="none" w:sz="0" w:space="0" w:color="auto"/>
                    <w:left w:val="none" w:sz="0" w:space="0" w:color="auto"/>
                    <w:bottom w:val="none" w:sz="0" w:space="0" w:color="auto"/>
                    <w:right w:val="none" w:sz="0" w:space="0" w:color="auto"/>
                  </w:divBdr>
                  <w:divsChild>
                    <w:div w:id="919950571">
                      <w:marLeft w:val="0"/>
                      <w:marRight w:val="0"/>
                      <w:marTop w:val="0"/>
                      <w:marBottom w:val="0"/>
                      <w:divBdr>
                        <w:top w:val="none" w:sz="0" w:space="0" w:color="auto"/>
                        <w:left w:val="none" w:sz="0" w:space="0" w:color="auto"/>
                        <w:bottom w:val="none" w:sz="0" w:space="0" w:color="auto"/>
                        <w:right w:val="none" w:sz="0" w:space="0" w:color="auto"/>
                      </w:divBdr>
                      <w:divsChild>
                        <w:div w:id="955793330">
                          <w:marLeft w:val="0"/>
                          <w:marRight w:val="0"/>
                          <w:marTop w:val="0"/>
                          <w:marBottom w:val="0"/>
                          <w:divBdr>
                            <w:top w:val="none" w:sz="0" w:space="0" w:color="auto"/>
                            <w:left w:val="none" w:sz="0" w:space="0" w:color="auto"/>
                            <w:bottom w:val="none" w:sz="0" w:space="0" w:color="auto"/>
                            <w:right w:val="none" w:sz="0" w:space="0" w:color="auto"/>
                          </w:divBdr>
                          <w:divsChild>
                            <w:div w:id="1322542756">
                              <w:marLeft w:val="0"/>
                              <w:marRight w:val="0"/>
                              <w:marTop w:val="0"/>
                              <w:marBottom w:val="0"/>
                              <w:divBdr>
                                <w:top w:val="none" w:sz="0" w:space="0" w:color="auto"/>
                                <w:left w:val="none" w:sz="0" w:space="0" w:color="auto"/>
                                <w:bottom w:val="none" w:sz="0" w:space="0" w:color="auto"/>
                                <w:right w:val="none" w:sz="0" w:space="0" w:color="auto"/>
                              </w:divBdr>
                              <w:divsChild>
                                <w:div w:id="884945502">
                                  <w:marLeft w:val="0"/>
                                  <w:marRight w:val="0"/>
                                  <w:marTop w:val="100"/>
                                  <w:marBottom w:val="100"/>
                                  <w:divBdr>
                                    <w:top w:val="single" w:sz="2" w:space="0" w:color="73AD21"/>
                                    <w:left w:val="single" w:sz="2" w:space="0" w:color="73AD21"/>
                                    <w:bottom w:val="single" w:sz="2" w:space="0" w:color="73AD21"/>
                                    <w:right w:val="single" w:sz="2" w:space="0" w:color="73AD21"/>
                                  </w:divBdr>
                                  <w:divsChild>
                                    <w:div w:id="1857764237">
                                      <w:marLeft w:val="0"/>
                                      <w:marRight w:val="0"/>
                                      <w:marTop w:val="0"/>
                                      <w:marBottom w:val="0"/>
                                      <w:divBdr>
                                        <w:top w:val="none" w:sz="0" w:space="0" w:color="auto"/>
                                        <w:left w:val="none" w:sz="0" w:space="0" w:color="auto"/>
                                        <w:bottom w:val="none" w:sz="0" w:space="0" w:color="auto"/>
                                        <w:right w:val="none" w:sz="0" w:space="0" w:color="auto"/>
                                      </w:divBdr>
                                      <w:divsChild>
                                        <w:div w:id="1987971049">
                                          <w:marLeft w:val="0"/>
                                          <w:marRight w:val="0"/>
                                          <w:marTop w:val="0"/>
                                          <w:marBottom w:val="0"/>
                                          <w:divBdr>
                                            <w:top w:val="none" w:sz="0" w:space="0" w:color="auto"/>
                                            <w:left w:val="none" w:sz="0" w:space="0" w:color="auto"/>
                                            <w:bottom w:val="none" w:sz="0" w:space="0" w:color="auto"/>
                                            <w:right w:val="none" w:sz="0" w:space="0" w:color="auto"/>
                                          </w:divBdr>
                                          <w:divsChild>
                                            <w:div w:id="1620405676">
                                              <w:marLeft w:val="1"/>
                                              <w:marRight w:val="1"/>
                                              <w:marTop w:val="0"/>
                                              <w:marBottom w:val="600"/>
                                              <w:divBdr>
                                                <w:top w:val="none" w:sz="0" w:space="0" w:color="auto"/>
                                                <w:left w:val="none" w:sz="0" w:space="0" w:color="auto"/>
                                                <w:bottom w:val="none" w:sz="0" w:space="0" w:color="auto"/>
                                                <w:right w:val="none" w:sz="0" w:space="0" w:color="auto"/>
                                              </w:divBdr>
                                              <w:divsChild>
                                                <w:div w:id="86973261">
                                                  <w:marLeft w:val="150"/>
                                                  <w:marRight w:val="0"/>
                                                  <w:marTop w:val="0"/>
                                                  <w:marBottom w:val="0"/>
                                                  <w:divBdr>
                                                    <w:top w:val="none" w:sz="0" w:space="0" w:color="auto"/>
                                                    <w:left w:val="none" w:sz="0" w:space="0" w:color="auto"/>
                                                    <w:bottom w:val="none" w:sz="0" w:space="0" w:color="auto"/>
                                                    <w:right w:val="none" w:sz="0" w:space="0" w:color="auto"/>
                                                  </w:divBdr>
                                                  <w:divsChild>
                                                    <w:div w:id="894466817">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3728259">
      <w:bodyDiv w:val="1"/>
      <w:marLeft w:val="0"/>
      <w:marRight w:val="0"/>
      <w:marTop w:val="0"/>
      <w:marBottom w:val="0"/>
      <w:divBdr>
        <w:top w:val="none" w:sz="0" w:space="0" w:color="auto"/>
        <w:left w:val="none" w:sz="0" w:space="0" w:color="auto"/>
        <w:bottom w:val="none" w:sz="0" w:space="0" w:color="auto"/>
        <w:right w:val="none" w:sz="0" w:space="0" w:color="auto"/>
      </w:divBdr>
    </w:div>
    <w:div w:id="997615648">
      <w:bodyDiv w:val="1"/>
      <w:marLeft w:val="0"/>
      <w:marRight w:val="0"/>
      <w:marTop w:val="0"/>
      <w:marBottom w:val="0"/>
      <w:divBdr>
        <w:top w:val="none" w:sz="0" w:space="0" w:color="auto"/>
        <w:left w:val="none" w:sz="0" w:space="0" w:color="auto"/>
        <w:bottom w:val="none" w:sz="0" w:space="0" w:color="auto"/>
        <w:right w:val="none" w:sz="0" w:space="0" w:color="auto"/>
      </w:divBdr>
      <w:divsChild>
        <w:div w:id="1079600223">
          <w:marLeft w:val="0"/>
          <w:marRight w:val="0"/>
          <w:marTop w:val="0"/>
          <w:marBottom w:val="0"/>
          <w:divBdr>
            <w:top w:val="none" w:sz="0" w:space="0" w:color="auto"/>
            <w:left w:val="none" w:sz="0" w:space="0" w:color="auto"/>
            <w:bottom w:val="none" w:sz="0" w:space="0" w:color="auto"/>
            <w:right w:val="none" w:sz="0" w:space="0" w:color="auto"/>
          </w:divBdr>
          <w:divsChild>
            <w:div w:id="544947679">
              <w:marLeft w:val="0"/>
              <w:marRight w:val="0"/>
              <w:marTop w:val="0"/>
              <w:marBottom w:val="0"/>
              <w:divBdr>
                <w:top w:val="none" w:sz="0" w:space="0" w:color="auto"/>
                <w:left w:val="none" w:sz="0" w:space="0" w:color="auto"/>
                <w:bottom w:val="none" w:sz="0" w:space="0" w:color="auto"/>
                <w:right w:val="none" w:sz="0" w:space="0" w:color="auto"/>
              </w:divBdr>
              <w:divsChild>
                <w:div w:id="394547446">
                  <w:marLeft w:val="0"/>
                  <w:marRight w:val="0"/>
                  <w:marTop w:val="0"/>
                  <w:marBottom w:val="0"/>
                  <w:divBdr>
                    <w:top w:val="none" w:sz="0" w:space="0" w:color="auto"/>
                    <w:left w:val="none" w:sz="0" w:space="0" w:color="auto"/>
                    <w:bottom w:val="none" w:sz="0" w:space="0" w:color="auto"/>
                    <w:right w:val="none" w:sz="0" w:space="0" w:color="auto"/>
                  </w:divBdr>
                  <w:divsChild>
                    <w:div w:id="1084182978">
                      <w:marLeft w:val="0"/>
                      <w:marRight w:val="0"/>
                      <w:marTop w:val="0"/>
                      <w:marBottom w:val="0"/>
                      <w:divBdr>
                        <w:top w:val="none" w:sz="0" w:space="0" w:color="auto"/>
                        <w:left w:val="none" w:sz="0" w:space="0" w:color="auto"/>
                        <w:bottom w:val="none" w:sz="0" w:space="0" w:color="auto"/>
                        <w:right w:val="none" w:sz="0" w:space="0" w:color="auto"/>
                      </w:divBdr>
                      <w:divsChild>
                        <w:div w:id="80178769">
                          <w:marLeft w:val="0"/>
                          <w:marRight w:val="0"/>
                          <w:marTop w:val="0"/>
                          <w:marBottom w:val="0"/>
                          <w:divBdr>
                            <w:top w:val="none" w:sz="0" w:space="0" w:color="auto"/>
                            <w:left w:val="none" w:sz="0" w:space="0" w:color="auto"/>
                            <w:bottom w:val="none" w:sz="0" w:space="0" w:color="auto"/>
                            <w:right w:val="none" w:sz="0" w:space="0" w:color="auto"/>
                          </w:divBdr>
                          <w:divsChild>
                            <w:div w:id="1119884082">
                              <w:marLeft w:val="0"/>
                              <w:marRight w:val="0"/>
                              <w:marTop w:val="0"/>
                              <w:marBottom w:val="0"/>
                              <w:divBdr>
                                <w:top w:val="none" w:sz="0" w:space="0" w:color="auto"/>
                                <w:left w:val="none" w:sz="0" w:space="0" w:color="auto"/>
                                <w:bottom w:val="none" w:sz="0" w:space="0" w:color="auto"/>
                                <w:right w:val="none" w:sz="0" w:space="0" w:color="auto"/>
                              </w:divBdr>
                              <w:divsChild>
                                <w:div w:id="1506819515">
                                  <w:marLeft w:val="0"/>
                                  <w:marRight w:val="0"/>
                                  <w:marTop w:val="100"/>
                                  <w:marBottom w:val="100"/>
                                  <w:divBdr>
                                    <w:top w:val="single" w:sz="2" w:space="0" w:color="73AD21"/>
                                    <w:left w:val="single" w:sz="2" w:space="0" w:color="73AD21"/>
                                    <w:bottom w:val="single" w:sz="2" w:space="0" w:color="73AD21"/>
                                    <w:right w:val="single" w:sz="2" w:space="0" w:color="73AD21"/>
                                  </w:divBdr>
                                  <w:divsChild>
                                    <w:div w:id="803622069">
                                      <w:marLeft w:val="0"/>
                                      <w:marRight w:val="0"/>
                                      <w:marTop w:val="0"/>
                                      <w:marBottom w:val="0"/>
                                      <w:divBdr>
                                        <w:top w:val="none" w:sz="0" w:space="0" w:color="auto"/>
                                        <w:left w:val="none" w:sz="0" w:space="0" w:color="auto"/>
                                        <w:bottom w:val="none" w:sz="0" w:space="0" w:color="auto"/>
                                        <w:right w:val="none" w:sz="0" w:space="0" w:color="auto"/>
                                      </w:divBdr>
                                      <w:divsChild>
                                        <w:div w:id="1230966489">
                                          <w:marLeft w:val="0"/>
                                          <w:marRight w:val="0"/>
                                          <w:marTop w:val="0"/>
                                          <w:marBottom w:val="0"/>
                                          <w:divBdr>
                                            <w:top w:val="none" w:sz="0" w:space="0" w:color="auto"/>
                                            <w:left w:val="none" w:sz="0" w:space="0" w:color="auto"/>
                                            <w:bottom w:val="none" w:sz="0" w:space="0" w:color="auto"/>
                                            <w:right w:val="none" w:sz="0" w:space="0" w:color="auto"/>
                                          </w:divBdr>
                                          <w:divsChild>
                                            <w:div w:id="1804034360">
                                              <w:marLeft w:val="1"/>
                                              <w:marRight w:val="1"/>
                                              <w:marTop w:val="0"/>
                                              <w:marBottom w:val="600"/>
                                              <w:divBdr>
                                                <w:top w:val="none" w:sz="0" w:space="0" w:color="auto"/>
                                                <w:left w:val="none" w:sz="0" w:space="0" w:color="auto"/>
                                                <w:bottom w:val="none" w:sz="0" w:space="0" w:color="auto"/>
                                                <w:right w:val="none" w:sz="0" w:space="0" w:color="auto"/>
                                              </w:divBdr>
                                              <w:divsChild>
                                                <w:div w:id="848834966">
                                                  <w:marLeft w:val="150"/>
                                                  <w:marRight w:val="0"/>
                                                  <w:marTop w:val="0"/>
                                                  <w:marBottom w:val="0"/>
                                                  <w:divBdr>
                                                    <w:top w:val="none" w:sz="0" w:space="0" w:color="auto"/>
                                                    <w:left w:val="none" w:sz="0" w:space="0" w:color="auto"/>
                                                    <w:bottom w:val="none" w:sz="0" w:space="0" w:color="auto"/>
                                                    <w:right w:val="none" w:sz="0" w:space="0" w:color="auto"/>
                                                  </w:divBdr>
                                                  <w:divsChild>
                                                    <w:div w:id="1873568876">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1725450">
      <w:bodyDiv w:val="1"/>
      <w:marLeft w:val="0"/>
      <w:marRight w:val="0"/>
      <w:marTop w:val="0"/>
      <w:marBottom w:val="0"/>
      <w:divBdr>
        <w:top w:val="none" w:sz="0" w:space="0" w:color="auto"/>
        <w:left w:val="none" w:sz="0" w:space="0" w:color="auto"/>
        <w:bottom w:val="none" w:sz="0" w:space="0" w:color="auto"/>
        <w:right w:val="none" w:sz="0" w:space="0" w:color="auto"/>
      </w:divBdr>
      <w:divsChild>
        <w:div w:id="1737821678">
          <w:marLeft w:val="0"/>
          <w:marRight w:val="0"/>
          <w:marTop w:val="0"/>
          <w:marBottom w:val="0"/>
          <w:divBdr>
            <w:top w:val="none" w:sz="0" w:space="0" w:color="auto"/>
            <w:left w:val="none" w:sz="0" w:space="0" w:color="auto"/>
            <w:bottom w:val="none" w:sz="0" w:space="0" w:color="auto"/>
            <w:right w:val="none" w:sz="0" w:space="0" w:color="auto"/>
          </w:divBdr>
          <w:divsChild>
            <w:div w:id="624969972">
              <w:marLeft w:val="0"/>
              <w:marRight w:val="0"/>
              <w:marTop w:val="0"/>
              <w:marBottom w:val="0"/>
              <w:divBdr>
                <w:top w:val="none" w:sz="0" w:space="0" w:color="auto"/>
                <w:left w:val="none" w:sz="0" w:space="0" w:color="auto"/>
                <w:bottom w:val="none" w:sz="0" w:space="0" w:color="auto"/>
                <w:right w:val="none" w:sz="0" w:space="0" w:color="auto"/>
              </w:divBdr>
              <w:divsChild>
                <w:div w:id="1558273508">
                  <w:marLeft w:val="0"/>
                  <w:marRight w:val="0"/>
                  <w:marTop w:val="0"/>
                  <w:marBottom w:val="0"/>
                  <w:divBdr>
                    <w:top w:val="none" w:sz="0" w:space="0" w:color="auto"/>
                    <w:left w:val="none" w:sz="0" w:space="0" w:color="auto"/>
                    <w:bottom w:val="none" w:sz="0" w:space="0" w:color="auto"/>
                    <w:right w:val="none" w:sz="0" w:space="0" w:color="auto"/>
                  </w:divBdr>
                  <w:divsChild>
                    <w:div w:id="1534267522">
                      <w:marLeft w:val="0"/>
                      <w:marRight w:val="0"/>
                      <w:marTop w:val="0"/>
                      <w:marBottom w:val="0"/>
                      <w:divBdr>
                        <w:top w:val="none" w:sz="0" w:space="0" w:color="auto"/>
                        <w:left w:val="none" w:sz="0" w:space="0" w:color="auto"/>
                        <w:bottom w:val="none" w:sz="0" w:space="0" w:color="auto"/>
                        <w:right w:val="none" w:sz="0" w:space="0" w:color="auto"/>
                      </w:divBdr>
                      <w:divsChild>
                        <w:div w:id="771709760">
                          <w:marLeft w:val="0"/>
                          <w:marRight w:val="0"/>
                          <w:marTop w:val="0"/>
                          <w:marBottom w:val="0"/>
                          <w:divBdr>
                            <w:top w:val="none" w:sz="0" w:space="0" w:color="auto"/>
                            <w:left w:val="none" w:sz="0" w:space="0" w:color="auto"/>
                            <w:bottom w:val="none" w:sz="0" w:space="0" w:color="auto"/>
                            <w:right w:val="none" w:sz="0" w:space="0" w:color="auto"/>
                          </w:divBdr>
                          <w:divsChild>
                            <w:div w:id="1116481590">
                              <w:marLeft w:val="0"/>
                              <w:marRight w:val="0"/>
                              <w:marTop w:val="0"/>
                              <w:marBottom w:val="0"/>
                              <w:divBdr>
                                <w:top w:val="none" w:sz="0" w:space="0" w:color="auto"/>
                                <w:left w:val="none" w:sz="0" w:space="0" w:color="auto"/>
                                <w:bottom w:val="none" w:sz="0" w:space="0" w:color="auto"/>
                                <w:right w:val="none" w:sz="0" w:space="0" w:color="auto"/>
                              </w:divBdr>
                              <w:divsChild>
                                <w:div w:id="946816307">
                                  <w:marLeft w:val="0"/>
                                  <w:marRight w:val="0"/>
                                  <w:marTop w:val="100"/>
                                  <w:marBottom w:val="100"/>
                                  <w:divBdr>
                                    <w:top w:val="single" w:sz="2" w:space="0" w:color="73AD21"/>
                                    <w:left w:val="single" w:sz="2" w:space="0" w:color="73AD21"/>
                                    <w:bottom w:val="single" w:sz="2" w:space="0" w:color="73AD21"/>
                                    <w:right w:val="single" w:sz="2" w:space="0" w:color="73AD21"/>
                                  </w:divBdr>
                                  <w:divsChild>
                                    <w:div w:id="2108652314">
                                      <w:marLeft w:val="0"/>
                                      <w:marRight w:val="0"/>
                                      <w:marTop w:val="0"/>
                                      <w:marBottom w:val="0"/>
                                      <w:divBdr>
                                        <w:top w:val="none" w:sz="0" w:space="0" w:color="auto"/>
                                        <w:left w:val="none" w:sz="0" w:space="0" w:color="auto"/>
                                        <w:bottom w:val="none" w:sz="0" w:space="0" w:color="auto"/>
                                        <w:right w:val="none" w:sz="0" w:space="0" w:color="auto"/>
                                      </w:divBdr>
                                      <w:divsChild>
                                        <w:div w:id="664568">
                                          <w:marLeft w:val="0"/>
                                          <w:marRight w:val="0"/>
                                          <w:marTop w:val="0"/>
                                          <w:marBottom w:val="0"/>
                                          <w:divBdr>
                                            <w:top w:val="none" w:sz="0" w:space="0" w:color="auto"/>
                                            <w:left w:val="none" w:sz="0" w:space="0" w:color="auto"/>
                                            <w:bottom w:val="none" w:sz="0" w:space="0" w:color="auto"/>
                                            <w:right w:val="none" w:sz="0" w:space="0" w:color="auto"/>
                                          </w:divBdr>
                                          <w:divsChild>
                                            <w:div w:id="1061976563">
                                              <w:marLeft w:val="1"/>
                                              <w:marRight w:val="1"/>
                                              <w:marTop w:val="0"/>
                                              <w:marBottom w:val="600"/>
                                              <w:divBdr>
                                                <w:top w:val="none" w:sz="0" w:space="0" w:color="auto"/>
                                                <w:left w:val="none" w:sz="0" w:space="0" w:color="auto"/>
                                                <w:bottom w:val="none" w:sz="0" w:space="0" w:color="auto"/>
                                                <w:right w:val="none" w:sz="0" w:space="0" w:color="auto"/>
                                              </w:divBdr>
                                              <w:divsChild>
                                                <w:div w:id="2124306139">
                                                  <w:marLeft w:val="150"/>
                                                  <w:marRight w:val="0"/>
                                                  <w:marTop w:val="0"/>
                                                  <w:marBottom w:val="0"/>
                                                  <w:divBdr>
                                                    <w:top w:val="none" w:sz="0" w:space="0" w:color="auto"/>
                                                    <w:left w:val="none" w:sz="0" w:space="0" w:color="auto"/>
                                                    <w:bottom w:val="none" w:sz="0" w:space="0" w:color="auto"/>
                                                    <w:right w:val="none" w:sz="0" w:space="0" w:color="auto"/>
                                                  </w:divBdr>
                                                  <w:divsChild>
                                                    <w:div w:id="1143040958">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63A92-A301-4995-BAB4-006108C8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Pages>
  <Words>458</Words>
  <Characters>2729</Characters>
  <Application>Microsoft Office Word</Application>
  <DocSecurity>0</DocSecurity>
  <Lines>272</Lines>
  <Paragraphs>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STANCIU Monica (MOVE)</dc:creator>
  <cp:lastModifiedBy>DIGIT/A3</cp:lastModifiedBy>
  <cp:revision>7</cp:revision>
  <cp:lastPrinted>2017-12-04T08:24:00Z</cp:lastPrinted>
  <dcterms:created xsi:type="dcterms:W3CDTF">2018-02-28T11:57:00Z</dcterms:created>
  <dcterms:modified xsi:type="dcterms:W3CDTF">2018-03-02T10:58:00Z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