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alt="50FA2CAA-274A-44D6-8468-8B9BFE940C3A" style="width:450.75pt;height:366pt">
            <v:imagedata r:id="rId9" o:title=""/>
          </v:shape>
        </w:pict>
      </w:r>
    </w:p>
    <w:p>
      <w:pPr>
        <w:rPr>
          <w:noProof/>
        </w:rPr>
        <w:sectPr>
          <w:headerReference w:type="even" r:id="rId10"/>
          <w:headerReference w:type="default" r:id="rId11"/>
          <w:footerReference w:type="even" r:id="rId12"/>
          <w:footerReference w:type="default" r:id="rId13"/>
          <w:headerReference w:type="first" r:id="rId14"/>
          <w:footerReference w:type="first" r:id="rId15"/>
          <w:pgSz w:w="11907" w:h="16839"/>
          <w:pgMar w:top="1134" w:right="1417" w:bottom="1134" w:left="1417" w:header="709" w:footer="709" w:gutter="0"/>
          <w:pgNumType w:start="0"/>
          <w:cols w:space="720"/>
          <w:docGrid w:linePitch="360"/>
        </w:sectPr>
      </w:pPr>
    </w:p>
    <w:p>
      <w:pPr>
        <w:pStyle w:val="Exposdesmotifstitre"/>
        <w:rPr>
          <w:noProof/>
        </w:rPr>
      </w:pPr>
      <w:bookmarkStart w:id="0" w:name="_GoBack"/>
      <w:bookmarkEnd w:id="0"/>
      <w:r>
        <w:rPr>
          <w:noProof/>
        </w:rPr>
        <w:lastRenderedPageBreak/>
        <w:t>ОБЯСНИТЕЛЕН МЕМОРАНДУМ</w:t>
      </w:r>
    </w:p>
    <w:p>
      <w:pPr>
        <w:pBdr>
          <w:top w:val="nil"/>
          <w:left w:val="nil"/>
          <w:bottom w:val="nil"/>
          <w:right w:val="nil"/>
          <w:between w:val="nil"/>
          <w:bar w:val="nil"/>
        </w:pBdr>
        <w:spacing w:before="0" w:after="240"/>
        <w:rPr>
          <w:noProof/>
        </w:rPr>
      </w:pPr>
      <w:r>
        <w:rPr>
          <w:noProof/>
        </w:rPr>
        <w:t>В съответствие с член 395, параграф 1 от Директива 2006/112/ЕО от 28 ноември 2006 г. относно общата система на данъка върху добавената стойност</w:t>
      </w:r>
      <w:r>
        <w:rPr>
          <w:rStyle w:val="FootnoteReference"/>
          <w:noProof/>
        </w:rPr>
        <w:footnoteReference w:id="1"/>
      </w:r>
      <w:r>
        <w:rPr>
          <w:noProof/>
        </w:rPr>
        <w:t xml:space="preserve"> („Директивата за ДДС“) Съветът, като действа с единодушие по предложение на Комисията, може да разреши на всяка държава членка да прилага специални мерки за дерогация от разпоредбите на посочената директива с цел да опрости процедурата за събиране на ДДС или да предотврати някои форми на отклонение от данъчно облагане или избягване на данъци.</w:t>
      </w:r>
    </w:p>
    <w:p>
      <w:pPr>
        <w:rPr>
          <w:noProof/>
        </w:rPr>
      </w:pPr>
      <w:r>
        <w:rPr>
          <w:noProof/>
        </w:rPr>
        <w:t>С писмо, заведено в Комисията на 13 юли 2017 г., Унгария поиска разрешение да въведе мярка за дерогация от член 193 от Директивата за ДДС. В съответствие с член 395, параграф 2 от Директивата за ДДС Комисията информира с писмо от 15 януари 2018 г. останалите държави членки за отправеното от Унгария искане. С писмо от 16 януари 2018 г. Комисията уведоми Унгария, че разполага с цялата информация, която ѝ е необходима за оценка на искането.</w:t>
      </w:r>
    </w:p>
    <w:p>
      <w:pPr>
        <w:pStyle w:val="ManualHeading1"/>
        <w:rPr>
          <w:noProof/>
        </w:rPr>
      </w:pPr>
      <w:r>
        <w:rPr>
          <w:noProof/>
        </w:rPr>
        <w:t>1.</w:t>
      </w:r>
      <w:r>
        <w:rPr>
          <w:noProof/>
        </w:rPr>
        <w:tab/>
        <w:t>КОНТЕКСТ НА ПРЕДЛОЖЕНИЕТО</w:t>
      </w:r>
    </w:p>
    <w:p>
      <w:pPr>
        <w:pStyle w:val="ManualHeading2"/>
        <w:rPr>
          <w:rFonts w:eastAsia="Arial Unicode MS"/>
          <w:noProof/>
        </w:rPr>
      </w:pPr>
      <w:r>
        <w:rPr>
          <w:noProof/>
          <w:color w:val="000000"/>
          <w:u w:color="000000"/>
          <w:bdr w:val="nil"/>
        </w:rPr>
        <w:t>•</w:t>
      </w:r>
      <w:r>
        <w:rPr>
          <w:noProof/>
        </w:rPr>
        <w:tab/>
        <w:t>Основания и цели на предложението</w:t>
      </w:r>
    </w:p>
    <w:p>
      <w:pPr>
        <w:pBdr>
          <w:top w:val="nil"/>
          <w:left w:val="nil"/>
          <w:bottom w:val="nil"/>
          <w:right w:val="nil"/>
          <w:between w:val="nil"/>
          <w:bar w:val="nil"/>
        </w:pBdr>
        <w:spacing w:before="0" w:after="240"/>
        <w:rPr>
          <w:rFonts w:eastAsia="Arial Unicode MS"/>
          <w:noProof/>
        </w:rPr>
      </w:pPr>
      <w:r>
        <w:rPr>
          <w:noProof/>
        </w:rPr>
        <w:t xml:space="preserve">На основание на член 199, параграф 1, буква ж) от Директивата за ДДС държавите членки могат да предвидят платец на ДДС да бъде данъчно задълженото лице, за което се извършва доставката на недвижими вещи, продадени от длъжник, срещу когото е произнесено съдебно решение за изпълнение при процедура за публична продан („механизъм за обратно начисляване“). Унгария би искала да разшири обхвата на приложение на механизма за обратно начисляване, така че в него да се включат и доставките на дълготрайни активи за дружеството и доставките на стоки и услуги на пазарна стойност, надвишаваща 100 000 HUF (приблизително 320 EUR), ако данъчно задълженото лице, извършващо доставките на стоките или услугите, е в производство по ликвидация или каквото и да е друго производство за правно установяване на несъстоятелността му. </w:t>
      </w:r>
    </w:p>
    <w:p>
      <w:pPr>
        <w:pBdr>
          <w:top w:val="nil"/>
          <w:left w:val="nil"/>
          <w:bottom w:val="nil"/>
          <w:right w:val="nil"/>
          <w:between w:val="nil"/>
          <w:bar w:val="nil"/>
        </w:pBdr>
        <w:spacing w:before="0" w:after="240"/>
        <w:rPr>
          <w:rFonts w:eastAsia="Arial Unicode MS"/>
          <w:noProof/>
        </w:rPr>
      </w:pPr>
      <w:r>
        <w:rPr>
          <w:noProof/>
        </w:rPr>
        <w:t xml:space="preserve">Според Унгария дълготрайните активи обикновено представляват инструменти, машини и предмети с висока стойност, а данъчно задължените лица в несъстоятелност извършват голям брой сделки на стойност над прага от 100 000 HUF. Ликвидаторът често не успява да заплати дължимия ДДС, тъй като сумата се използва за погасяване на по-ранни искове. Същевременно купувачът, който е данъчно задължено лице с право на приспадане, може все пак да си приспадне заплатеното ДДС, като това води до загуби за бюджета и в общи линии финансира ликвидацията. В Унгария са регистрирани случаи на измама, при които дружества в ликвидация издават фиктивни фактури на действащи дружества, като по този начин намаляват драстично своите данъчни задължения, без да има гаранция, че издателят на фактурата ще заплати дължимия ДДС. </w:t>
      </w:r>
    </w:p>
    <w:p>
      <w:pPr>
        <w:pBdr>
          <w:top w:val="nil"/>
          <w:left w:val="nil"/>
          <w:bottom w:val="nil"/>
          <w:right w:val="nil"/>
          <w:between w:val="nil"/>
          <w:bar w:val="nil"/>
        </w:pBdr>
        <w:spacing w:before="0" w:after="240"/>
        <w:rPr>
          <w:rFonts w:eastAsia="Arial Unicode MS"/>
          <w:noProof/>
        </w:rPr>
      </w:pPr>
      <w:r>
        <w:rPr>
          <w:noProof/>
        </w:rPr>
        <w:t>Ето защо Унгария твърди, че съществува реална необходимост от защита на данъчните приходи и интересите на бюджета, предвид големия брой на данъчно задължените лица във финансови затруднения, които извършват гореспоменатите доставки. Според Унгария механизмът за обратно начисляване е подходящ за целта инструмент. Данъчно задълженото лице, намиращо се в производство по ликвидация, няма да бъде лице – платец на ДДС, а клиентът няма да бъде санкциониран, като същевременно ще бъдат избегнати загубите за държавния бюджет.</w:t>
      </w:r>
    </w:p>
    <w:p>
      <w:pPr>
        <w:rPr>
          <w:noProof/>
        </w:rPr>
      </w:pPr>
      <w:r>
        <w:rPr>
          <w:noProof/>
        </w:rPr>
        <w:t xml:space="preserve">Предлага се дерогацията да се предостави за периода до 31 декември 2021 г. </w:t>
      </w:r>
    </w:p>
    <w:p>
      <w:pPr>
        <w:rPr>
          <w:noProof/>
        </w:rPr>
      </w:pPr>
      <w:r>
        <w:rPr>
          <w:noProof/>
        </w:rPr>
        <w:t xml:space="preserve">В случай че Унгария възнамерява срокът на действие на дерогационната мярка да бъде удължен и след 2021 г., тя следва най-късно до 31 декември 2020 г. да представи на Комисията искане за удължаване, придружено от доклад за преглед на мярката. </w:t>
      </w:r>
    </w:p>
    <w:p>
      <w:pPr>
        <w:pStyle w:val="ManualHeading1"/>
        <w:rPr>
          <w:noProof/>
        </w:rPr>
      </w:pPr>
      <w:r>
        <w:rPr>
          <w:noProof/>
        </w:rPr>
        <w:t>2.</w:t>
      </w:r>
      <w:r>
        <w:rPr>
          <w:noProof/>
        </w:rPr>
        <w:tab/>
        <w:t>ПРАВНО ОСНОВАНИЕ, СУБСИДИАРНОСТ И ПРОПОРЦИОНАЛНОСТ</w:t>
      </w:r>
    </w:p>
    <w:p>
      <w:pPr>
        <w:pStyle w:val="ManualHeading2"/>
        <w:rPr>
          <w:rFonts w:eastAsia="Arial Unicode MS"/>
          <w:noProof/>
          <w:u w:color="000000"/>
          <w:bdr w:val="nil"/>
        </w:rPr>
      </w:pPr>
      <w:r>
        <w:rPr>
          <w:noProof/>
        </w:rPr>
        <w:t>•</w:t>
      </w:r>
      <w:r>
        <w:rPr>
          <w:noProof/>
        </w:rPr>
        <w:tab/>
        <w:t>Правно основание</w:t>
      </w:r>
    </w:p>
    <w:p>
      <w:pPr>
        <w:rPr>
          <w:noProof/>
        </w:rPr>
      </w:pPr>
      <w:r>
        <w:rPr>
          <w:noProof/>
        </w:rPr>
        <w:t>Член 395 от Директивата за ДДС.</w:t>
      </w:r>
    </w:p>
    <w:p>
      <w:pPr>
        <w:pStyle w:val="ManualHeading2"/>
        <w:rPr>
          <w:rFonts w:eastAsia="Arial Unicode MS"/>
          <w:noProof/>
          <w:u w:color="000000"/>
          <w:bdr w:val="nil"/>
        </w:rPr>
      </w:pPr>
      <w:r>
        <w:rPr>
          <w:noProof/>
        </w:rPr>
        <w:t>•</w:t>
      </w:r>
      <w:r>
        <w:rPr>
          <w:noProof/>
        </w:rPr>
        <w:tab/>
        <w:t xml:space="preserve">Субсидиарност (извън областите на изключителна компетентност) </w:t>
      </w:r>
    </w:p>
    <w:p>
      <w:pPr>
        <w:rPr>
          <w:noProof/>
        </w:rPr>
      </w:pPr>
      <w:r>
        <w:rPr>
          <w:noProof/>
        </w:rPr>
        <w:t xml:space="preserve">Като се има предвид разпоредбата от Директивата за ДДС, на основание на която е съставено предложението, принципът на субсидиарност не се прилага. </w:t>
      </w:r>
    </w:p>
    <w:p>
      <w:pPr>
        <w:pStyle w:val="ManualHeading2"/>
        <w:rPr>
          <w:rFonts w:eastAsia="Arial Unicode MS"/>
          <w:noProof/>
          <w:u w:color="000000"/>
          <w:bdr w:val="nil"/>
        </w:rPr>
      </w:pPr>
      <w:r>
        <w:rPr>
          <w:noProof/>
        </w:rPr>
        <w:t>•</w:t>
      </w:r>
      <w:r>
        <w:rPr>
          <w:noProof/>
        </w:rPr>
        <w:tab/>
        <w:t>Пропорционалност</w:t>
      </w:r>
    </w:p>
    <w:p>
      <w:pPr>
        <w:pBdr>
          <w:top w:val="nil"/>
          <w:left w:val="nil"/>
          <w:bottom w:val="nil"/>
          <w:right w:val="nil"/>
          <w:between w:val="nil"/>
          <w:bar w:val="nil"/>
        </w:pBdr>
        <w:spacing w:before="0" w:after="240"/>
        <w:rPr>
          <w:rFonts w:eastAsia="Arial Unicode MS"/>
          <w:noProof/>
        </w:rPr>
      </w:pPr>
      <w:r>
        <w:rPr>
          <w:noProof/>
        </w:rPr>
        <w:t>Настоящото предложение е в съответствие с принципа на пропорционалност поради следните причини:</w:t>
      </w:r>
    </w:p>
    <w:p>
      <w:pPr>
        <w:pBdr>
          <w:top w:val="nil"/>
          <w:left w:val="nil"/>
          <w:bottom w:val="nil"/>
          <w:right w:val="nil"/>
          <w:between w:val="nil"/>
          <w:bar w:val="nil"/>
        </w:pBdr>
        <w:spacing w:before="0" w:after="240"/>
        <w:rPr>
          <w:rFonts w:eastAsia="Arial Unicode MS"/>
          <w:noProof/>
        </w:rPr>
      </w:pPr>
      <w:r>
        <w:rPr>
          <w:noProof/>
        </w:rPr>
        <w:t>Решението се отнася до предоставянето на разрешение на държава членка по нейно искане и не представлява задължение.</w:t>
      </w:r>
    </w:p>
    <w:p>
      <w:pPr>
        <w:pBdr>
          <w:top w:val="nil"/>
          <w:left w:val="nil"/>
          <w:bottom w:val="nil"/>
          <w:right w:val="nil"/>
          <w:between w:val="nil"/>
          <w:bar w:val="nil"/>
        </w:pBdr>
        <w:spacing w:before="0" w:after="240"/>
        <w:rPr>
          <w:rFonts w:eastAsia="Arial Unicode MS"/>
          <w:noProof/>
        </w:rPr>
      </w:pPr>
      <w:r>
        <w:rPr>
          <w:noProof/>
        </w:rPr>
        <w:t xml:space="preserve">Предвид ограничения обхват на дерогацията специалната мярка е пропорционална на поставената цел, а именно борбата с отклонението от данъчно облагане. Тя не надхвърля необходимото за постигането на тези цели. </w:t>
      </w:r>
    </w:p>
    <w:p>
      <w:pPr>
        <w:pStyle w:val="ManualHeading2"/>
        <w:rPr>
          <w:rFonts w:eastAsia="Arial Unicode MS"/>
          <w:noProof/>
          <w:u w:color="000000"/>
          <w:bdr w:val="nil"/>
        </w:rPr>
      </w:pPr>
      <w:r>
        <w:rPr>
          <w:noProof/>
        </w:rPr>
        <w:t>•</w:t>
      </w:r>
      <w:r>
        <w:rPr>
          <w:noProof/>
        </w:rPr>
        <w:tab/>
        <w:t>Избор на инструмент</w:t>
      </w:r>
    </w:p>
    <w:p>
      <w:pPr>
        <w:pBdr>
          <w:top w:val="nil"/>
          <w:left w:val="nil"/>
          <w:bottom w:val="nil"/>
          <w:right w:val="nil"/>
          <w:between w:val="nil"/>
          <w:bar w:val="nil"/>
        </w:pBdr>
        <w:spacing w:before="0" w:after="240"/>
        <w:rPr>
          <w:rFonts w:eastAsia="Arial Unicode MS"/>
          <w:noProof/>
        </w:rPr>
      </w:pPr>
      <w:r>
        <w:rPr>
          <w:noProof/>
        </w:rPr>
        <w:t>Съгласно член 395 от Директивата за ДДС дерогация от общите правила за ДДС е възможна единствено след разрешение от Съвета, действащ с единодушие по предложение на Комисията. Освен това решение на Съвета е най-подходящият инструмент, тъй като негов адресат могат да бъдат отделни държави членки.</w:t>
      </w:r>
    </w:p>
    <w:p>
      <w:pPr>
        <w:pStyle w:val="ManualHeading1"/>
        <w:rPr>
          <w:noProof/>
        </w:rPr>
      </w:pPr>
      <w:r>
        <w:rPr>
          <w:noProof/>
        </w:rPr>
        <w:t>3.</w:t>
      </w:r>
      <w:r>
        <w:rPr>
          <w:noProof/>
        </w:rPr>
        <w:tab/>
        <w:t>РЕЗУЛТАТИ ОТ ПОСЛЕДВАЩИТЕ ОЦЕНКИ, ОТ КОНСУЛТАЦИИТЕ СЪС ЗАИНТЕРЕСОВАНИТЕ СТРАНИ И ОТ ОЦЕНКИТЕ НА ВЪЗДЕЙСТВИЕТО</w:t>
      </w:r>
    </w:p>
    <w:p>
      <w:pPr>
        <w:pStyle w:val="ManualHeading2"/>
        <w:rPr>
          <w:rFonts w:eastAsia="Arial Unicode MS"/>
          <w:noProof/>
          <w:u w:color="000000"/>
          <w:bdr w:val="nil"/>
        </w:rPr>
      </w:pPr>
      <w:r>
        <w:rPr>
          <w:noProof/>
        </w:rPr>
        <w:t>•</w:t>
      </w:r>
      <w:r>
        <w:rPr>
          <w:noProof/>
        </w:rPr>
        <w:tab/>
        <w:t>Консултации със заинтересованите страни</w:t>
      </w:r>
    </w:p>
    <w:p>
      <w:pPr>
        <w:pBdr>
          <w:top w:val="nil"/>
          <w:left w:val="nil"/>
          <w:bottom w:val="nil"/>
          <w:right w:val="nil"/>
          <w:between w:val="nil"/>
          <w:bar w:val="nil"/>
        </w:pBdr>
        <w:spacing w:before="0" w:after="240"/>
        <w:rPr>
          <w:noProof/>
        </w:rPr>
      </w:pPr>
      <w:r>
        <w:rPr>
          <w:noProof/>
        </w:rPr>
        <w:t>Настоящото предложение се основава на искане, отправено от Унгария, и засяга само тази държава членка.</w:t>
      </w:r>
    </w:p>
    <w:p>
      <w:pPr>
        <w:pStyle w:val="ManualHeading2"/>
        <w:rPr>
          <w:rFonts w:eastAsia="Arial Unicode MS"/>
          <w:noProof/>
          <w:u w:color="000000"/>
          <w:bdr w:val="nil"/>
        </w:rPr>
      </w:pPr>
      <w:r>
        <w:rPr>
          <w:noProof/>
        </w:rPr>
        <w:t>•</w:t>
      </w:r>
      <w:r>
        <w:rPr>
          <w:noProof/>
        </w:rPr>
        <w:tab/>
        <w:t>Събиране и използване на експертни становища</w:t>
      </w:r>
    </w:p>
    <w:p>
      <w:pPr>
        <w:pBdr>
          <w:top w:val="nil"/>
          <w:left w:val="nil"/>
          <w:bottom w:val="nil"/>
          <w:right w:val="nil"/>
          <w:between w:val="nil"/>
          <w:bar w:val="nil"/>
        </w:pBdr>
        <w:spacing w:before="0" w:after="240"/>
        <w:rPr>
          <w:rFonts w:eastAsia="Arial Unicode MS"/>
          <w:noProof/>
        </w:rPr>
      </w:pPr>
      <w:r>
        <w:rPr>
          <w:noProof/>
        </w:rPr>
        <w:t>Не бяха необходими външни експертни становища.</w:t>
      </w:r>
    </w:p>
    <w:p>
      <w:pPr>
        <w:pStyle w:val="ManualHeading2"/>
        <w:rPr>
          <w:rFonts w:eastAsia="Arial Unicode MS"/>
          <w:noProof/>
          <w:u w:color="000000"/>
          <w:bdr w:val="nil"/>
        </w:rPr>
      </w:pPr>
      <w:r>
        <w:rPr>
          <w:noProof/>
        </w:rPr>
        <w:t>•</w:t>
      </w:r>
      <w:r>
        <w:rPr>
          <w:noProof/>
        </w:rPr>
        <w:tab/>
        <w:t>Оценка на въздействието</w:t>
      </w:r>
    </w:p>
    <w:p>
      <w:pPr>
        <w:rPr>
          <w:noProof/>
        </w:rPr>
      </w:pPr>
      <w:r>
        <w:rPr>
          <w:noProof/>
        </w:rPr>
        <w:t xml:space="preserve">Предложението за решение за изпълнение има за цел да защити данъчните приходи и бюджетните интереси от дружества в производство по несъстоятелност, в случай че те извършват доставки на дълготрайни активи или доставки на стоки или услуги с пазарна стойност, надвишаваща 100 000 HUF. Според Унгария прилагането на механизма за обратно начисляване към тези видове сделки ще опрости събирането на данъка и ще предотврати отклонението от данъчно облагане. То ще ограничи загубите за държавния бюджет и ще генерира допълнителни приходи на приблизителна стойност 4 – 5 милиарда унгарски форинта (приблизително 13 – 14 милиона евро) на година. Следователно мярката за дерогация може да има положително въздействие. </w:t>
      </w:r>
    </w:p>
    <w:p>
      <w:pPr>
        <w:rPr>
          <w:noProof/>
        </w:rPr>
      </w:pPr>
      <w:r>
        <w:rPr>
          <w:noProof/>
        </w:rPr>
        <w:t>Поради тесния обхват на дерогацията и ограничения ѝ срок на прилагане въздействието при всички случаи ще бъде ограничено.</w:t>
      </w:r>
    </w:p>
    <w:p>
      <w:pPr>
        <w:pStyle w:val="ManualHeading1"/>
        <w:rPr>
          <w:noProof/>
        </w:rPr>
      </w:pPr>
      <w:r>
        <w:rPr>
          <w:noProof/>
        </w:rPr>
        <w:t>4.</w:t>
      </w:r>
      <w:r>
        <w:rPr>
          <w:noProof/>
        </w:rPr>
        <w:tab/>
        <w:t>ОТРАЖЕНИЕ ВЪРХУ БЮДЖЕТА</w:t>
      </w:r>
    </w:p>
    <w:p>
      <w:pPr>
        <w:pBdr>
          <w:top w:val="nil"/>
          <w:left w:val="nil"/>
          <w:bottom w:val="nil"/>
          <w:right w:val="nil"/>
          <w:between w:val="nil"/>
          <w:bar w:val="nil"/>
        </w:pBdr>
        <w:spacing w:before="0" w:after="240"/>
        <w:rPr>
          <w:rFonts w:eastAsia="Arial Unicode MS"/>
          <w:noProof/>
        </w:rPr>
      </w:pPr>
      <w:r>
        <w:rPr>
          <w:noProof/>
        </w:rPr>
        <w:t>Предложението няма да има отрицателно отражение върху бюджета на ЕС.</w:t>
      </w:r>
    </w:p>
    <w:p>
      <w:pPr>
        <w:pStyle w:val="ManualHeading1"/>
        <w:rPr>
          <w:noProof/>
        </w:rPr>
      </w:pPr>
      <w:r>
        <w:rPr>
          <w:noProof/>
        </w:rPr>
        <w:t>5.</w:t>
      </w:r>
      <w:r>
        <w:rPr>
          <w:noProof/>
        </w:rPr>
        <w:tab/>
        <w:t>ДРУГИ ЕЛЕМЕНТИ</w:t>
      </w:r>
    </w:p>
    <w:p>
      <w:pPr>
        <w:rPr>
          <w:noProof/>
        </w:rPr>
      </w:pPr>
      <w:r>
        <w:rPr>
          <w:noProof/>
        </w:rPr>
        <w:t>Предложението включва клауза за изтичане на срока на действие на 31 декември 2021 г.</w:t>
      </w:r>
    </w:p>
    <w:p>
      <w:pPr>
        <w:rPr>
          <w:noProof/>
        </w:rPr>
        <w:sectPr>
          <w:footerReference w:type="default" r:id="rId16"/>
          <w:footerReference w:type="first" r:id="rId17"/>
          <w:pgSz w:w="11907" w:h="16839"/>
          <w:pgMar w:top="1134" w:right="1417" w:bottom="1134" w:left="1417" w:header="709" w:footer="709" w:gutter="0"/>
          <w:pgNumType w:start="1"/>
          <w:cols w:space="708"/>
          <w:docGrid w:linePitch="360"/>
        </w:sectPr>
      </w:pPr>
    </w:p>
    <w:p>
      <w:pPr>
        <w:pStyle w:val="Rfrenceinterinstitutionnelle"/>
        <w:rPr>
          <w:noProof/>
        </w:rPr>
      </w:pPr>
      <w:r>
        <w:rPr>
          <w:noProof/>
        </w:rPr>
        <w:t>2018/0057 (NLE)</w:t>
      </w:r>
    </w:p>
    <w:p>
      <w:pPr>
        <w:pStyle w:val="Statut"/>
        <w:rPr>
          <w:noProof/>
        </w:rPr>
      </w:pPr>
      <w:r>
        <w:rPr>
          <w:noProof/>
        </w:rPr>
        <w:t>Предложение за</w:t>
      </w:r>
    </w:p>
    <w:p>
      <w:pPr>
        <w:pStyle w:val="Typedudocument"/>
        <w:rPr>
          <w:noProof/>
        </w:rPr>
      </w:pPr>
      <w:r>
        <w:rPr>
          <w:noProof/>
        </w:rPr>
        <w:t>РЕШЕНИЕ ЗА ИЗПЪЛНЕНИЕ НА СЪВЕТА</w:t>
      </w:r>
    </w:p>
    <w:p>
      <w:pPr>
        <w:pStyle w:val="Titreobjet"/>
        <w:rPr>
          <w:noProof/>
        </w:rPr>
      </w:pPr>
      <w:r>
        <w:rPr>
          <w:noProof/>
        </w:rPr>
        <w:t>за предоставяне на разрешение на Унгария да въведе специална мярка за дерогация от член 193 от Директива 2006/112/ЕО относно общата система на данъка върху добавената стойност</w:t>
      </w:r>
    </w:p>
    <w:p>
      <w:pPr>
        <w:pStyle w:val="Institutionquiagit"/>
        <w:rPr>
          <w:noProof/>
        </w:rPr>
      </w:pPr>
      <w:r>
        <w:rPr>
          <w:noProof/>
        </w:rPr>
        <w:t>СЪВЕТЪТ НА ЕВРОПЕЙСКИЯ СЪЮЗ,</w:t>
      </w:r>
    </w:p>
    <w:p>
      <w:pPr>
        <w:rPr>
          <w:noProof/>
        </w:rPr>
      </w:pPr>
      <w:r>
        <w:rPr>
          <w:noProof/>
        </w:rPr>
        <w:t xml:space="preserve">като взе предвид Договора за функционирането на Европейския съюз, </w:t>
      </w:r>
    </w:p>
    <w:p>
      <w:pPr>
        <w:rPr>
          <w:noProof/>
        </w:rPr>
      </w:pPr>
      <w:r>
        <w:rPr>
          <w:noProof/>
        </w:rPr>
        <w:t>като взе предвид Директива 2006/112/ЕО на Съвета от 28 ноември 2006 г. относно общата система на данъка върху добавената стойност</w:t>
      </w:r>
      <w:r>
        <w:rPr>
          <w:rStyle w:val="FootnoteReference"/>
          <w:noProof/>
        </w:rPr>
        <w:footnoteReference w:id="2"/>
      </w:r>
      <w:r>
        <w:rPr>
          <w:noProof/>
        </w:rPr>
        <w:t>, и по-специално член 395, параграф 1 от нея,</w:t>
      </w:r>
    </w:p>
    <w:p>
      <w:pPr>
        <w:rPr>
          <w:noProof/>
        </w:rPr>
      </w:pPr>
      <w:r>
        <w:rPr>
          <w:noProof/>
        </w:rPr>
        <w:t>като взе предвид предложението на Европейската комисия,</w:t>
      </w:r>
    </w:p>
    <w:p>
      <w:pPr>
        <w:rPr>
          <w:noProof/>
        </w:rPr>
      </w:pPr>
      <w:r>
        <w:rPr>
          <w:noProof/>
        </w:rPr>
        <w:t>като има предвид, че:</w:t>
      </w:r>
    </w:p>
    <w:p>
      <w:pPr>
        <w:pStyle w:val="ManualConsidrant"/>
        <w:rPr>
          <w:noProof/>
        </w:rPr>
      </w:pPr>
      <w:r>
        <w:t>(1)</w:t>
      </w:r>
      <w:r>
        <w:tab/>
      </w:r>
      <w:r>
        <w:rPr>
          <w:noProof/>
        </w:rPr>
        <w:t>Съгласно общото правило, заложено в член 193 от Директива 2006/112/ЕО, лице – платец на данъка върху добавената стойност (ДДС), пред данъчните органи е данъчно задълженото лице, което доставя стоките или услугите.</w:t>
      </w:r>
    </w:p>
    <w:p>
      <w:pPr>
        <w:pStyle w:val="ManualConsidrant"/>
        <w:rPr>
          <w:noProof/>
        </w:rPr>
      </w:pPr>
      <w:r>
        <w:t>(2)</w:t>
      </w:r>
      <w:r>
        <w:tab/>
      </w:r>
      <w:r>
        <w:rPr>
          <w:noProof/>
        </w:rPr>
        <w:t xml:space="preserve">С писмо, заведено в Комисията на 13 юли 2017 г., Унгария поиска разрешение да въведе специална мярка за дерогация от член 193 от Директива 2006/112/ЕО във връзка с лицето – платец на ДДС, в случая на някои доставки, извършвани от данъчно задължени лица в производство по ликвидация или каквото и да е друго производство за правно установяване на несъстоятелността им. </w:t>
      </w:r>
    </w:p>
    <w:p>
      <w:pPr>
        <w:pStyle w:val="ManualConsidrant"/>
        <w:rPr>
          <w:noProof/>
        </w:rPr>
      </w:pPr>
      <w:r>
        <w:t>(3)</w:t>
      </w:r>
      <w:r>
        <w:tab/>
      </w:r>
      <w:r>
        <w:rPr>
          <w:noProof/>
        </w:rPr>
        <w:t xml:space="preserve">В съответствие с член 395, параграф 2 от Директива 2006/112/ЕО, с писмо от 15 януари 2018 г. Комисията информира останалите държави членки за отправеното от Унгария искане. С писмо от 16 януари 2018 г. Комисията уведоми Унгария, че разполага с цялата информация, необходима за разглеждане на искането. </w:t>
      </w:r>
    </w:p>
    <w:p>
      <w:pPr>
        <w:pStyle w:val="ManualConsidrant"/>
        <w:rPr>
          <w:noProof/>
        </w:rPr>
      </w:pPr>
      <w:r>
        <w:t>(4)</w:t>
      </w:r>
      <w:r>
        <w:tab/>
      </w:r>
      <w:r>
        <w:rPr>
          <w:noProof/>
        </w:rPr>
        <w:t xml:space="preserve">Унгария твърди, че данъчно задължените лица в производство по ликвидация или по несъстоятелност често не заплащат дължимия от тях ДДС на данъчните органи. Същевременно купувачът, който е данъчно задължено лице с право на приспадане, може все пак да си приспадне заплатеното ДДС, като това води до загуби за бюджета и финансира ликвидацията. В Унгария са регистрирани случаи на измама, при които дружества в ликвидация издават фиктивни фактури на действащи дружества и драстично намаляват своите данъчни задължения, без да има гаранция, че издателят на фактурата ще заплати дължимия ДДС. </w:t>
      </w:r>
    </w:p>
    <w:p>
      <w:pPr>
        <w:pStyle w:val="ManualConsidrant"/>
        <w:rPr>
          <w:noProof/>
        </w:rPr>
      </w:pPr>
      <w:r>
        <w:t>(5)</w:t>
      </w:r>
      <w:r>
        <w:tab/>
      </w:r>
      <w:r>
        <w:rPr>
          <w:noProof/>
        </w:rPr>
        <w:t xml:space="preserve">В съответствие с член 199, параграф 1, буква ж) от Директива 2006/112/ЕО държавите членки могат да предвидят платец на ДДС да бъде данъчно задълженото лице, за което се извършва доставката на недвижими вещи, продадени от длъжник, срещу когото е произнесено съдебно решение за изпълнение при процедура за публична продан („механизъм за обратно начисляване“). За да предотврати загубите за държавния бюджет, Унгария иска дерогация от член 193 от Директива 2006/112/ЕО с цел да ѝ бъде разрешено да въведе механизма за обратно начисляване спрямо други доставки на данъчно задължените лица в производство по несъстоятелност, и по-конкретно доставките на дълготрайни активи и доставките на други стоки и услуги на пазарна стойност, надвишаваща 100 000 HUF. </w:t>
      </w:r>
    </w:p>
    <w:p>
      <w:pPr>
        <w:pStyle w:val="ManualConsidrant"/>
        <w:rPr>
          <w:noProof/>
        </w:rPr>
      </w:pPr>
      <w:r>
        <w:t>(6)</w:t>
      </w:r>
      <w:r>
        <w:tab/>
      </w:r>
      <w:r>
        <w:rPr>
          <w:noProof/>
        </w:rPr>
        <w:t xml:space="preserve">По предоставена от Унгария информация определянето на получателя, който е данъчно задължено лице, за лице – платец на ДДС, в тези конкретни случаи ще опрости процедурата за събиране на ДДС и ще предотврати отклонението от данъчно облагане и избягването на данъци. Унгария счита, че мярката за дерогация ще спомогне и за ограничаване на загубите за държавния бюджет и ще генерира допълнителни приходи. </w:t>
      </w:r>
    </w:p>
    <w:p>
      <w:pPr>
        <w:pStyle w:val="ManualConsidrant"/>
        <w:rPr>
          <w:noProof/>
        </w:rPr>
      </w:pPr>
      <w:r>
        <w:t>(7)</w:t>
      </w:r>
      <w:r>
        <w:tab/>
      </w:r>
      <w:r>
        <w:rPr>
          <w:noProof/>
        </w:rPr>
        <w:t xml:space="preserve">Дерогацията следва да се предостави за ограничен срок. </w:t>
      </w:r>
    </w:p>
    <w:p>
      <w:pPr>
        <w:pStyle w:val="ManualConsidrant"/>
        <w:rPr>
          <w:noProof/>
        </w:rPr>
      </w:pPr>
      <w:r>
        <w:t>(8)</w:t>
      </w:r>
      <w:r>
        <w:tab/>
      </w:r>
      <w:r>
        <w:rPr>
          <w:noProof/>
        </w:rPr>
        <w:t xml:space="preserve">Предвид обхвата и новостта на дерогацията е важно въздействието ѝ да бъде оценено. Ето защо, ако Унгария възнамерява срокът на действие на дерогационната мярка да бъде удължен и след 2021 г., тя следва най-късно до 31 декември 2020 г. да представи на Комисията искане за удължаване, придружено от доклад за преглед на дерогационната мярка. </w:t>
      </w:r>
    </w:p>
    <w:p>
      <w:pPr>
        <w:pStyle w:val="ManualConsidrant"/>
        <w:rPr>
          <w:noProof/>
        </w:rPr>
      </w:pPr>
      <w:r>
        <w:t>(9)</w:t>
      </w:r>
      <w:r>
        <w:tab/>
      </w:r>
      <w:r>
        <w:rPr>
          <w:noProof/>
        </w:rPr>
        <w:t>Дерогацията няма отрицателно въздействие върху собствените ресурси на Съюза, формирани от ДДС,</w:t>
      </w:r>
    </w:p>
    <w:p>
      <w:pPr>
        <w:pStyle w:val="Formuledadoption"/>
        <w:rPr>
          <w:noProof/>
        </w:rPr>
      </w:pPr>
      <w:r>
        <w:rPr>
          <w:noProof/>
        </w:rPr>
        <w:t xml:space="preserve">ПРИЕ НАСТОЯЩОТО РЕШЕНИЕ: </w:t>
      </w:r>
    </w:p>
    <w:p>
      <w:pPr>
        <w:pStyle w:val="Titrearticle"/>
        <w:rPr>
          <w:noProof/>
        </w:rPr>
      </w:pPr>
      <w:r>
        <w:rPr>
          <w:noProof/>
        </w:rPr>
        <w:t>Член 1</w:t>
      </w:r>
    </w:p>
    <w:p>
      <w:pPr>
        <w:rPr>
          <w:noProof/>
        </w:rPr>
      </w:pPr>
      <w:r>
        <w:rPr>
          <w:noProof/>
        </w:rPr>
        <w:t>Чрез дерогация от член 193 от Директива 2006/112/ЕО на Унгария се разрешава да определи за лице — платец на ДДС, данъчно задълженото лице, за което се извършват следните доставки:</w:t>
      </w:r>
    </w:p>
    <w:p>
      <w:pPr>
        <w:rPr>
          <w:noProof/>
        </w:rPr>
      </w:pPr>
      <w:r>
        <w:rPr>
          <w:noProof/>
        </w:rPr>
        <w:t xml:space="preserve">(1) доставки на дълготрайни активи от данъчно задължено лице в производство по ликвидация или каквото и да е друго производство за правно установяване на несъстоятелността му; </w:t>
      </w:r>
    </w:p>
    <w:p>
      <w:pPr>
        <w:rPr>
          <w:noProof/>
        </w:rPr>
      </w:pPr>
      <w:r>
        <w:rPr>
          <w:noProof/>
        </w:rPr>
        <w:t xml:space="preserve">(2) доставки на други стоки и услуги, чиято пазарна стойност към момента на доставката надвишава 100 000 HUF, от данъчно задължено лице в производство по ликвидация или каквото и да е друго производство за правно установяване на несъстоятелността му. </w:t>
      </w:r>
    </w:p>
    <w:p>
      <w:pPr>
        <w:pStyle w:val="Titrearticle"/>
        <w:rPr>
          <w:noProof/>
        </w:rPr>
      </w:pPr>
      <w:r>
        <w:rPr>
          <w:noProof/>
        </w:rPr>
        <w:t>Член 2</w:t>
      </w:r>
    </w:p>
    <w:p>
      <w:pPr>
        <w:rPr>
          <w:noProof/>
        </w:rPr>
      </w:pPr>
      <w:r>
        <w:rPr>
          <w:noProof/>
        </w:rPr>
        <w:t>Настоящото решение поражда действие в деня на нотифицирането му.</w:t>
      </w:r>
    </w:p>
    <w:p>
      <w:pPr>
        <w:rPr>
          <w:noProof/>
        </w:rPr>
      </w:pPr>
      <w:r>
        <w:rPr>
          <w:noProof/>
        </w:rPr>
        <w:t>Срокът на действие на настоящото решение изтича на 31 декември 2021 г.</w:t>
      </w:r>
    </w:p>
    <w:p>
      <w:pPr>
        <w:pStyle w:val="Titrearticle"/>
        <w:rPr>
          <w:noProof/>
        </w:rPr>
      </w:pPr>
      <w:r>
        <w:rPr>
          <w:noProof/>
        </w:rPr>
        <w:t>Член 3</w:t>
      </w:r>
    </w:p>
    <w:p>
      <w:pPr>
        <w:keepNext/>
        <w:keepLines/>
        <w:rPr>
          <w:noProof/>
        </w:rPr>
      </w:pPr>
      <w:r>
        <w:rPr>
          <w:noProof/>
        </w:rPr>
        <w:t>Адресат на настоящото решение е Унгария.</w:t>
      </w:r>
    </w:p>
    <w:p>
      <w:pPr>
        <w:pStyle w:val="Fait"/>
        <w:rPr>
          <w:noProof/>
        </w:rPr>
      </w:pPr>
      <w:r>
        <w:t xml:space="preserve">Съставено в Брюксел на </w:t>
      </w:r>
      <w:r>
        <w:rPr>
          <w:rStyle w:val="Marker"/>
        </w:rPr>
        <w:t>[…]</w:t>
      </w:r>
      <w:r>
        <w:t xml:space="preserve"> година.</w:t>
      </w:r>
    </w:p>
    <w:p>
      <w:pPr>
        <w:pStyle w:val="Institutionquisigne"/>
        <w:rPr>
          <w:noProof/>
        </w:rPr>
      </w:pPr>
      <w:r>
        <w:rPr>
          <w:noProof/>
        </w:rPr>
        <w:tab/>
        <w:t>За Съвета</w:t>
      </w:r>
    </w:p>
    <w:p>
      <w:pPr>
        <w:pStyle w:val="Personnequisigne"/>
        <w:rPr>
          <w:noProof/>
        </w:rPr>
      </w:pPr>
      <w:r>
        <w:rPr>
          <w:noProof/>
        </w:rPr>
        <w:tab/>
        <w:t>Председател</w:t>
      </w:r>
    </w:p>
    <w:sectPr>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EUAlbertina">
    <w:altName w:val="EU Albertin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BG</w:t>
    </w:r>
    <w:r>
      <w:rPr>
        <w:rFonts w:ascii="Arial" w:hAnsi="Arial" w:cs="Arial"/>
        <w:b/>
        <w:sz w:val="48"/>
      </w:rPr>
      <w:tab/>
    </w:r>
    <w:r>
      <w:rPr>
        <w:rFonts w:ascii="Arial" w:hAnsi="Arial" w:cs="Arial"/>
        <w:b/>
        <w:sz w:val="48"/>
      </w:rPr>
      <w:tab/>
    </w:r>
    <w:r>
      <w:tab/>
    </w:r>
    <w:r>
      <w:rPr>
        <w:rFonts w:ascii="Arial" w:hAnsi="Arial" w:cs="Arial"/>
        <w:b/>
        <w:sz w:val="48"/>
      </w:rPr>
      <w:t>BG</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BG</w:t>
    </w:r>
    <w:r>
      <w:rPr>
        <w:rFonts w:ascii="Arial" w:hAnsi="Arial" w:cs="Arial"/>
        <w:b/>
        <w:sz w:val="48"/>
      </w:rPr>
      <w:tab/>
    </w:r>
    <w:r>
      <w:fldChar w:fldCharType="begin"/>
    </w:r>
    <w:r>
      <w:instrText xml:space="preserve"> PAGE  \* MERGEFORMAT </w:instrText>
    </w:r>
    <w:r>
      <w:fldChar w:fldCharType="separate"/>
    </w:r>
    <w:r>
      <w:rPr>
        <w:noProof/>
      </w:rPr>
      <w:t>6</w:t>
    </w:r>
    <w:r>
      <w:fldChar w:fldCharType="end"/>
    </w:r>
    <w:r>
      <w:tab/>
    </w:r>
    <w:r>
      <w:tab/>
    </w:r>
    <w:r>
      <w:rPr>
        <w:rFonts w:ascii="Arial" w:hAnsi="Arial" w:cs="Arial"/>
        <w:b/>
        <w:sz w:val="48"/>
      </w:rPr>
      <w:t>BG</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id="1">
    <w:p>
      <w:pPr>
        <w:pStyle w:val="FootnoteText"/>
        <w:rPr>
          <w:lang w:val="pl-PL"/>
        </w:rPr>
      </w:pPr>
      <w:r>
        <w:rPr>
          <w:rStyle w:val="FootnoteReference"/>
        </w:rPr>
        <w:footnoteRef/>
      </w:r>
      <w:r>
        <w:tab/>
        <w:t>OВ L 347, 11.12.2006 г., стр. 1.</w:t>
      </w:r>
    </w:p>
  </w:footnote>
  <w:footnote w:id="2">
    <w:p>
      <w:pPr>
        <w:pStyle w:val="FootnoteText"/>
        <w:rPr>
          <w:lang w:val="pl-PL"/>
        </w:rPr>
      </w:pPr>
      <w:r>
        <w:rPr>
          <w:rStyle w:val="FootnoteReference"/>
        </w:rPr>
        <w:footnoteRef/>
      </w:r>
      <w:r>
        <w:tab/>
        <w:t>ОВ L 347, 11.12.2006 г., стр. 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B56A27B2"/>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0B229AAC"/>
    <w:lvl w:ilvl="0">
      <w:start w:val="1"/>
      <w:numFmt w:val="decimal"/>
      <w:pStyle w:val="ListNumber3"/>
      <w:lvlText w:val="%1."/>
      <w:lvlJc w:val="left"/>
      <w:pPr>
        <w:tabs>
          <w:tab w:val="num" w:pos="926"/>
        </w:tabs>
        <w:ind w:left="926" w:hanging="360"/>
      </w:pPr>
    </w:lvl>
  </w:abstractNum>
  <w:abstractNum w:abstractNumId="2">
    <w:nsid w:val="FFFFFF7F"/>
    <w:multiLevelType w:val="singleLevel"/>
    <w:tmpl w:val="32C664E4"/>
    <w:lvl w:ilvl="0">
      <w:start w:val="1"/>
      <w:numFmt w:val="decimal"/>
      <w:pStyle w:val="ListNumber2"/>
      <w:lvlText w:val="%1."/>
      <w:lvlJc w:val="left"/>
      <w:pPr>
        <w:tabs>
          <w:tab w:val="num" w:pos="643"/>
        </w:tabs>
        <w:ind w:left="643" w:hanging="360"/>
      </w:pPr>
    </w:lvl>
  </w:abstractNum>
  <w:abstractNum w:abstractNumId="3">
    <w:nsid w:val="FFFFFF81"/>
    <w:multiLevelType w:val="singleLevel"/>
    <w:tmpl w:val="960A741C"/>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9946A162"/>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30F6B2FC"/>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E434445C"/>
    <w:lvl w:ilvl="0">
      <w:start w:val="1"/>
      <w:numFmt w:val="decimal"/>
      <w:pStyle w:val="ListNumber"/>
      <w:lvlText w:val="%1."/>
      <w:lvlJc w:val="left"/>
      <w:pPr>
        <w:tabs>
          <w:tab w:val="num" w:pos="360"/>
        </w:tabs>
        <w:ind w:left="360" w:hanging="360"/>
      </w:pPr>
    </w:lvl>
  </w:abstractNum>
  <w:abstractNum w:abstractNumId="7">
    <w:nsid w:val="FFFFFF89"/>
    <w:multiLevelType w:val="singleLevel"/>
    <w:tmpl w:val="464057B8"/>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21"/>
    <w:lvlOverride w:ilvl="0">
      <w:startOverride w:val="1"/>
    </w:lvlOverride>
  </w:num>
  <w:num w:numId="2">
    <w:abstractNumId w:val="7"/>
  </w:num>
  <w:num w:numId="3">
    <w:abstractNumId w:val="5"/>
  </w:num>
  <w:num w:numId="4">
    <w:abstractNumId w:val="4"/>
  </w:num>
  <w:num w:numId="5">
    <w:abstractNumId w:val="3"/>
  </w:num>
  <w:num w:numId="6">
    <w:abstractNumId w:val="6"/>
  </w:num>
  <w:num w:numId="7">
    <w:abstractNumId w:val="2"/>
  </w:num>
  <w:num w:numId="8">
    <w:abstractNumId w:val="1"/>
  </w:num>
  <w:num w:numId="9">
    <w:abstractNumId w:val="0"/>
  </w:num>
  <w:num w:numId="10">
    <w:abstractNumId w:val="18"/>
  </w:num>
  <w:num w:numId="11">
    <w:abstractNumId w:val="12"/>
  </w:num>
  <w:num w:numId="12">
    <w:abstractNumId w:val="20"/>
  </w:num>
  <w:num w:numId="13">
    <w:abstractNumId w:val="11"/>
  </w:num>
  <w:num w:numId="14">
    <w:abstractNumId w:val="13"/>
  </w:num>
  <w:num w:numId="15">
    <w:abstractNumId w:val="9"/>
  </w:num>
  <w:num w:numId="16">
    <w:abstractNumId w:val="19"/>
  </w:num>
  <w:num w:numId="17">
    <w:abstractNumId w:val="8"/>
  </w:num>
  <w:num w:numId="18">
    <w:abstractNumId w:val="14"/>
  </w:num>
  <w:num w:numId="19">
    <w:abstractNumId w:val="16"/>
  </w:num>
  <w:num w:numId="20">
    <w:abstractNumId w:val="17"/>
  </w:num>
  <w:num w:numId="21">
    <w:abstractNumId w:val="10"/>
  </w:num>
  <w:num w:numId="22">
    <w:abstractNumId w:val="15"/>
  </w:num>
  <w:num w:numId="23">
    <w:abstractNumId w:val="2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hideSpellingErrors/>
  <w:hideGrammaticalErrors/>
  <w:attachedTemplate r:id="rId1"/>
  <w:revisionView w:markup="0"/>
  <w:defaultTabStop w:val="720"/>
  <w:hyphenationZone w:val="425"/>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QCDateTime" w:val="2018-03-09 07:51:18"/>
    <w:docVar w:name="DQCResult_Distribution" w:val="0;0"/>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0"/>
    <w:docVar w:name="DQCResult_ModifiedMarkers" w:val="0;0"/>
    <w:docVar w:name="DQCResult_ModifiedNumbering" w:val="0;0"/>
    <w:docVar w:name="DQCResult_Objects" w:val="0;0"/>
    <w:docVar w:name="DQCResult_Sections" w:val="0;1"/>
    <w:docVar w:name="DQCResult_StructureCheck" w:val="0;0"/>
    <w:docVar w:name="DQCResult_SuperfluousWhitespace" w:val="0;0"/>
    <w:docVar w:name="DQCResult_UnknownFonts" w:val="0;0"/>
    <w:docVar w:name="DQCResult_UnknownStyles" w:val="0;0"/>
    <w:docVar w:name="DQCStatus" w:val="Green"/>
    <w:docVar w:name="DQCVersion" w:val="3"/>
    <w:docVar w:name="DQCWithWarnings" w:val="1"/>
    <w:docVar w:name="LW_CORRIGENDUM" w:val="&lt;UNUSED&gt;"/>
    <w:docVar w:name="LW_COVERPAGE_EXISTS" w:val="True"/>
    <w:docVar w:name="LW_COVERPAGE_GUID" w:val="50FA2CAA-274A-44D6-8468-8B9BFE940C3A"/>
    <w:docVar w:name="LW_COVERPAGE_TYPE" w:val="1"/>
    <w:docVar w:name="LW_CROSSREFERENCE" w:val="&lt;UNUSED&gt;"/>
    <w:docVar w:name="LW_DocType" w:val="COM"/>
    <w:docVar w:name="LW_EMISSION" w:val="14.3.2018"/>
    <w:docVar w:name="LW_EMISSION_ISODATE" w:val="2018-03-14"/>
    <w:docVar w:name="LW_EMISSION_LOCATION" w:val="BRX"/>
    <w:docVar w:name="LW_EMISSION_PREFIX" w:val="Брюксел, "/>
    <w:docVar w:name="LW_EMISSION_SUFFIX" w:val="&lt;EMPTY&gt;"/>
    <w:docVar w:name="LW_ID_DOCMODEL" w:val="SJ-020"/>
    <w:docVar w:name="LW_ID_DOCSIGNATURE" w:val="SJ-020"/>
    <w:docVar w:name="LW_ID_DOCSTRUCTURE" w:val="COM/PL/ORG"/>
    <w:docVar w:name="LW_ID_DOCTYPE" w:val="SJ-020"/>
    <w:docVar w:name="LW_ID_EXP.MOTIFS.NEW" w:val="EM_PL_"/>
    <w:docVar w:name="LW_ID_STATUT" w:val="SJ-020"/>
    <w:docVar w:name="LW_INTERETEEE.CP" w:val="&lt;UNUSED&gt;"/>
    <w:docVar w:name="LW_LANGUE" w:val="BG"/>
    <w:docVar w:name="LW_LEVEL_OF_SENSITIVITY" w:val="Standard treatment"/>
    <w:docVar w:name="LW_NOM.INST" w:val="\u1045?\u1042?\u1056?\u1054?\u1055?\u1045?\u1049?\u1057?\u1050?\u1040? \u1050?\u1054?\u1052?\u1048?\u1057?\u1048?\u1071?"/>
    <w:docVar w:name="LW_NOM.INST_JOINTDOC" w:val="&lt;EMPTY&gt;"/>
    <w:docVar w:name="LW_PART_NBR" w:val="1"/>
    <w:docVar w:name="LW_PART_NBR_TOTAL" w:val="1"/>
    <w:docVar w:name="LW_REF.II.NEW.CP" w:val="NLE"/>
    <w:docVar w:name="LW_REF.II.NEW.CP_NUMBER" w:val="0057"/>
    <w:docVar w:name="LW_REF.II.NEW.CP_YEAR" w:val="2018"/>
    <w:docVar w:name="LW_REF.INST.NEW" w:val="COM"/>
    <w:docVar w:name="LW_REF.INST.NEW_ADOPTED" w:val="final"/>
    <w:docVar w:name="LW_REF.INST.NEW_TEXT" w:val="(2018) 126"/>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TATUT.CP" w:val="\u1055?\u1088?\u1077?\u1076?\u1083?\u1086?\u1078?\u1077?\u1085?\u1080?\u1077? \u1079?\u1072?"/>
    <w:docVar w:name="LW_SUPERTITRE" w:val="&lt;UNUSED&gt;"/>
    <w:docVar w:name="LW_TITRE.OBJ.CP" w:val="\u1079?\u1072? \u1087?\u1088?\u1077?\u1076?\u1086?\u1089?\u1090?\u1072?\u1074?\u1103?\u1085?\u1077? \u1085?\u1072? \u1088?\u1072?\u1079?\u1088?\u1077?\u1096?\u1077?\u1085?\u1080?\u1077? \u1085?\u1072? \u1059?\u1085?\u1075?\u1072?\u1088?\u1080?\u1103? \u1076?\u1072? \u1074?\u1098?\u1074?\u1077?\u1076?\u1077? \u1089?\u1087?\u1077?\u1094?\u1080?\u1072?\u1083?\u1085?\u1072? \u1084?\u1103?\u1088?\u1082?\u1072? \u1079?\u1072? \u1076?\u1077?\u1088?\u1086?\u1075?\u1072?\u1094?\u1080?\u1103? \u1086?\u1090? \u1095?\u1083?\u1077?\u1085? 193 \u1086?\u1090? \u1044?\u1080?\u1088?\u1077?\u1082?\u1090?\u1080?\u1074?\u1072? 2006/112/\u1045?\u1054? \u1086?\u1090?\u1085?\u1086?\u1089?\u1085?\u1086? \u1086?\u1073?\u1097?\u1072?\u1090?\u1072? \u1089?\u1080?\u1089?\u1090?\u1077?\u1084?\u1072? \u1085?\u1072? \u1076?\u1072?\u1085?\u1098?\u1082?\u1072? \u1074?\u1098?\u1088?\u1093?\u1091? \u1076?\u1086?\u1073?\u1072?\u1074?\u1077?\u1085?\u1072?\u1090?\u1072? \u1089?\u1090?\u1086?\u1081?\u1085?\u1086?\u1089?\u1090?"/>
    <w:docVar w:name="LW_TYPE.DOC.CP" w:val="\u1056?\u1045?\u1064?\u1045?\u1053?\u1048?\u1045? \u1047?\u1040? \u1048?\u1047?\u1055?\u1066?\u1051?\u1053?\u1045?\u1053?\u1048?\u1045? \u1053?\u1040? \u1057?\u1066?\u1042?\u1045?\u1058?\u1040?"/>
  </w:docVar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716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bg-BG" w:bidi="bg-BG"/>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16"/>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6"/>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6"/>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6"/>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semiHidden/>
    <w:unhideWhenUsed/>
    <w:pPr>
      <w:numPr>
        <w:numId w:val="2"/>
      </w:numPr>
      <w:contextualSpacing/>
    </w:pPr>
  </w:style>
  <w:style w:type="paragraph" w:styleId="ListBullet2">
    <w:name w:val="List Bullet 2"/>
    <w:basedOn w:val="Normal"/>
    <w:uiPriority w:val="99"/>
    <w:semiHidden/>
    <w:unhideWhenUsed/>
    <w:pPr>
      <w:numPr>
        <w:numId w:val="3"/>
      </w:numPr>
      <w:contextualSpacing/>
    </w:pPr>
  </w:style>
  <w:style w:type="paragraph" w:styleId="ListBullet3">
    <w:name w:val="List Bullet 3"/>
    <w:basedOn w:val="Normal"/>
    <w:uiPriority w:val="99"/>
    <w:semiHidden/>
    <w:unhideWhenUsed/>
    <w:pPr>
      <w:numPr>
        <w:numId w:val="4"/>
      </w:numPr>
      <w:contextualSpacing/>
    </w:pPr>
  </w:style>
  <w:style w:type="paragraph" w:styleId="ListBullet4">
    <w:name w:val="List Bullet 4"/>
    <w:basedOn w:val="Normal"/>
    <w:uiPriority w:val="99"/>
    <w:semiHidden/>
    <w:unhideWhenUsed/>
    <w:pPr>
      <w:numPr>
        <w:numId w:val="5"/>
      </w:numPr>
      <w:contextualSpacing/>
    </w:pPr>
  </w:style>
  <w:style w:type="paragraph" w:customStyle="1" w:styleId="Default">
    <w:name w:val="Default"/>
    <w:pPr>
      <w:autoSpaceDE w:val="0"/>
      <w:autoSpaceDN w:val="0"/>
      <w:adjustRightInd w:val="0"/>
      <w:spacing w:after="0" w:line="240" w:lineRule="auto"/>
    </w:pPr>
    <w:rPr>
      <w:rFonts w:ascii="EUAlbertina" w:hAnsi="EUAlbertina" w:cs="EUAlbertina"/>
      <w:color w:val="000000"/>
      <w:sz w:val="24"/>
      <w:szCs w:val="24"/>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bg-BG"/>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bg-BG"/>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bg-BG"/>
    </w:rPr>
  </w:style>
  <w:style w:type="paragraph" w:styleId="Revision">
    <w:name w:val="Revision"/>
    <w:hidden/>
    <w:uiPriority w:val="99"/>
    <w:semiHidden/>
    <w:pPr>
      <w:spacing w:after="0" w:line="240" w:lineRule="auto"/>
    </w:pPr>
    <w:rPr>
      <w:rFonts w:ascii="Times New Roman" w:hAnsi="Times New Roman" w:cs="Times New Roman"/>
      <w:sz w:val="24"/>
    </w:r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6"/>
      </w:numPr>
      <w:contextualSpacing/>
    </w:pPr>
  </w:style>
  <w:style w:type="paragraph" w:styleId="ListNumber2">
    <w:name w:val="List Number 2"/>
    <w:basedOn w:val="Normal"/>
    <w:uiPriority w:val="99"/>
    <w:semiHidden/>
    <w:unhideWhenUsed/>
    <w:pPr>
      <w:numPr>
        <w:numId w:val="7"/>
      </w:numPr>
      <w:contextualSpacing/>
    </w:pPr>
  </w:style>
  <w:style w:type="paragraph" w:styleId="ListNumber3">
    <w:name w:val="List Number 3"/>
    <w:basedOn w:val="Normal"/>
    <w:uiPriority w:val="99"/>
    <w:semiHidden/>
    <w:unhideWhenUsed/>
    <w:pPr>
      <w:numPr>
        <w:numId w:val="8"/>
      </w:numPr>
      <w:contextualSpacing/>
    </w:pPr>
  </w:style>
  <w:style w:type="paragraph" w:styleId="ListNumber4">
    <w:name w:val="List Number 4"/>
    <w:basedOn w:val="Normal"/>
    <w:uiPriority w:val="99"/>
    <w:semiHidden/>
    <w:unhideWhenUsed/>
    <w:pPr>
      <w:numPr>
        <w:numId w:val="9"/>
      </w:numPr>
      <w:contextualSpacing/>
    </w:pPr>
  </w:style>
  <w:style w:type="character" w:styleId="Hyperlink">
    <w:name w:val="Hyperlink"/>
    <w:basedOn w:val="DefaultParagraphFont"/>
    <w:uiPriority w:val="99"/>
    <w:unhideWhenUsed/>
    <w:rPr>
      <w:color w:val="0000FF" w:themeColor="hyperlink"/>
      <w:u w:val="single"/>
    </w:rPr>
  </w:style>
  <w:style w:type="paragraph" w:styleId="Header">
    <w:name w:val="header"/>
    <w:basedOn w:val="Normal"/>
    <w:link w:val="HeaderChar"/>
    <w:uiPriority w:val="99"/>
    <w:unhideWhenUsed/>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Pr>
      <w:rFonts w:ascii="Times New Roman" w:hAnsi="Times New Roman" w:cs="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rPr>
      <w:lang w:eastAsia="en-US" w:bidi="ar-SA"/>
    </w:rPr>
  </w:style>
  <w:style w:type="character" w:customStyle="1" w:styleId="FooterChar">
    <w:name w:val="Footer Char"/>
    <w:basedOn w:val="DefaultParagraphFont"/>
    <w:link w:val="Footer"/>
    <w:uiPriority w:val="99"/>
    <w:rPr>
      <w:rFonts w:ascii="Times New Roman" w:hAnsi="Times New Roman" w:cs="Times New Roman"/>
      <w:sz w:val="24"/>
      <w:lang w:eastAsia="en-US" w:bidi="ar-SA"/>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rPr>
      <w:lang w:eastAsia="en-US" w:bidi="ar-SA"/>
    </w:r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lang w:eastAsia="en-US" w:bidi="ar-SA"/>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lang w:eastAsia="en-US" w:bidi="ar-SA"/>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0"/>
      </w:numPr>
    </w:pPr>
  </w:style>
  <w:style w:type="paragraph" w:customStyle="1" w:styleId="Tiret1">
    <w:name w:val="Tiret 1"/>
    <w:basedOn w:val="Point1"/>
    <w:pPr>
      <w:numPr>
        <w:numId w:val="11"/>
      </w:numPr>
    </w:pPr>
  </w:style>
  <w:style w:type="paragraph" w:customStyle="1" w:styleId="Tiret2">
    <w:name w:val="Tiret 2"/>
    <w:basedOn w:val="Point2"/>
    <w:pPr>
      <w:numPr>
        <w:numId w:val="12"/>
      </w:numPr>
    </w:pPr>
  </w:style>
  <w:style w:type="paragraph" w:customStyle="1" w:styleId="Tiret3">
    <w:name w:val="Tiret 3"/>
    <w:basedOn w:val="Point3"/>
    <w:pPr>
      <w:numPr>
        <w:numId w:val="13"/>
      </w:numPr>
    </w:pPr>
  </w:style>
  <w:style w:type="paragraph" w:customStyle="1" w:styleId="Tiret4">
    <w:name w:val="Tiret 4"/>
    <w:basedOn w:val="Point4"/>
    <w:pPr>
      <w:numPr>
        <w:numId w:val="14"/>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5"/>
      </w:numPr>
    </w:pPr>
  </w:style>
  <w:style w:type="paragraph" w:customStyle="1" w:styleId="NumPar2">
    <w:name w:val="NumPar 2"/>
    <w:basedOn w:val="Normal"/>
    <w:next w:val="Text1"/>
    <w:pPr>
      <w:numPr>
        <w:ilvl w:val="1"/>
        <w:numId w:val="15"/>
      </w:numPr>
    </w:pPr>
  </w:style>
  <w:style w:type="paragraph" w:customStyle="1" w:styleId="NumPar3">
    <w:name w:val="NumPar 3"/>
    <w:basedOn w:val="Normal"/>
    <w:next w:val="Text1"/>
    <w:pPr>
      <w:numPr>
        <w:ilvl w:val="2"/>
        <w:numId w:val="15"/>
      </w:numPr>
    </w:pPr>
  </w:style>
  <w:style w:type="paragraph" w:customStyle="1" w:styleId="NumPar4">
    <w:name w:val="NumPar 4"/>
    <w:basedOn w:val="Normal"/>
    <w:next w:val="Text1"/>
    <w:pPr>
      <w:numPr>
        <w:ilvl w:val="3"/>
        <w:numId w:val="15"/>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17"/>
      </w:numPr>
    </w:pPr>
  </w:style>
  <w:style w:type="paragraph" w:customStyle="1" w:styleId="Point1number">
    <w:name w:val="Point 1 (number)"/>
    <w:basedOn w:val="Normal"/>
    <w:pPr>
      <w:numPr>
        <w:ilvl w:val="2"/>
        <w:numId w:val="17"/>
      </w:numPr>
    </w:pPr>
  </w:style>
  <w:style w:type="paragraph" w:customStyle="1" w:styleId="Point2number">
    <w:name w:val="Point 2 (number)"/>
    <w:basedOn w:val="Normal"/>
    <w:pPr>
      <w:numPr>
        <w:ilvl w:val="4"/>
        <w:numId w:val="17"/>
      </w:numPr>
    </w:pPr>
  </w:style>
  <w:style w:type="paragraph" w:customStyle="1" w:styleId="Point3number">
    <w:name w:val="Point 3 (number)"/>
    <w:basedOn w:val="Normal"/>
    <w:pPr>
      <w:numPr>
        <w:ilvl w:val="6"/>
        <w:numId w:val="17"/>
      </w:numPr>
    </w:pPr>
  </w:style>
  <w:style w:type="paragraph" w:customStyle="1" w:styleId="Point0letter">
    <w:name w:val="Point 0 (letter)"/>
    <w:basedOn w:val="Normal"/>
    <w:pPr>
      <w:numPr>
        <w:ilvl w:val="1"/>
        <w:numId w:val="17"/>
      </w:numPr>
    </w:pPr>
  </w:style>
  <w:style w:type="paragraph" w:customStyle="1" w:styleId="Point1letter">
    <w:name w:val="Point 1 (letter)"/>
    <w:basedOn w:val="Normal"/>
    <w:pPr>
      <w:numPr>
        <w:ilvl w:val="3"/>
        <w:numId w:val="17"/>
      </w:numPr>
    </w:pPr>
  </w:style>
  <w:style w:type="paragraph" w:customStyle="1" w:styleId="Point2letter">
    <w:name w:val="Point 2 (letter)"/>
    <w:basedOn w:val="Normal"/>
    <w:pPr>
      <w:numPr>
        <w:ilvl w:val="5"/>
        <w:numId w:val="17"/>
      </w:numPr>
    </w:pPr>
  </w:style>
  <w:style w:type="paragraph" w:customStyle="1" w:styleId="Point3letter">
    <w:name w:val="Point 3 (letter)"/>
    <w:basedOn w:val="Normal"/>
    <w:pPr>
      <w:numPr>
        <w:ilvl w:val="7"/>
        <w:numId w:val="17"/>
      </w:numPr>
    </w:pPr>
  </w:style>
  <w:style w:type="paragraph" w:customStyle="1" w:styleId="Point4letter">
    <w:name w:val="Point 4 (letter)"/>
    <w:basedOn w:val="Normal"/>
    <w:pPr>
      <w:numPr>
        <w:ilvl w:val="8"/>
        <w:numId w:val="17"/>
      </w:numPr>
    </w:pPr>
  </w:style>
  <w:style w:type="paragraph" w:customStyle="1" w:styleId="Bullet0">
    <w:name w:val="Bullet 0"/>
    <w:basedOn w:val="Normal"/>
    <w:pPr>
      <w:numPr>
        <w:numId w:val="18"/>
      </w:numPr>
    </w:pPr>
  </w:style>
  <w:style w:type="paragraph" w:customStyle="1" w:styleId="Bullet1">
    <w:name w:val="Bullet 1"/>
    <w:basedOn w:val="Normal"/>
    <w:pPr>
      <w:numPr>
        <w:numId w:val="19"/>
      </w:numPr>
    </w:pPr>
  </w:style>
  <w:style w:type="paragraph" w:customStyle="1" w:styleId="Bullet2">
    <w:name w:val="Bullet 2"/>
    <w:basedOn w:val="Normal"/>
    <w:pPr>
      <w:numPr>
        <w:numId w:val="20"/>
      </w:numPr>
    </w:pPr>
  </w:style>
  <w:style w:type="paragraph" w:customStyle="1" w:styleId="Bullet3">
    <w:name w:val="Bullet 3"/>
    <w:basedOn w:val="Normal"/>
    <w:pPr>
      <w:numPr>
        <w:numId w:val="21"/>
      </w:numPr>
    </w:pPr>
  </w:style>
  <w:style w:type="paragraph" w:customStyle="1" w:styleId="Bullet4">
    <w:name w:val="Bullet 4"/>
    <w:basedOn w:val="Normal"/>
    <w:pPr>
      <w:numPr>
        <w:numId w:val="22"/>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3"/>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bg-BG" w:bidi="bg-BG"/>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16"/>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6"/>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6"/>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6"/>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semiHidden/>
    <w:unhideWhenUsed/>
    <w:pPr>
      <w:numPr>
        <w:numId w:val="2"/>
      </w:numPr>
      <w:contextualSpacing/>
    </w:pPr>
  </w:style>
  <w:style w:type="paragraph" w:styleId="ListBullet2">
    <w:name w:val="List Bullet 2"/>
    <w:basedOn w:val="Normal"/>
    <w:uiPriority w:val="99"/>
    <w:semiHidden/>
    <w:unhideWhenUsed/>
    <w:pPr>
      <w:numPr>
        <w:numId w:val="3"/>
      </w:numPr>
      <w:contextualSpacing/>
    </w:pPr>
  </w:style>
  <w:style w:type="paragraph" w:styleId="ListBullet3">
    <w:name w:val="List Bullet 3"/>
    <w:basedOn w:val="Normal"/>
    <w:uiPriority w:val="99"/>
    <w:semiHidden/>
    <w:unhideWhenUsed/>
    <w:pPr>
      <w:numPr>
        <w:numId w:val="4"/>
      </w:numPr>
      <w:contextualSpacing/>
    </w:pPr>
  </w:style>
  <w:style w:type="paragraph" w:styleId="ListBullet4">
    <w:name w:val="List Bullet 4"/>
    <w:basedOn w:val="Normal"/>
    <w:uiPriority w:val="99"/>
    <w:semiHidden/>
    <w:unhideWhenUsed/>
    <w:pPr>
      <w:numPr>
        <w:numId w:val="5"/>
      </w:numPr>
      <w:contextualSpacing/>
    </w:pPr>
  </w:style>
  <w:style w:type="paragraph" w:customStyle="1" w:styleId="Default">
    <w:name w:val="Default"/>
    <w:pPr>
      <w:autoSpaceDE w:val="0"/>
      <w:autoSpaceDN w:val="0"/>
      <w:adjustRightInd w:val="0"/>
      <w:spacing w:after="0" w:line="240" w:lineRule="auto"/>
    </w:pPr>
    <w:rPr>
      <w:rFonts w:ascii="EUAlbertina" w:hAnsi="EUAlbertina" w:cs="EUAlbertina"/>
      <w:color w:val="000000"/>
      <w:sz w:val="24"/>
      <w:szCs w:val="24"/>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bg-BG"/>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bg-BG"/>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bg-BG"/>
    </w:rPr>
  </w:style>
  <w:style w:type="paragraph" w:styleId="Revision">
    <w:name w:val="Revision"/>
    <w:hidden/>
    <w:uiPriority w:val="99"/>
    <w:semiHidden/>
    <w:pPr>
      <w:spacing w:after="0" w:line="240" w:lineRule="auto"/>
    </w:pPr>
    <w:rPr>
      <w:rFonts w:ascii="Times New Roman" w:hAnsi="Times New Roman" w:cs="Times New Roman"/>
      <w:sz w:val="24"/>
    </w:r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6"/>
      </w:numPr>
      <w:contextualSpacing/>
    </w:pPr>
  </w:style>
  <w:style w:type="paragraph" w:styleId="ListNumber2">
    <w:name w:val="List Number 2"/>
    <w:basedOn w:val="Normal"/>
    <w:uiPriority w:val="99"/>
    <w:semiHidden/>
    <w:unhideWhenUsed/>
    <w:pPr>
      <w:numPr>
        <w:numId w:val="7"/>
      </w:numPr>
      <w:contextualSpacing/>
    </w:pPr>
  </w:style>
  <w:style w:type="paragraph" w:styleId="ListNumber3">
    <w:name w:val="List Number 3"/>
    <w:basedOn w:val="Normal"/>
    <w:uiPriority w:val="99"/>
    <w:semiHidden/>
    <w:unhideWhenUsed/>
    <w:pPr>
      <w:numPr>
        <w:numId w:val="8"/>
      </w:numPr>
      <w:contextualSpacing/>
    </w:pPr>
  </w:style>
  <w:style w:type="paragraph" w:styleId="ListNumber4">
    <w:name w:val="List Number 4"/>
    <w:basedOn w:val="Normal"/>
    <w:uiPriority w:val="99"/>
    <w:semiHidden/>
    <w:unhideWhenUsed/>
    <w:pPr>
      <w:numPr>
        <w:numId w:val="9"/>
      </w:numPr>
      <w:contextualSpacing/>
    </w:pPr>
  </w:style>
  <w:style w:type="character" w:styleId="Hyperlink">
    <w:name w:val="Hyperlink"/>
    <w:basedOn w:val="DefaultParagraphFont"/>
    <w:uiPriority w:val="99"/>
    <w:unhideWhenUsed/>
    <w:rPr>
      <w:color w:val="0000FF" w:themeColor="hyperlink"/>
      <w:u w:val="single"/>
    </w:rPr>
  </w:style>
  <w:style w:type="paragraph" w:styleId="Header">
    <w:name w:val="header"/>
    <w:basedOn w:val="Normal"/>
    <w:link w:val="HeaderChar"/>
    <w:uiPriority w:val="99"/>
    <w:unhideWhenUsed/>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Pr>
      <w:rFonts w:ascii="Times New Roman" w:hAnsi="Times New Roman" w:cs="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rPr>
      <w:lang w:eastAsia="en-US" w:bidi="ar-SA"/>
    </w:rPr>
  </w:style>
  <w:style w:type="character" w:customStyle="1" w:styleId="FooterChar">
    <w:name w:val="Footer Char"/>
    <w:basedOn w:val="DefaultParagraphFont"/>
    <w:link w:val="Footer"/>
    <w:uiPriority w:val="99"/>
    <w:rPr>
      <w:rFonts w:ascii="Times New Roman" w:hAnsi="Times New Roman" w:cs="Times New Roman"/>
      <w:sz w:val="24"/>
      <w:lang w:eastAsia="en-US" w:bidi="ar-SA"/>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rPr>
      <w:lang w:eastAsia="en-US" w:bidi="ar-SA"/>
    </w:r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lang w:eastAsia="en-US" w:bidi="ar-SA"/>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lang w:eastAsia="en-US" w:bidi="ar-SA"/>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0"/>
      </w:numPr>
    </w:pPr>
  </w:style>
  <w:style w:type="paragraph" w:customStyle="1" w:styleId="Tiret1">
    <w:name w:val="Tiret 1"/>
    <w:basedOn w:val="Point1"/>
    <w:pPr>
      <w:numPr>
        <w:numId w:val="11"/>
      </w:numPr>
    </w:pPr>
  </w:style>
  <w:style w:type="paragraph" w:customStyle="1" w:styleId="Tiret2">
    <w:name w:val="Tiret 2"/>
    <w:basedOn w:val="Point2"/>
    <w:pPr>
      <w:numPr>
        <w:numId w:val="12"/>
      </w:numPr>
    </w:pPr>
  </w:style>
  <w:style w:type="paragraph" w:customStyle="1" w:styleId="Tiret3">
    <w:name w:val="Tiret 3"/>
    <w:basedOn w:val="Point3"/>
    <w:pPr>
      <w:numPr>
        <w:numId w:val="13"/>
      </w:numPr>
    </w:pPr>
  </w:style>
  <w:style w:type="paragraph" w:customStyle="1" w:styleId="Tiret4">
    <w:name w:val="Tiret 4"/>
    <w:basedOn w:val="Point4"/>
    <w:pPr>
      <w:numPr>
        <w:numId w:val="14"/>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5"/>
      </w:numPr>
    </w:pPr>
  </w:style>
  <w:style w:type="paragraph" w:customStyle="1" w:styleId="NumPar2">
    <w:name w:val="NumPar 2"/>
    <w:basedOn w:val="Normal"/>
    <w:next w:val="Text1"/>
    <w:pPr>
      <w:numPr>
        <w:ilvl w:val="1"/>
        <w:numId w:val="15"/>
      </w:numPr>
    </w:pPr>
  </w:style>
  <w:style w:type="paragraph" w:customStyle="1" w:styleId="NumPar3">
    <w:name w:val="NumPar 3"/>
    <w:basedOn w:val="Normal"/>
    <w:next w:val="Text1"/>
    <w:pPr>
      <w:numPr>
        <w:ilvl w:val="2"/>
        <w:numId w:val="15"/>
      </w:numPr>
    </w:pPr>
  </w:style>
  <w:style w:type="paragraph" w:customStyle="1" w:styleId="NumPar4">
    <w:name w:val="NumPar 4"/>
    <w:basedOn w:val="Normal"/>
    <w:next w:val="Text1"/>
    <w:pPr>
      <w:numPr>
        <w:ilvl w:val="3"/>
        <w:numId w:val="15"/>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17"/>
      </w:numPr>
    </w:pPr>
  </w:style>
  <w:style w:type="paragraph" w:customStyle="1" w:styleId="Point1number">
    <w:name w:val="Point 1 (number)"/>
    <w:basedOn w:val="Normal"/>
    <w:pPr>
      <w:numPr>
        <w:ilvl w:val="2"/>
        <w:numId w:val="17"/>
      </w:numPr>
    </w:pPr>
  </w:style>
  <w:style w:type="paragraph" w:customStyle="1" w:styleId="Point2number">
    <w:name w:val="Point 2 (number)"/>
    <w:basedOn w:val="Normal"/>
    <w:pPr>
      <w:numPr>
        <w:ilvl w:val="4"/>
        <w:numId w:val="17"/>
      </w:numPr>
    </w:pPr>
  </w:style>
  <w:style w:type="paragraph" w:customStyle="1" w:styleId="Point3number">
    <w:name w:val="Point 3 (number)"/>
    <w:basedOn w:val="Normal"/>
    <w:pPr>
      <w:numPr>
        <w:ilvl w:val="6"/>
        <w:numId w:val="17"/>
      </w:numPr>
    </w:pPr>
  </w:style>
  <w:style w:type="paragraph" w:customStyle="1" w:styleId="Point0letter">
    <w:name w:val="Point 0 (letter)"/>
    <w:basedOn w:val="Normal"/>
    <w:pPr>
      <w:numPr>
        <w:ilvl w:val="1"/>
        <w:numId w:val="17"/>
      </w:numPr>
    </w:pPr>
  </w:style>
  <w:style w:type="paragraph" w:customStyle="1" w:styleId="Point1letter">
    <w:name w:val="Point 1 (letter)"/>
    <w:basedOn w:val="Normal"/>
    <w:pPr>
      <w:numPr>
        <w:ilvl w:val="3"/>
        <w:numId w:val="17"/>
      </w:numPr>
    </w:pPr>
  </w:style>
  <w:style w:type="paragraph" w:customStyle="1" w:styleId="Point2letter">
    <w:name w:val="Point 2 (letter)"/>
    <w:basedOn w:val="Normal"/>
    <w:pPr>
      <w:numPr>
        <w:ilvl w:val="5"/>
        <w:numId w:val="17"/>
      </w:numPr>
    </w:pPr>
  </w:style>
  <w:style w:type="paragraph" w:customStyle="1" w:styleId="Point3letter">
    <w:name w:val="Point 3 (letter)"/>
    <w:basedOn w:val="Normal"/>
    <w:pPr>
      <w:numPr>
        <w:ilvl w:val="7"/>
        <w:numId w:val="17"/>
      </w:numPr>
    </w:pPr>
  </w:style>
  <w:style w:type="paragraph" w:customStyle="1" w:styleId="Point4letter">
    <w:name w:val="Point 4 (letter)"/>
    <w:basedOn w:val="Normal"/>
    <w:pPr>
      <w:numPr>
        <w:ilvl w:val="8"/>
        <w:numId w:val="17"/>
      </w:numPr>
    </w:pPr>
  </w:style>
  <w:style w:type="paragraph" w:customStyle="1" w:styleId="Bullet0">
    <w:name w:val="Bullet 0"/>
    <w:basedOn w:val="Normal"/>
    <w:pPr>
      <w:numPr>
        <w:numId w:val="18"/>
      </w:numPr>
    </w:pPr>
  </w:style>
  <w:style w:type="paragraph" w:customStyle="1" w:styleId="Bullet1">
    <w:name w:val="Bullet 1"/>
    <w:basedOn w:val="Normal"/>
    <w:pPr>
      <w:numPr>
        <w:numId w:val="19"/>
      </w:numPr>
    </w:pPr>
  </w:style>
  <w:style w:type="paragraph" w:customStyle="1" w:styleId="Bullet2">
    <w:name w:val="Bullet 2"/>
    <w:basedOn w:val="Normal"/>
    <w:pPr>
      <w:numPr>
        <w:numId w:val="20"/>
      </w:numPr>
    </w:pPr>
  </w:style>
  <w:style w:type="paragraph" w:customStyle="1" w:styleId="Bullet3">
    <w:name w:val="Bullet 3"/>
    <w:basedOn w:val="Normal"/>
    <w:pPr>
      <w:numPr>
        <w:numId w:val="21"/>
      </w:numPr>
    </w:pPr>
  </w:style>
  <w:style w:type="paragraph" w:customStyle="1" w:styleId="Bullet4">
    <w:name w:val="Bullet 4"/>
    <w:basedOn w:val="Normal"/>
    <w:pPr>
      <w:numPr>
        <w:numId w:val="22"/>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3"/>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02599F-A798-494E-AB53-AACA55797D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1</TotalTime>
  <Pages>7</Pages>
  <Words>1596</Words>
  <Characters>9008</Characters>
  <Application>Microsoft Office Word</Application>
  <DocSecurity>0</DocSecurity>
  <Lines>176</Lines>
  <Paragraphs>75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10529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DIGIT/A3</cp:lastModifiedBy>
  <cp:revision>18</cp:revision>
  <cp:lastPrinted>2018-02-09T15:13:00Z</cp:lastPrinted>
  <dcterms:created xsi:type="dcterms:W3CDTF">2018-03-08T11:40:00Z</dcterms:created>
  <dcterms:modified xsi:type="dcterms:W3CDTF">2018-03-09T06:51:00Z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6.0.1.0</vt:lpwstr>
  </property>
  <property fmtid="{D5CDD505-2E9C-101B-9397-08002B2CF9AE}" pid="4" name="Last edited using">
    <vt:lpwstr>LW 6.0, Build 20171009</vt:lpwstr>
  </property>
  <property fmtid="{D5CDD505-2E9C-101B-9397-08002B2CF9AE}" pid="5" name="Created using">
    <vt:lpwstr>LW 6.0, Build 20171009</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SJ-020</vt:lpwstr>
  </property>
  <property fmtid="{D5CDD505-2E9C-101B-9397-08002B2CF9AE}" pid="10" name="DQCStatus">
    <vt:lpwstr>Green (DQC version 03)</vt:lpwstr>
  </property>
</Properties>
</file>