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9.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10.xml" ContentType="application/vnd.openxmlformats-officedocument.drawingml.chart+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7789434-BFD1-47C1-9574-D2A93A53DF94" style="width:450.4pt;height:408.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tabs>
          <w:tab w:val="clear" w:pos="8640"/>
        </w:tabs>
        <w:ind w:right="458"/>
        <w:rPr>
          <w:rFonts w:asciiTheme="minorHAnsi" w:eastAsiaTheme="minorEastAsia" w:hAnsiTheme="minorHAnsi" w:cstheme="minorBidi"/>
          <w:caps w:val="0"/>
          <w:noProof/>
          <w:sz w:val="22"/>
          <w:szCs w:val="22"/>
          <w:lang w:eastAsia="zh-CN"/>
        </w:rPr>
      </w:pPr>
      <w:r>
        <w:rPr>
          <w:noProof/>
        </w:rPr>
        <w:fldChar w:fldCharType="begin"/>
      </w:r>
      <w:r>
        <w:rPr>
          <w:noProof/>
        </w:rPr>
        <w:instrText xml:space="preserve"> TOC \o "1-1" \h \z \t "Heading 2;2;Heading 3;3;Annex Title;1" </w:instrText>
      </w:r>
      <w:r>
        <w:rPr>
          <w:noProof/>
        </w:rPr>
        <w:fldChar w:fldCharType="separate"/>
      </w:r>
      <w:hyperlink w:anchor="_Toc507148452" w:history="1">
        <w:r>
          <w:rPr>
            <w:rStyle w:val="Hyperlink"/>
            <w:noProof/>
            <w:color w:val="auto"/>
          </w:rPr>
          <w:t>1.</w:t>
        </w:r>
        <w:r>
          <w:rPr>
            <w:rFonts w:asciiTheme="minorHAnsi" w:eastAsiaTheme="minorEastAsia" w:hAnsiTheme="minorHAnsi" w:cstheme="minorBidi"/>
            <w:caps w:val="0"/>
            <w:noProof/>
            <w:sz w:val="22"/>
            <w:szCs w:val="22"/>
            <w:lang w:eastAsia="zh-CN"/>
          </w:rPr>
          <w:tab/>
        </w:r>
        <w:r>
          <w:rPr>
            <w:rStyle w:val="Hyperlink"/>
            <w:noProof/>
            <w:color w:val="auto"/>
          </w:rPr>
          <w:t>Introduction: Political and legal context</w:t>
        </w:r>
        <w:r>
          <w:rPr>
            <w:noProof/>
            <w:webHidden/>
          </w:rPr>
          <w:tab/>
        </w:r>
        <w:r>
          <w:rPr>
            <w:noProof/>
            <w:webHidden/>
          </w:rPr>
          <w:fldChar w:fldCharType="begin"/>
        </w:r>
        <w:r>
          <w:rPr>
            <w:noProof/>
            <w:webHidden/>
          </w:rPr>
          <w:instrText xml:space="preserve"> PAGEREF _Toc507148452 \h </w:instrText>
        </w:r>
        <w:r>
          <w:rPr>
            <w:noProof/>
            <w:webHidden/>
          </w:rPr>
        </w:r>
        <w:r>
          <w:rPr>
            <w:noProof/>
            <w:webHidden/>
          </w:rPr>
          <w:fldChar w:fldCharType="separate"/>
        </w:r>
        <w:r>
          <w:rPr>
            <w:noProof/>
            <w:webHidden/>
          </w:rPr>
          <w:t>6</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53" w:history="1">
        <w:r>
          <w:rPr>
            <w:rStyle w:val="Hyperlink"/>
            <w:noProof/>
            <w:color w:val="auto"/>
          </w:rPr>
          <w:t>1.1.</w:t>
        </w:r>
        <w:r>
          <w:rPr>
            <w:rFonts w:asciiTheme="minorHAnsi" w:eastAsiaTheme="minorEastAsia" w:hAnsiTheme="minorHAnsi" w:cstheme="minorBidi"/>
            <w:noProof/>
            <w:sz w:val="22"/>
            <w:szCs w:val="22"/>
            <w:lang w:eastAsia="zh-CN"/>
          </w:rPr>
          <w:tab/>
        </w:r>
        <w:r>
          <w:rPr>
            <w:rStyle w:val="Hyperlink"/>
            <w:noProof/>
            <w:color w:val="auto"/>
          </w:rPr>
          <w:t>EU common visa policy</w:t>
        </w:r>
        <w:r>
          <w:rPr>
            <w:noProof/>
            <w:webHidden/>
          </w:rPr>
          <w:tab/>
        </w:r>
        <w:r>
          <w:rPr>
            <w:noProof/>
            <w:webHidden/>
          </w:rPr>
          <w:fldChar w:fldCharType="begin"/>
        </w:r>
        <w:r>
          <w:rPr>
            <w:noProof/>
            <w:webHidden/>
          </w:rPr>
          <w:instrText xml:space="preserve"> PAGEREF _Toc507148453 \h </w:instrText>
        </w:r>
        <w:r>
          <w:rPr>
            <w:noProof/>
            <w:webHidden/>
          </w:rPr>
        </w:r>
        <w:r>
          <w:rPr>
            <w:noProof/>
            <w:webHidden/>
          </w:rPr>
          <w:fldChar w:fldCharType="separate"/>
        </w:r>
        <w:r>
          <w:rPr>
            <w:noProof/>
            <w:webHidden/>
          </w:rPr>
          <w:t>6</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54" w:history="1">
        <w:r>
          <w:rPr>
            <w:rStyle w:val="Hyperlink"/>
            <w:noProof/>
            <w:color w:val="auto"/>
          </w:rPr>
          <w:t>1.2.</w:t>
        </w:r>
        <w:r>
          <w:rPr>
            <w:rFonts w:asciiTheme="minorHAnsi" w:eastAsiaTheme="minorEastAsia" w:hAnsiTheme="minorHAnsi" w:cstheme="minorBidi"/>
            <w:noProof/>
            <w:sz w:val="22"/>
            <w:szCs w:val="22"/>
            <w:lang w:eastAsia="zh-CN"/>
          </w:rPr>
          <w:tab/>
        </w:r>
        <w:r>
          <w:rPr>
            <w:rStyle w:val="Hyperlink"/>
            <w:noProof/>
            <w:color w:val="auto"/>
          </w:rPr>
          <w:t>Legislative package 2014</w:t>
        </w:r>
        <w:r>
          <w:rPr>
            <w:noProof/>
            <w:webHidden/>
          </w:rPr>
          <w:tab/>
        </w:r>
        <w:r>
          <w:rPr>
            <w:noProof/>
            <w:webHidden/>
          </w:rPr>
          <w:fldChar w:fldCharType="begin"/>
        </w:r>
        <w:r>
          <w:rPr>
            <w:noProof/>
            <w:webHidden/>
          </w:rPr>
          <w:instrText xml:space="preserve"> PAGEREF _Toc507148454 \h </w:instrText>
        </w:r>
        <w:r>
          <w:rPr>
            <w:noProof/>
            <w:webHidden/>
          </w:rPr>
        </w:r>
        <w:r>
          <w:rPr>
            <w:noProof/>
            <w:webHidden/>
          </w:rPr>
          <w:fldChar w:fldCharType="separate"/>
        </w:r>
        <w:r>
          <w:rPr>
            <w:noProof/>
            <w:webHidden/>
          </w:rPr>
          <w:t>7</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55" w:history="1">
        <w:r>
          <w:rPr>
            <w:rStyle w:val="Hyperlink"/>
            <w:noProof/>
            <w:color w:val="auto"/>
          </w:rPr>
          <w:t>1.3.</w:t>
        </w:r>
        <w:r>
          <w:rPr>
            <w:rFonts w:asciiTheme="minorHAnsi" w:eastAsiaTheme="minorEastAsia" w:hAnsiTheme="minorHAnsi" w:cstheme="minorBidi"/>
            <w:noProof/>
            <w:sz w:val="22"/>
            <w:szCs w:val="22"/>
            <w:lang w:eastAsia="zh-CN"/>
          </w:rPr>
          <w:tab/>
        </w:r>
        <w:r>
          <w:rPr>
            <w:rStyle w:val="Hyperlink"/>
            <w:noProof/>
            <w:color w:val="auto"/>
          </w:rPr>
          <w:t>Broader policy context</w:t>
        </w:r>
        <w:r>
          <w:rPr>
            <w:noProof/>
            <w:webHidden/>
          </w:rPr>
          <w:tab/>
        </w:r>
        <w:r>
          <w:rPr>
            <w:noProof/>
            <w:webHidden/>
          </w:rPr>
          <w:fldChar w:fldCharType="begin"/>
        </w:r>
        <w:r>
          <w:rPr>
            <w:noProof/>
            <w:webHidden/>
          </w:rPr>
          <w:instrText xml:space="preserve"> PAGEREF _Toc507148455 \h </w:instrText>
        </w:r>
        <w:r>
          <w:rPr>
            <w:noProof/>
            <w:webHidden/>
          </w:rPr>
        </w:r>
        <w:r>
          <w:rPr>
            <w:noProof/>
            <w:webHidden/>
          </w:rPr>
          <w:fldChar w:fldCharType="separate"/>
        </w:r>
        <w:r>
          <w:rPr>
            <w:noProof/>
            <w:webHidden/>
          </w:rPr>
          <w:t>8</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56" w:history="1">
        <w:r>
          <w:rPr>
            <w:rStyle w:val="Hyperlink"/>
            <w:noProof/>
            <w:color w:val="auto"/>
          </w:rPr>
          <w:t>1.4.</w:t>
        </w:r>
        <w:r>
          <w:rPr>
            <w:rFonts w:asciiTheme="minorHAnsi" w:eastAsiaTheme="minorEastAsia" w:hAnsiTheme="minorHAnsi" w:cstheme="minorBidi"/>
            <w:noProof/>
            <w:sz w:val="22"/>
            <w:szCs w:val="22"/>
            <w:lang w:eastAsia="zh-CN"/>
          </w:rPr>
          <w:tab/>
        </w:r>
        <w:r>
          <w:rPr>
            <w:rStyle w:val="Hyperlink"/>
            <w:noProof/>
            <w:color w:val="auto"/>
          </w:rPr>
          <w:t>Consequences for the common visa policy</w:t>
        </w:r>
        <w:r>
          <w:rPr>
            <w:noProof/>
            <w:webHidden/>
          </w:rPr>
          <w:tab/>
        </w:r>
        <w:r>
          <w:rPr>
            <w:noProof/>
            <w:webHidden/>
          </w:rPr>
          <w:fldChar w:fldCharType="begin"/>
        </w:r>
        <w:r>
          <w:rPr>
            <w:noProof/>
            <w:webHidden/>
          </w:rPr>
          <w:instrText xml:space="preserve"> PAGEREF _Toc507148456 \h </w:instrText>
        </w:r>
        <w:r>
          <w:rPr>
            <w:noProof/>
            <w:webHidden/>
          </w:rPr>
        </w:r>
        <w:r>
          <w:rPr>
            <w:noProof/>
            <w:webHidden/>
          </w:rPr>
          <w:fldChar w:fldCharType="separate"/>
        </w:r>
        <w:r>
          <w:rPr>
            <w:noProof/>
            <w:webHidden/>
          </w:rPr>
          <w:t>9</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57" w:history="1">
        <w:r>
          <w:rPr>
            <w:rStyle w:val="Hyperlink"/>
            <w:noProof/>
            <w:color w:val="auto"/>
          </w:rPr>
          <w:t>1.5.</w:t>
        </w:r>
        <w:r>
          <w:rPr>
            <w:rFonts w:asciiTheme="minorHAnsi" w:eastAsiaTheme="minorEastAsia" w:hAnsiTheme="minorHAnsi" w:cstheme="minorBidi"/>
            <w:noProof/>
            <w:sz w:val="22"/>
            <w:szCs w:val="22"/>
            <w:lang w:eastAsia="zh-CN"/>
          </w:rPr>
          <w:tab/>
        </w:r>
        <w:r>
          <w:rPr>
            <w:rStyle w:val="Hyperlink"/>
            <w:noProof/>
            <w:color w:val="auto"/>
          </w:rPr>
          <w:t>Scope of the initiative</w:t>
        </w:r>
        <w:r>
          <w:rPr>
            <w:noProof/>
            <w:webHidden/>
          </w:rPr>
          <w:tab/>
        </w:r>
        <w:r>
          <w:rPr>
            <w:noProof/>
            <w:webHidden/>
          </w:rPr>
          <w:fldChar w:fldCharType="begin"/>
        </w:r>
        <w:r>
          <w:rPr>
            <w:noProof/>
            <w:webHidden/>
          </w:rPr>
          <w:instrText xml:space="preserve"> PAGEREF _Toc507148457 \h </w:instrText>
        </w:r>
        <w:r>
          <w:rPr>
            <w:noProof/>
            <w:webHidden/>
          </w:rPr>
        </w:r>
        <w:r>
          <w:rPr>
            <w:noProof/>
            <w:webHidden/>
          </w:rPr>
          <w:fldChar w:fldCharType="separate"/>
        </w:r>
        <w:r>
          <w:rPr>
            <w:noProof/>
            <w:webHidden/>
          </w:rPr>
          <w:t>10</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458" w:history="1">
        <w:r>
          <w:rPr>
            <w:rStyle w:val="Hyperlink"/>
            <w:noProof/>
            <w:color w:val="auto"/>
          </w:rPr>
          <w:t>2.</w:t>
        </w:r>
        <w:r>
          <w:rPr>
            <w:rFonts w:asciiTheme="minorHAnsi" w:eastAsiaTheme="minorEastAsia" w:hAnsiTheme="minorHAnsi" w:cstheme="minorBidi"/>
            <w:caps w:val="0"/>
            <w:noProof/>
            <w:sz w:val="22"/>
            <w:szCs w:val="22"/>
            <w:lang w:eastAsia="zh-CN"/>
          </w:rPr>
          <w:tab/>
        </w:r>
        <w:r>
          <w:rPr>
            <w:rStyle w:val="Hyperlink"/>
            <w:noProof/>
            <w:color w:val="auto"/>
          </w:rPr>
          <w:t>Problem definition</w:t>
        </w:r>
        <w:r>
          <w:rPr>
            <w:noProof/>
            <w:webHidden/>
          </w:rPr>
          <w:tab/>
        </w:r>
        <w:r>
          <w:rPr>
            <w:noProof/>
            <w:webHidden/>
          </w:rPr>
          <w:fldChar w:fldCharType="begin"/>
        </w:r>
        <w:r>
          <w:rPr>
            <w:noProof/>
            <w:webHidden/>
          </w:rPr>
          <w:instrText xml:space="preserve"> PAGEREF _Toc507148458 \h </w:instrText>
        </w:r>
        <w:r>
          <w:rPr>
            <w:noProof/>
            <w:webHidden/>
          </w:rPr>
        </w:r>
        <w:r>
          <w:rPr>
            <w:noProof/>
            <w:webHidden/>
          </w:rPr>
          <w:fldChar w:fldCharType="separate"/>
        </w:r>
        <w:r>
          <w:rPr>
            <w:noProof/>
            <w:webHidden/>
          </w:rPr>
          <w:t>12</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59" w:history="1">
        <w:r>
          <w:rPr>
            <w:rStyle w:val="Hyperlink"/>
            <w:noProof/>
            <w:color w:val="auto"/>
          </w:rPr>
          <w:t>2.1.</w:t>
        </w:r>
        <w:r>
          <w:rPr>
            <w:rFonts w:asciiTheme="minorHAnsi" w:eastAsiaTheme="minorEastAsia" w:hAnsiTheme="minorHAnsi" w:cstheme="minorBidi"/>
            <w:noProof/>
            <w:sz w:val="22"/>
            <w:szCs w:val="22"/>
            <w:lang w:eastAsia="zh-CN"/>
          </w:rPr>
          <w:tab/>
        </w:r>
        <w:r>
          <w:rPr>
            <w:rStyle w:val="Hyperlink"/>
            <w:noProof/>
            <w:color w:val="auto"/>
          </w:rPr>
          <w:t>What are the problems?</w:t>
        </w:r>
        <w:r>
          <w:rPr>
            <w:noProof/>
            <w:webHidden/>
          </w:rPr>
          <w:tab/>
        </w:r>
        <w:r>
          <w:rPr>
            <w:noProof/>
            <w:webHidden/>
          </w:rPr>
          <w:fldChar w:fldCharType="begin"/>
        </w:r>
        <w:r>
          <w:rPr>
            <w:noProof/>
            <w:webHidden/>
          </w:rPr>
          <w:instrText xml:space="preserve"> PAGEREF _Toc507148459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60" w:history="1">
        <w:r>
          <w:rPr>
            <w:rStyle w:val="Hyperlink"/>
            <w:rFonts w:ascii="Times New Roman" w:hAnsi="Times New Roman" w:cs="Times New Roman"/>
            <w:noProof/>
            <w:color w:val="auto"/>
          </w:rPr>
          <w:t>2.1.1.</w:t>
        </w:r>
        <w:r>
          <w:rPr>
            <w:rStyle w:val="Hyperlink"/>
            <w:rFonts w:ascii="Times New Roman" w:hAnsi="Times New Roman" w:cs="Times New Roman"/>
            <w:noProof/>
            <w:color w:val="auto"/>
          </w:rPr>
          <w:tab/>
          <w:t>Insufficient financial resources to support visa processing</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_Toc507148460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12</w:t>
        </w:r>
        <w:r>
          <w:rPr>
            <w:rStyle w:val="Hyperlink"/>
            <w:rFonts w:ascii="Times New Roman" w:hAnsi="Times New Roman" w:cs="Times New Roman"/>
            <w:noProof/>
            <w:webHidden/>
            <w:color w:val="auto"/>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61" w:history="1">
        <w:r>
          <w:rPr>
            <w:rStyle w:val="Hyperlink"/>
            <w:rFonts w:ascii="Times New Roman" w:hAnsi="Times New Roman" w:cs="Times New Roman"/>
            <w:noProof/>
            <w:color w:val="auto"/>
          </w:rPr>
          <w:t>2.1.2.</w:t>
        </w:r>
        <w:r>
          <w:rPr>
            <w:rStyle w:val="Hyperlink"/>
            <w:rFonts w:ascii="Times New Roman" w:hAnsi="Times New Roman" w:cs="Times New Roman"/>
            <w:noProof/>
            <w:color w:val="auto"/>
          </w:rPr>
          <w:tab/>
          <w:t>Repeated visa procedures for regular travellers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_Toc507148461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13</w:t>
        </w:r>
        <w:r>
          <w:rPr>
            <w:rStyle w:val="Hyperlink"/>
            <w:rFonts w:ascii="Times New Roman" w:hAnsi="Times New Roman" w:cs="Times New Roman"/>
            <w:noProof/>
            <w:webHidden/>
            <w:color w:val="auto"/>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62" w:history="1">
        <w:r>
          <w:rPr>
            <w:rStyle w:val="Hyperlink"/>
            <w:rFonts w:ascii="Times New Roman" w:hAnsi="Times New Roman" w:cs="Times New Roman"/>
            <w:noProof/>
            <w:color w:val="auto"/>
          </w:rPr>
          <w:t>2.1.3.</w:t>
        </w:r>
        <w:r>
          <w:rPr>
            <w:rStyle w:val="Hyperlink"/>
            <w:rFonts w:ascii="Times New Roman" w:hAnsi="Times New Roman" w:cs="Times New Roman"/>
            <w:noProof/>
            <w:color w:val="auto"/>
          </w:rPr>
          <w:tab/>
          <w:t>Insufficient levels of return of irregular migrants to some countries of origin</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_Toc507148462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16</w:t>
        </w:r>
        <w:r>
          <w:rPr>
            <w:rStyle w:val="Hyperlink"/>
            <w:rFonts w:ascii="Times New Roman" w:hAnsi="Times New Roman" w:cs="Times New Roman"/>
            <w:noProof/>
            <w:webHidden/>
            <w:color w:val="auto"/>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63" w:history="1">
        <w:r>
          <w:rPr>
            <w:rStyle w:val="Hyperlink"/>
            <w:noProof/>
            <w:color w:val="auto"/>
          </w:rPr>
          <w:t>2.2.</w:t>
        </w:r>
        <w:r>
          <w:rPr>
            <w:rFonts w:asciiTheme="minorHAnsi" w:eastAsiaTheme="minorEastAsia" w:hAnsiTheme="minorHAnsi" w:cstheme="minorBidi"/>
            <w:noProof/>
            <w:sz w:val="22"/>
            <w:szCs w:val="22"/>
            <w:lang w:eastAsia="zh-CN"/>
          </w:rPr>
          <w:tab/>
        </w:r>
        <w:r>
          <w:rPr>
            <w:rStyle w:val="Hyperlink"/>
            <w:noProof/>
            <w:color w:val="auto"/>
          </w:rPr>
          <w:t>What are the problem drivers?</w:t>
        </w:r>
        <w:r>
          <w:rPr>
            <w:noProof/>
            <w:webHidden/>
          </w:rPr>
          <w:tab/>
        </w:r>
        <w:r>
          <w:rPr>
            <w:noProof/>
            <w:webHidden/>
          </w:rPr>
          <w:fldChar w:fldCharType="begin"/>
        </w:r>
        <w:r>
          <w:rPr>
            <w:noProof/>
            <w:webHidden/>
          </w:rPr>
          <w:instrText xml:space="preserve"> PAGEREF _Toc507148463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64" w:history="1">
        <w:r>
          <w:rPr>
            <w:rStyle w:val="Hyperlink"/>
            <w:rFonts w:ascii="Times New Roman" w:hAnsi="Times New Roman" w:cs="Times New Roman"/>
            <w:noProof/>
            <w:color w:val="auto"/>
          </w:rPr>
          <w:t>2.2.1.</w:t>
        </w:r>
        <w:r>
          <w:rPr>
            <w:rStyle w:val="Hyperlink"/>
            <w:rFonts w:ascii="Times New Roman" w:hAnsi="Times New Roman" w:cs="Times New Roman"/>
            <w:noProof/>
            <w:color w:val="auto"/>
          </w:rPr>
          <w:tab/>
          <w:t>Insufficient financial resources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_Toc507148464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17</w:t>
        </w:r>
        <w:r>
          <w:rPr>
            <w:rStyle w:val="Hyperlink"/>
            <w:rFonts w:ascii="Times New Roman" w:hAnsi="Times New Roman" w:cs="Times New Roman"/>
            <w:noProof/>
            <w:webHidden/>
            <w:color w:val="auto"/>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65" w:history="1">
        <w:r>
          <w:rPr>
            <w:rStyle w:val="Hyperlink"/>
            <w:rFonts w:ascii="Times New Roman" w:hAnsi="Times New Roman" w:cs="Times New Roman"/>
            <w:noProof/>
            <w:color w:val="auto"/>
          </w:rPr>
          <w:t>2.2.2.</w:t>
        </w:r>
        <w:r>
          <w:rPr>
            <w:rStyle w:val="Hyperlink"/>
            <w:rFonts w:ascii="Times New Roman" w:hAnsi="Times New Roman" w:cs="Times New Roman"/>
            <w:noProof/>
            <w:color w:val="auto"/>
          </w:rPr>
          <w:tab/>
          <w:t>Repeated visa procedures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_Toc507148465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18</w:t>
        </w:r>
        <w:r>
          <w:rPr>
            <w:rStyle w:val="Hyperlink"/>
            <w:rFonts w:ascii="Times New Roman" w:hAnsi="Times New Roman" w:cs="Times New Roman"/>
            <w:noProof/>
            <w:webHidden/>
            <w:color w:val="auto"/>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66" w:history="1">
        <w:r>
          <w:rPr>
            <w:rStyle w:val="Hyperlink"/>
            <w:rFonts w:ascii="Times New Roman" w:hAnsi="Times New Roman" w:cs="Times New Roman"/>
            <w:noProof/>
            <w:color w:val="auto"/>
          </w:rPr>
          <w:t>2.2.3.</w:t>
        </w:r>
        <w:r>
          <w:rPr>
            <w:rStyle w:val="Hyperlink"/>
            <w:rFonts w:ascii="Times New Roman" w:hAnsi="Times New Roman" w:cs="Times New Roman"/>
            <w:noProof/>
            <w:color w:val="auto"/>
          </w:rPr>
          <w:tab/>
          <w:t>Return of irregular migrants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_Toc507148466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19</w:t>
        </w:r>
        <w:r>
          <w:rPr>
            <w:rStyle w:val="Hyperlink"/>
            <w:rFonts w:ascii="Times New Roman" w:hAnsi="Times New Roman" w:cs="Times New Roman"/>
            <w:noProof/>
            <w:webHidden/>
            <w:color w:val="auto"/>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67" w:history="1">
        <w:r>
          <w:rPr>
            <w:rStyle w:val="Hyperlink"/>
            <w:noProof/>
            <w:color w:val="auto"/>
          </w:rPr>
          <w:t>2.3.</w:t>
        </w:r>
        <w:r>
          <w:rPr>
            <w:rFonts w:asciiTheme="minorHAnsi" w:eastAsiaTheme="minorEastAsia" w:hAnsiTheme="minorHAnsi" w:cstheme="minorBidi"/>
            <w:noProof/>
            <w:sz w:val="22"/>
            <w:szCs w:val="22"/>
            <w:lang w:eastAsia="zh-CN"/>
          </w:rPr>
          <w:tab/>
        </w:r>
        <w:r>
          <w:rPr>
            <w:rStyle w:val="Hyperlink"/>
            <w:noProof/>
            <w:color w:val="auto"/>
          </w:rPr>
          <w:t>How will the problem evolve?</w:t>
        </w:r>
        <w:r>
          <w:rPr>
            <w:noProof/>
            <w:webHidden/>
          </w:rPr>
          <w:tab/>
        </w:r>
        <w:r>
          <w:rPr>
            <w:noProof/>
            <w:webHidden/>
          </w:rPr>
          <w:fldChar w:fldCharType="begin"/>
        </w:r>
        <w:r>
          <w:rPr>
            <w:noProof/>
            <w:webHidden/>
          </w:rPr>
          <w:instrText xml:space="preserve"> PAGEREF _Toc507148467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68" w:history="1">
        <w:r>
          <w:rPr>
            <w:rStyle w:val="Hyperlink"/>
            <w:rFonts w:ascii="Times New Roman" w:hAnsi="Times New Roman" w:cs="Times New Roman"/>
            <w:noProof/>
            <w:color w:val="auto"/>
          </w:rPr>
          <w:t>2.3.1.</w:t>
        </w:r>
        <w:r>
          <w:rPr>
            <w:rStyle w:val="Hyperlink"/>
            <w:rFonts w:ascii="Times New Roman" w:hAnsi="Times New Roman" w:cs="Times New Roman"/>
            <w:noProof/>
            <w:color w:val="auto"/>
          </w:rPr>
          <w:tab/>
          <w:t>Insufficient financial resources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_Toc507148468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20</w:t>
        </w:r>
        <w:r>
          <w:rPr>
            <w:rStyle w:val="Hyperlink"/>
            <w:rFonts w:ascii="Times New Roman" w:hAnsi="Times New Roman" w:cs="Times New Roman"/>
            <w:noProof/>
            <w:webHidden/>
            <w:color w:val="auto"/>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69" w:history="1">
        <w:r>
          <w:rPr>
            <w:rStyle w:val="Hyperlink"/>
            <w:rFonts w:ascii="Times New Roman" w:hAnsi="Times New Roman" w:cs="Times New Roman"/>
            <w:noProof/>
            <w:color w:val="auto"/>
          </w:rPr>
          <w:t>2.3.2.</w:t>
        </w:r>
        <w:r>
          <w:rPr>
            <w:rStyle w:val="Hyperlink"/>
            <w:rFonts w:ascii="Times New Roman" w:hAnsi="Times New Roman" w:cs="Times New Roman"/>
            <w:noProof/>
            <w:color w:val="auto"/>
          </w:rPr>
          <w:tab/>
          <w:t>Repeated visa procedures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_Toc507148469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20</w:t>
        </w:r>
        <w:r>
          <w:rPr>
            <w:rStyle w:val="Hyperlink"/>
            <w:rFonts w:ascii="Times New Roman" w:hAnsi="Times New Roman" w:cs="Times New Roman"/>
            <w:noProof/>
            <w:webHidden/>
            <w:color w:val="auto"/>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70" w:history="1">
        <w:r>
          <w:rPr>
            <w:rStyle w:val="Hyperlink"/>
            <w:rFonts w:ascii="Times New Roman" w:hAnsi="Times New Roman" w:cs="Times New Roman"/>
            <w:noProof/>
            <w:color w:val="auto"/>
          </w:rPr>
          <w:t>2.3.3.</w:t>
        </w:r>
        <w:r>
          <w:rPr>
            <w:rStyle w:val="Hyperlink"/>
            <w:rFonts w:ascii="Times New Roman" w:hAnsi="Times New Roman" w:cs="Times New Roman"/>
            <w:noProof/>
            <w:color w:val="auto"/>
          </w:rPr>
          <w:tab/>
          <w:t>Return of irregular migrants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_Toc507148470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21</w:t>
        </w:r>
        <w:r>
          <w:rPr>
            <w:rStyle w:val="Hyperlink"/>
            <w:rFonts w:ascii="Times New Roman" w:hAnsi="Times New Roman" w:cs="Times New Roman"/>
            <w:noProof/>
            <w:webHidden/>
            <w:color w:val="auto"/>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471" w:history="1">
        <w:r>
          <w:rPr>
            <w:rStyle w:val="Hyperlink"/>
            <w:noProof/>
            <w:color w:val="auto"/>
          </w:rPr>
          <w:t>3.</w:t>
        </w:r>
        <w:r>
          <w:rPr>
            <w:rFonts w:asciiTheme="minorHAnsi" w:eastAsiaTheme="minorEastAsia" w:hAnsiTheme="minorHAnsi" w:cstheme="minorBidi"/>
            <w:caps w:val="0"/>
            <w:noProof/>
            <w:sz w:val="22"/>
            <w:szCs w:val="22"/>
            <w:lang w:eastAsia="zh-CN"/>
          </w:rPr>
          <w:tab/>
        </w:r>
        <w:r>
          <w:rPr>
            <w:rStyle w:val="Hyperlink"/>
            <w:noProof/>
            <w:color w:val="auto"/>
          </w:rPr>
          <w:t>Why should the EU act?</w:t>
        </w:r>
        <w:r>
          <w:rPr>
            <w:noProof/>
            <w:webHidden/>
          </w:rPr>
          <w:tab/>
        </w:r>
        <w:r>
          <w:rPr>
            <w:noProof/>
            <w:webHidden/>
          </w:rPr>
          <w:fldChar w:fldCharType="begin"/>
        </w:r>
        <w:r>
          <w:rPr>
            <w:noProof/>
            <w:webHidden/>
          </w:rPr>
          <w:instrText xml:space="preserve"> PAGEREF _Toc507148471 \h </w:instrText>
        </w:r>
        <w:r>
          <w:rPr>
            <w:noProof/>
            <w:webHidden/>
          </w:rPr>
        </w:r>
        <w:r>
          <w:rPr>
            <w:noProof/>
            <w:webHidden/>
          </w:rPr>
          <w:fldChar w:fldCharType="separate"/>
        </w:r>
        <w:r>
          <w:rPr>
            <w:noProof/>
            <w:webHidden/>
          </w:rPr>
          <w:t>21</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72" w:history="1">
        <w:r>
          <w:rPr>
            <w:rStyle w:val="Hyperlink"/>
            <w:noProof/>
            <w:color w:val="auto"/>
          </w:rPr>
          <w:t>3.1.</w:t>
        </w:r>
        <w:r>
          <w:rPr>
            <w:rFonts w:asciiTheme="minorHAnsi" w:eastAsiaTheme="minorEastAsia" w:hAnsiTheme="minorHAnsi" w:cstheme="minorBidi"/>
            <w:noProof/>
            <w:sz w:val="22"/>
            <w:szCs w:val="22"/>
            <w:lang w:eastAsia="zh-CN"/>
          </w:rPr>
          <w:tab/>
        </w:r>
        <w:r>
          <w:rPr>
            <w:rStyle w:val="Hyperlink"/>
            <w:noProof/>
            <w:color w:val="auto"/>
          </w:rPr>
          <w:t>Legal basis</w:t>
        </w:r>
        <w:r>
          <w:rPr>
            <w:noProof/>
            <w:webHidden/>
          </w:rPr>
          <w:tab/>
        </w:r>
        <w:r>
          <w:rPr>
            <w:noProof/>
            <w:webHidden/>
          </w:rPr>
          <w:fldChar w:fldCharType="begin"/>
        </w:r>
        <w:r>
          <w:rPr>
            <w:noProof/>
            <w:webHidden/>
          </w:rPr>
          <w:instrText xml:space="preserve"> PAGEREF _Toc507148472 \h </w:instrText>
        </w:r>
        <w:r>
          <w:rPr>
            <w:noProof/>
            <w:webHidden/>
          </w:rPr>
        </w:r>
        <w:r>
          <w:rPr>
            <w:noProof/>
            <w:webHidden/>
          </w:rPr>
          <w:fldChar w:fldCharType="separate"/>
        </w:r>
        <w:r>
          <w:rPr>
            <w:noProof/>
            <w:webHidden/>
          </w:rPr>
          <w:t>21</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73" w:history="1">
        <w:r>
          <w:rPr>
            <w:rStyle w:val="Hyperlink"/>
            <w:noProof/>
            <w:color w:val="auto"/>
          </w:rPr>
          <w:t>3.2.</w:t>
        </w:r>
        <w:r>
          <w:rPr>
            <w:rFonts w:asciiTheme="minorHAnsi" w:eastAsiaTheme="minorEastAsia" w:hAnsiTheme="minorHAnsi" w:cstheme="minorBidi"/>
            <w:noProof/>
            <w:sz w:val="22"/>
            <w:szCs w:val="22"/>
            <w:lang w:eastAsia="zh-CN"/>
          </w:rPr>
          <w:tab/>
        </w:r>
        <w:r>
          <w:rPr>
            <w:rStyle w:val="Hyperlink"/>
            <w:noProof/>
            <w:color w:val="auto"/>
          </w:rPr>
          <w:t>Subsidiarity: Necessity of EU action</w:t>
        </w:r>
        <w:r>
          <w:rPr>
            <w:noProof/>
            <w:webHidden/>
          </w:rPr>
          <w:tab/>
        </w:r>
        <w:r>
          <w:rPr>
            <w:noProof/>
            <w:webHidden/>
          </w:rPr>
          <w:fldChar w:fldCharType="begin"/>
        </w:r>
        <w:r>
          <w:rPr>
            <w:noProof/>
            <w:webHidden/>
          </w:rPr>
          <w:instrText xml:space="preserve"> PAGEREF _Toc507148473 \h </w:instrText>
        </w:r>
        <w:r>
          <w:rPr>
            <w:noProof/>
            <w:webHidden/>
          </w:rPr>
        </w:r>
        <w:r>
          <w:rPr>
            <w:noProof/>
            <w:webHidden/>
          </w:rPr>
          <w:fldChar w:fldCharType="separate"/>
        </w:r>
        <w:r>
          <w:rPr>
            <w:noProof/>
            <w:webHidden/>
          </w:rPr>
          <w:t>21</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74" w:history="1">
        <w:r>
          <w:rPr>
            <w:rStyle w:val="Hyperlink"/>
            <w:noProof/>
            <w:color w:val="auto"/>
          </w:rPr>
          <w:t>3.3.</w:t>
        </w:r>
        <w:r>
          <w:rPr>
            <w:rFonts w:asciiTheme="minorHAnsi" w:eastAsiaTheme="minorEastAsia" w:hAnsiTheme="minorHAnsi" w:cstheme="minorBidi"/>
            <w:noProof/>
            <w:sz w:val="22"/>
            <w:szCs w:val="22"/>
            <w:lang w:eastAsia="zh-CN"/>
          </w:rPr>
          <w:tab/>
        </w:r>
        <w:r>
          <w:rPr>
            <w:rStyle w:val="Hyperlink"/>
            <w:noProof/>
            <w:color w:val="auto"/>
          </w:rPr>
          <w:t>Subsidiarity: Added value of EU action</w:t>
        </w:r>
        <w:r>
          <w:rPr>
            <w:noProof/>
            <w:webHidden/>
          </w:rPr>
          <w:tab/>
        </w:r>
        <w:r>
          <w:rPr>
            <w:noProof/>
            <w:webHidden/>
          </w:rPr>
          <w:fldChar w:fldCharType="begin"/>
        </w:r>
        <w:r>
          <w:rPr>
            <w:noProof/>
            <w:webHidden/>
          </w:rPr>
          <w:instrText xml:space="preserve"> PAGEREF _Toc507148474 \h </w:instrText>
        </w:r>
        <w:r>
          <w:rPr>
            <w:noProof/>
            <w:webHidden/>
          </w:rPr>
        </w:r>
        <w:r>
          <w:rPr>
            <w:noProof/>
            <w:webHidden/>
          </w:rPr>
          <w:fldChar w:fldCharType="separate"/>
        </w:r>
        <w:r>
          <w:rPr>
            <w:noProof/>
            <w:webHidden/>
          </w:rPr>
          <w:t>22</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475" w:history="1">
        <w:r>
          <w:rPr>
            <w:rStyle w:val="Hyperlink"/>
            <w:noProof/>
            <w:color w:val="auto"/>
          </w:rPr>
          <w:t>4.</w:t>
        </w:r>
        <w:r>
          <w:rPr>
            <w:rFonts w:asciiTheme="minorHAnsi" w:eastAsiaTheme="minorEastAsia" w:hAnsiTheme="minorHAnsi" w:cstheme="minorBidi"/>
            <w:caps w:val="0"/>
            <w:noProof/>
            <w:sz w:val="22"/>
            <w:szCs w:val="22"/>
            <w:lang w:eastAsia="zh-CN"/>
          </w:rPr>
          <w:tab/>
        </w:r>
        <w:r>
          <w:rPr>
            <w:rStyle w:val="Hyperlink"/>
            <w:noProof/>
            <w:color w:val="auto"/>
          </w:rPr>
          <w:t>Objectives: What is to be achieved?</w:t>
        </w:r>
        <w:r>
          <w:rPr>
            <w:noProof/>
            <w:webHidden/>
          </w:rPr>
          <w:tab/>
        </w:r>
        <w:r>
          <w:rPr>
            <w:noProof/>
            <w:webHidden/>
          </w:rPr>
          <w:fldChar w:fldCharType="begin"/>
        </w:r>
        <w:r>
          <w:rPr>
            <w:noProof/>
            <w:webHidden/>
          </w:rPr>
          <w:instrText xml:space="preserve"> PAGEREF _Toc507148475 \h </w:instrText>
        </w:r>
        <w:r>
          <w:rPr>
            <w:noProof/>
            <w:webHidden/>
          </w:rPr>
        </w:r>
        <w:r>
          <w:rPr>
            <w:noProof/>
            <w:webHidden/>
          </w:rPr>
          <w:fldChar w:fldCharType="separate"/>
        </w:r>
        <w:r>
          <w:rPr>
            <w:noProof/>
            <w:webHidden/>
          </w:rPr>
          <w:t>22</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76" w:history="1">
        <w:r>
          <w:rPr>
            <w:rStyle w:val="Hyperlink"/>
            <w:noProof/>
            <w:color w:val="auto"/>
          </w:rPr>
          <w:t>4.1.</w:t>
        </w:r>
        <w:r>
          <w:rPr>
            <w:rFonts w:asciiTheme="minorHAnsi" w:eastAsiaTheme="minorEastAsia" w:hAnsiTheme="minorHAnsi" w:cstheme="minorBidi"/>
            <w:noProof/>
            <w:sz w:val="22"/>
            <w:szCs w:val="22"/>
            <w:lang w:eastAsia="zh-CN"/>
          </w:rPr>
          <w:tab/>
        </w:r>
        <w:r>
          <w:rPr>
            <w:rStyle w:val="Hyperlink"/>
            <w:noProof/>
            <w:color w:val="auto"/>
          </w:rPr>
          <w:t>General objectives</w:t>
        </w:r>
        <w:r>
          <w:rPr>
            <w:noProof/>
            <w:webHidden/>
          </w:rPr>
          <w:tab/>
        </w:r>
        <w:r>
          <w:rPr>
            <w:noProof/>
            <w:webHidden/>
          </w:rPr>
          <w:fldChar w:fldCharType="begin"/>
        </w:r>
        <w:r>
          <w:rPr>
            <w:noProof/>
            <w:webHidden/>
          </w:rPr>
          <w:instrText xml:space="preserve"> PAGEREF _Toc507148476 \h </w:instrText>
        </w:r>
        <w:r>
          <w:rPr>
            <w:noProof/>
            <w:webHidden/>
          </w:rPr>
        </w:r>
        <w:r>
          <w:rPr>
            <w:noProof/>
            <w:webHidden/>
          </w:rPr>
          <w:fldChar w:fldCharType="separate"/>
        </w:r>
        <w:r>
          <w:rPr>
            <w:noProof/>
            <w:webHidden/>
          </w:rPr>
          <w:t>22</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77" w:history="1">
        <w:r>
          <w:rPr>
            <w:rStyle w:val="Hyperlink"/>
            <w:noProof/>
            <w:color w:val="auto"/>
          </w:rPr>
          <w:t>4.2.</w:t>
        </w:r>
        <w:r>
          <w:rPr>
            <w:rFonts w:asciiTheme="minorHAnsi" w:eastAsiaTheme="minorEastAsia" w:hAnsiTheme="minorHAnsi" w:cstheme="minorBidi"/>
            <w:noProof/>
            <w:sz w:val="22"/>
            <w:szCs w:val="22"/>
            <w:lang w:eastAsia="zh-CN"/>
          </w:rPr>
          <w:tab/>
        </w:r>
        <w:r>
          <w:rPr>
            <w:rStyle w:val="Hyperlink"/>
            <w:noProof/>
            <w:color w:val="auto"/>
          </w:rPr>
          <w:t>Specific objectives</w:t>
        </w:r>
        <w:r>
          <w:rPr>
            <w:noProof/>
            <w:webHidden/>
          </w:rPr>
          <w:tab/>
        </w:r>
        <w:r>
          <w:rPr>
            <w:noProof/>
            <w:webHidden/>
          </w:rPr>
          <w:fldChar w:fldCharType="begin"/>
        </w:r>
        <w:r>
          <w:rPr>
            <w:noProof/>
            <w:webHidden/>
          </w:rPr>
          <w:instrText xml:space="preserve"> PAGEREF _Toc507148477 \h </w:instrText>
        </w:r>
        <w:r>
          <w:rPr>
            <w:noProof/>
            <w:webHidden/>
          </w:rPr>
        </w:r>
        <w:r>
          <w:rPr>
            <w:noProof/>
            <w:webHidden/>
          </w:rPr>
          <w:fldChar w:fldCharType="separate"/>
        </w:r>
        <w:r>
          <w:rPr>
            <w:noProof/>
            <w:webHidden/>
          </w:rPr>
          <w:t>23</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478" w:history="1">
        <w:r>
          <w:rPr>
            <w:rStyle w:val="Hyperlink"/>
            <w:noProof/>
            <w:color w:val="auto"/>
          </w:rPr>
          <w:t>5.</w:t>
        </w:r>
        <w:r>
          <w:rPr>
            <w:rFonts w:asciiTheme="minorHAnsi" w:eastAsiaTheme="minorEastAsia" w:hAnsiTheme="minorHAnsi" w:cstheme="minorBidi"/>
            <w:caps w:val="0"/>
            <w:noProof/>
            <w:sz w:val="22"/>
            <w:szCs w:val="22"/>
            <w:lang w:eastAsia="zh-CN"/>
          </w:rPr>
          <w:tab/>
        </w:r>
        <w:r>
          <w:rPr>
            <w:rStyle w:val="Hyperlink"/>
            <w:noProof/>
            <w:color w:val="auto"/>
          </w:rPr>
          <w:t>What are the available policy options?</w:t>
        </w:r>
        <w:r>
          <w:rPr>
            <w:noProof/>
            <w:webHidden/>
          </w:rPr>
          <w:tab/>
        </w:r>
        <w:r>
          <w:rPr>
            <w:noProof/>
            <w:webHidden/>
          </w:rPr>
          <w:fldChar w:fldCharType="begin"/>
        </w:r>
        <w:r>
          <w:rPr>
            <w:noProof/>
            <w:webHidden/>
          </w:rPr>
          <w:instrText xml:space="preserve"> PAGEREF _Toc507148478 \h </w:instrText>
        </w:r>
        <w:r>
          <w:rPr>
            <w:noProof/>
            <w:webHidden/>
          </w:rPr>
        </w:r>
        <w:r>
          <w:rPr>
            <w:noProof/>
            <w:webHidden/>
          </w:rPr>
          <w:fldChar w:fldCharType="separate"/>
        </w:r>
        <w:r>
          <w:rPr>
            <w:noProof/>
            <w:webHidden/>
          </w:rPr>
          <w:t>23</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79" w:history="1">
        <w:r>
          <w:rPr>
            <w:rStyle w:val="Hyperlink"/>
            <w:noProof/>
            <w:color w:val="auto"/>
          </w:rPr>
          <w:t>5.1.</w:t>
        </w:r>
        <w:r>
          <w:rPr>
            <w:rFonts w:asciiTheme="minorHAnsi" w:eastAsiaTheme="minorEastAsia" w:hAnsiTheme="minorHAnsi" w:cstheme="minorBidi"/>
            <w:noProof/>
            <w:sz w:val="22"/>
            <w:szCs w:val="22"/>
            <w:lang w:eastAsia="zh-CN"/>
          </w:rPr>
          <w:tab/>
        </w:r>
        <w:r>
          <w:rPr>
            <w:rStyle w:val="Hyperlink"/>
            <w:noProof/>
            <w:color w:val="auto"/>
          </w:rPr>
          <w:t>What is the baseline from which options are assessed?</w:t>
        </w:r>
        <w:r>
          <w:rPr>
            <w:noProof/>
            <w:webHidden/>
          </w:rPr>
          <w:tab/>
        </w:r>
        <w:r>
          <w:rPr>
            <w:noProof/>
            <w:webHidden/>
          </w:rPr>
          <w:fldChar w:fldCharType="begin"/>
        </w:r>
        <w:r>
          <w:rPr>
            <w:noProof/>
            <w:webHidden/>
          </w:rPr>
          <w:instrText xml:space="preserve"> PAGEREF _Toc507148479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80" w:history="1">
        <w:r>
          <w:rPr>
            <w:rStyle w:val="Hyperlink"/>
            <w:rFonts w:ascii="Times New Roman" w:hAnsi="Times New Roman" w:cs="Times New Roman"/>
            <w:noProof/>
            <w:color w:val="auto"/>
          </w:rPr>
          <w:t>5.1.1.</w:t>
        </w:r>
        <w:r>
          <w:rPr>
            <w:rStyle w:val="Hyperlink"/>
            <w:rFonts w:ascii="Times New Roman" w:hAnsi="Times New Roman" w:cs="Times New Roman"/>
            <w:noProof/>
            <w:color w:val="auto"/>
          </w:rPr>
          <w:tab/>
          <w:t>Insufficient financial resources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_Toc507148480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23</w:t>
        </w:r>
        <w:r>
          <w:rPr>
            <w:rStyle w:val="Hyperlink"/>
            <w:rFonts w:ascii="Times New Roman" w:hAnsi="Times New Roman" w:cs="Times New Roman"/>
            <w:noProof/>
            <w:webHidden/>
            <w:color w:val="auto"/>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81" w:history="1">
        <w:r>
          <w:rPr>
            <w:rStyle w:val="Hyperlink"/>
            <w:rFonts w:ascii="Times New Roman" w:hAnsi="Times New Roman" w:cs="Times New Roman"/>
            <w:noProof/>
            <w:color w:val="auto"/>
          </w:rPr>
          <w:t>5.1.2.</w:t>
        </w:r>
        <w:r>
          <w:rPr>
            <w:rStyle w:val="Hyperlink"/>
            <w:rFonts w:ascii="Times New Roman" w:hAnsi="Times New Roman" w:cs="Times New Roman"/>
            <w:noProof/>
            <w:color w:val="auto"/>
          </w:rPr>
          <w:tab/>
          <w:t>Repeated visa procedures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_Toc507148481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23</w:t>
        </w:r>
        <w:r>
          <w:rPr>
            <w:rStyle w:val="Hyperlink"/>
            <w:rFonts w:ascii="Times New Roman" w:hAnsi="Times New Roman" w:cs="Times New Roman"/>
            <w:noProof/>
            <w:webHidden/>
            <w:color w:val="auto"/>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82" w:history="1">
        <w:r>
          <w:rPr>
            <w:rStyle w:val="Hyperlink"/>
            <w:rFonts w:ascii="Times New Roman" w:hAnsi="Times New Roman" w:cs="Times New Roman"/>
            <w:noProof/>
            <w:color w:val="auto"/>
          </w:rPr>
          <w:t>5.1.3.</w:t>
        </w:r>
        <w:r>
          <w:rPr>
            <w:rStyle w:val="Hyperlink"/>
            <w:rFonts w:ascii="Times New Roman" w:hAnsi="Times New Roman" w:cs="Times New Roman"/>
            <w:noProof/>
            <w:color w:val="auto"/>
          </w:rPr>
          <w:tab/>
          <w:t>Return of irregular migrants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_Toc507148482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23</w:t>
        </w:r>
        <w:r>
          <w:rPr>
            <w:rStyle w:val="Hyperlink"/>
            <w:rFonts w:ascii="Times New Roman" w:hAnsi="Times New Roman" w:cs="Times New Roman"/>
            <w:noProof/>
            <w:webHidden/>
            <w:color w:val="auto"/>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83" w:history="1">
        <w:r>
          <w:rPr>
            <w:rStyle w:val="Hyperlink"/>
            <w:noProof/>
            <w:color w:val="auto"/>
          </w:rPr>
          <w:t>5.2.</w:t>
        </w:r>
        <w:r>
          <w:rPr>
            <w:rFonts w:asciiTheme="minorHAnsi" w:eastAsiaTheme="minorEastAsia" w:hAnsiTheme="minorHAnsi" w:cstheme="minorBidi"/>
            <w:noProof/>
            <w:sz w:val="22"/>
            <w:szCs w:val="22"/>
            <w:lang w:eastAsia="zh-CN"/>
          </w:rPr>
          <w:tab/>
        </w:r>
        <w:r>
          <w:rPr>
            <w:rStyle w:val="Hyperlink"/>
            <w:noProof/>
            <w:color w:val="auto"/>
          </w:rPr>
          <w:t>Description of the policy options</w:t>
        </w:r>
        <w:r>
          <w:rPr>
            <w:noProof/>
            <w:webHidden/>
          </w:rPr>
          <w:tab/>
        </w:r>
        <w:r>
          <w:rPr>
            <w:noProof/>
            <w:webHidden/>
          </w:rPr>
          <w:fldChar w:fldCharType="begin"/>
        </w:r>
        <w:r>
          <w:rPr>
            <w:noProof/>
            <w:webHidden/>
          </w:rPr>
          <w:instrText xml:space="preserve"> PAGEREF _Toc507148483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84" w:history="1">
        <w:r>
          <w:rPr>
            <w:rStyle w:val="Hyperlink"/>
            <w:rFonts w:ascii="Times New Roman" w:hAnsi="Times New Roman" w:cs="Times New Roman"/>
            <w:noProof/>
            <w:color w:val="auto"/>
          </w:rPr>
          <w:t>5.2.1.</w:t>
        </w:r>
        <w:r>
          <w:rPr>
            <w:rStyle w:val="Hyperlink"/>
            <w:rFonts w:ascii="Times New Roman" w:hAnsi="Times New Roman" w:cs="Times New Roman"/>
            <w:noProof/>
            <w:color w:val="auto"/>
          </w:rPr>
          <w:tab/>
          <w:t>Insufficient financial resources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_Toc507148484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24</w:t>
        </w:r>
        <w:r>
          <w:rPr>
            <w:rStyle w:val="Hyperlink"/>
            <w:rFonts w:ascii="Times New Roman" w:hAnsi="Times New Roman" w:cs="Times New Roman"/>
            <w:noProof/>
            <w:webHidden/>
            <w:color w:val="auto"/>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85" w:history="1">
        <w:r>
          <w:rPr>
            <w:rStyle w:val="Hyperlink"/>
            <w:rFonts w:ascii="Times New Roman" w:hAnsi="Times New Roman" w:cs="Times New Roman"/>
            <w:noProof/>
            <w:color w:val="auto"/>
          </w:rPr>
          <w:t>5.2.2.</w:t>
        </w:r>
        <w:r>
          <w:rPr>
            <w:rStyle w:val="Hyperlink"/>
            <w:rFonts w:ascii="Times New Roman" w:hAnsi="Times New Roman" w:cs="Times New Roman"/>
            <w:noProof/>
            <w:color w:val="auto"/>
          </w:rPr>
          <w:tab/>
          <w:t>Repeated visa procedures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_Toc507148485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25</w:t>
        </w:r>
        <w:r>
          <w:rPr>
            <w:rStyle w:val="Hyperlink"/>
            <w:rFonts w:ascii="Times New Roman" w:hAnsi="Times New Roman" w:cs="Times New Roman"/>
            <w:noProof/>
            <w:webHidden/>
            <w:color w:val="auto"/>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86" w:history="1">
        <w:r>
          <w:rPr>
            <w:rStyle w:val="Hyperlink"/>
            <w:rFonts w:ascii="Times New Roman" w:hAnsi="Times New Roman" w:cs="Times New Roman"/>
            <w:noProof/>
            <w:color w:val="auto"/>
          </w:rPr>
          <w:t>5.2.3.</w:t>
        </w:r>
        <w:r>
          <w:rPr>
            <w:rStyle w:val="Hyperlink"/>
            <w:rFonts w:ascii="Times New Roman" w:hAnsi="Times New Roman" w:cs="Times New Roman"/>
            <w:noProof/>
            <w:color w:val="auto"/>
          </w:rPr>
          <w:tab/>
          <w:t>Return of irregular migrants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_Toc507148486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26</w:t>
        </w:r>
        <w:r>
          <w:rPr>
            <w:rStyle w:val="Hyperlink"/>
            <w:rFonts w:ascii="Times New Roman" w:hAnsi="Times New Roman" w:cs="Times New Roman"/>
            <w:noProof/>
            <w:webHidden/>
            <w:color w:val="auto"/>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87" w:history="1">
        <w:r>
          <w:rPr>
            <w:rStyle w:val="Hyperlink"/>
            <w:noProof/>
            <w:color w:val="auto"/>
          </w:rPr>
          <w:t>5.3.</w:t>
        </w:r>
        <w:r>
          <w:rPr>
            <w:rFonts w:asciiTheme="minorHAnsi" w:eastAsiaTheme="minorEastAsia" w:hAnsiTheme="minorHAnsi" w:cstheme="minorBidi"/>
            <w:noProof/>
            <w:sz w:val="22"/>
            <w:szCs w:val="22"/>
            <w:lang w:eastAsia="zh-CN"/>
          </w:rPr>
          <w:tab/>
        </w:r>
        <w:r>
          <w:rPr>
            <w:rStyle w:val="Hyperlink"/>
            <w:noProof/>
            <w:color w:val="auto"/>
          </w:rPr>
          <w:t>Options discarded at an early stage</w:t>
        </w:r>
        <w:r>
          <w:rPr>
            <w:noProof/>
            <w:webHidden/>
          </w:rPr>
          <w:tab/>
        </w:r>
        <w:r>
          <w:rPr>
            <w:noProof/>
            <w:webHidden/>
          </w:rPr>
          <w:fldChar w:fldCharType="begin"/>
        </w:r>
        <w:r>
          <w:rPr>
            <w:noProof/>
            <w:webHidden/>
          </w:rPr>
          <w:instrText xml:space="preserve"> PAGEREF _Toc507148487 \h </w:instrText>
        </w:r>
        <w:r>
          <w:rPr>
            <w:noProof/>
            <w:webHidden/>
          </w:rPr>
        </w:r>
        <w:r>
          <w:rPr>
            <w:noProof/>
            <w:webHidden/>
          </w:rPr>
          <w:fldChar w:fldCharType="separate"/>
        </w:r>
        <w:r>
          <w:rPr>
            <w:noProof/>
            <w:webHidden/>
          </w:rPr>
          <w:t>27</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488" w:history="1">
        <w:r>
          <w:rPr>
            <w:rStyle w:val="Hyperlink"/>
            <w:noProof/>
            <w:color w:val="auto"/>
          </w:rPr>
          <w:t>6.</w:t>
        </w:r>
        <w:r>
          <w:rPr>
            <w:rFonts w:asciiTheme="minorHAnsi" w:eastAsiaTheme="minorEastAsia" w:hAnsiTheme="minorHAnsi" w:cstheme="minorBidi"/>
            <w:caps w:val="0"/>
            <w:noProof/>
            <w:sz w:val="22"/>
            <w:szCs w:val="22"/>
            <w:lang w:eastAsia="zh-CN"/>
          </w:rPr>
          <w:tab/>
        </w:r>
        <w:r>
          <w:rPr>
            <w:rStyle w:val="Hyperlink"/>
            <w:noProof/>
            <w:color w:val="auto"/>
          </w:rPr>
          <w:t>What are the impacts of the policy options?</w:t>
        </w:r>
        <w:r>
          <w:rPr>
            <w:noProof/>
            <w:webHidden/>
          </w:rPr>
          <w:tab/>
        </w:r>
        <w:r>
          <w:rPr>
            <w:noProof/>
            <w:webHidden/>
          </w:rPr>
          <w:fldChar w:fldCharType="begin"/>
        </w:r>
        <w:r>
          <w:rPr>
            <w:noProof/>
            <w:webHidden/>
          </w:rPr>
          <w:instrText xml:space="preserve"> PAGEREF _Toc507148488 \h </w:instrText>
        </w:r>
        <w:r>
          <w:rPr>
            <w:noProof/>
            <w:webHidden/>
          </w:rPr>
        </w:r>
        <w:r>
          <w:rPr>
            <w:noProof/>
            <w:webHidden/>
          </w:rPr>
          <w:fldChar w:fldCharType="separate"/>
        </w:r>
        <w:r>
          <w:rPr>
            <w:noProof/>
            <w:webHidden/>
          </w:rPr>
          <w:t>28</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89" w:history="1">
        <w:r>
          <w:rPr>
            <w:rStyle w:val="Hyperlink"/>
            <w:noProof/>
            <w:color w:val="auto"/>
          </w:rPr>
          <w:t>6.1.</w:t>
        </w:r>
        <w:r>
          <w:rPr>
            <w:rFonts w:asciiTheme="minorHAnsi" w:eastAsiaTheme="minorEastAsia" w:hAnsiTheme="minorHAnsi" w:cstheme="minorBidi"/>
            <w:noProof/>
            <w:sz w:val="22"/>
            <w:szCs w:val="22"/>
            <w:lang w:eastAsia="zh-CN"/>
          </w:rPr>
          <w:tab/>
        </w:r>
        <w:r>
          <w:rPr>
            <w:rStyle w:val="Hyperlink"/>
            <w:noProof/>
            <w:color w:val="auto"/>
          </w:rPr>
          <w:t>Methodology</w:t>
        </w:r>
        <w:r>
          <w:rPr>
            <w:noProof/>
            <w:webHidden/>
          </w:rPr>
          <w:tab/>
        </w:r>
        <w:r>
          <w:rPr>
            <w:noProof/>
            <w:webHidden/>
          </w:rPr>
          <w:fldChar w:fldCharType="begin"/>
        </w:r>
        <w:r>
          <w:rPr>
            <w:noProof/>
            <w:webHidden/>
          </w:rPr>
          <w:instrText xml:space="preserve"> PAGEREF _Toc507148489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90" w:history="1">
        <w:r>
          <w:rPr>
            <w:rStyle w:val="Hyperlink"/>
            <w:rFonts w:ascii="Times New Roman" w:hAnsi="Times New Roman" w:cs="Times New Roman"/>
            <w:noProof/>
            <w:color w:val="auto"/>
          </w:rPr>
          <w:t>6.1.1.</w:t>
        </w:r>
        <w:r>
          <w:rPr>
            <w:rStyle w:val="Hyperlink"/>
            <w:rFonts w:ascii="Times New Roman" w:hAnsi="Times New Roman" w:cs="Times New Roman"/>
            <w:noProof/>
            <w:color w:val="auto"/>
          </w:rPr>
          <w:tab/>
          <w:t>Possible impacts</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_Toc507148490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28</w:t>
        </w:r>
        <w:r>
          <w:rPr>
            <w:rStyle w:val="Hyperlink"/>
            <w:rFonts w:ascii="Times New Roman" w:hAnsi="Times New Roman" w:cs="Times New Roman"/>
            <w:noProof/>
            <w:webHidden/>
            <w:color w:val="auto"/>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91" w:history="1">
        <w:r>
          <w:rPr>
            <w:rStyle w:val="Hyperlink"/>
            <w:rFonts w:ascii="Times New Roman" w:hAnsi="Times New Roman" w:cs="Times New Roman"/>
            <w:noProof/>
            <w:color w:val="auto"/>
          </w:rPr>
          <w:t>6.1.2.</w:t>
        </w:r>
        <w:r>
          <w:rPr>
            <w:rStyle w:val="Hyperlink"/>
            <w:rFonts w:ascii="Times New Roman" w:hAnsi="Times New Roman" w:cs="Times New Roman"/>
            <w:noProof/>
            <w:color w:val="auto"/>
          </w:rPr>
          <w:tab/>
          <w:t>Available data</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_Toc507148491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30</w:t>
        </w:r>
        <w:r>
          <w:rPr>
            <w:rStyle w:val="Hyperlink"/>
            <w:rFonts w:ascii="Times New Roman" w:hAnsi="Times New Roman" w:cs="Times New Roman"/>
            <w:noProof/>
            <w:webHidden/>
            <w:color w:val="auto"/>
          </w:rPr>
          <w:fldChar w:fldCharType="end"/>
        </w:r>
      </w:hyperlink>
    </w:p>
    <w:p>
      <w:pPr>
        <w:pStyle w:val="TOC3"/>
        <w:tabs>
          <w:tab w:val="left" w:pos="1320"/>
          <w:tab w:val="right" w:leader="dot" w:pos="8520"/>
          <w:tab w:val="right" w:leader="dot" w:pos="8608"/>
        </w:tabs>
        <w:ind w:right="720"/>
        <w:rPr>
          <w:rStyle w:val="Hyperlink"/>
          <w:rFonts w:ascii="Times New Roman" w:hAnsi="Times New Roman" w:cs="Times New Roman"/>
          <w:noProof/>
          <w:color w:val="auto"/>
        </w:rPr>
      </w:pPr>
      <w:hyperlink w:anchor="_Toc507148492" w:history="1">
        <w:r>
          <w:rPr>
            <w:rStyle w:val="Hyperlink"/>
            <w:rFonts w:ascii="Times New Roman" w:hAnsi="Times New Roman" w:cs="Times New Roman"/>
            <w:noProof/>
            <w:color w:val="auto"/>
          </w:rPr>
          <w:t>6.1.3.</w:t>
        </w:r>
        <w:r>
          <w:rPr>
            <w:rStyle w:val="Hyperlink"/>
            <w:rFonts w:ascii="Times New Roman" w:hAnsi="Times New Roman" w:cs="Times New Roman"/>
            <w:noProof/>
            <w:color w:val="auto"/>
          </w:rPr>
          <w:tab/>
          <w:t>Qualitative assessment method</w:t>
        </w:r>
        <w:r>
          <w:rPr>
            <w:rStyle w:val="Hyperlink"/>
            <w:rFonts w:ascii="Times New Roman" w:hAnsi="Times New Roman" w:cs="Times New Roman"/>
            <w:noProof/>
            <w:webHidden/>
            <w:color w:val="auto"/>
          </w:rPr>
          <w:tab/>
        </w:r>
        <w:r>
          <w:rPr>
            <w:rStyle w:val="Hyperlink"/>
            <w:rFonts w:ascii="Times New Roman" w:hAnsi="Times New Roman" w:cs="Times New Roman"/>
            <w:noProof/>
            <w:webHidden/>
            <w:color w:val="auto"/>
          </w:rPr>
          <w:fldChar w:fldCharType="begin"/>
        </w:r>
        <w:r>
          <w:rPr>
            <w:rStyle w:val="Hyperlink"/>
            <w:rFonts w:ascii="Times New Roman" w:hAnsi="Times New Roman" w:cs="Times New Roman"/>
            <w:noProof/>
            <w:webHidden/>
            <w:color w:val="auto"/>
          </w:rPr>
          <w:instrText xml:space="preserve"> PAGEREF _Toc507148492 \h </w:instrText>
        </w:r>
        <w:r>
          <w:rPr>
            <w:rStyle w:val="Hyperlink"/>
            <w:rFonts w:ascii="Times New Roman" w:hAnsi="Times New Roman" w:cs="Times New Roman"/>
            <w:noProof/>
            <w:webHidden/>
            <w:color w:val="auto"/>
          </w:rPr>
        </w:r>
        <w:r>
          <w:rPr>
            <w:rStyle w:val="Hyperlink"/>
            <w:rFonts w:ascii="Times New Roman" w:hAnsi="Times New Roman" w:cs="Times New Roman"/>
            <w:noProof/>
            <w:webHidden/>
            <w:color w:val="auto"/>
          </w:rPr>
          <w:fldChar w:fldCharType="separate"/>
        </w:r>
        <w:r>
          <w:rPr>
            <w:rStyle w:val="Hyperlink"/>
            <w:rFonts w:ascii="Times New Roman" w:hAnsi="Times New Roman" w:cs="Times New Roman"/>
            <w:noProof/>
            <w:webHidden/>
            <w:color w:val="auto"/>
          </w:rPr>
          <w:t>31</w:t>
        </w:r>
        <w:r>
          <w:rPr>
            <w:rStyle w:val="Hyperlink"/>
            <w:rFonts w:ascii="Times New Roman" w:hAnsi="Times New Roman" w:cs="Times New Roman"/>
            <w:noProof/>
            <w:webHidden/>
            <w:color w:val="auto"/>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93" w:history="1">
        <w:r>
          <w:rPr>
            <w:rStyle w:val="Hyperlink"/>
            <w:noProof/>
            <w:color w:val="auto"/>
          </w:rPr>
          <w:t>6.2.</w:t>
        </w:r>
        <w:r>
          <w:rPr>
            <w:rFonts w:asciiTheme="minorHAnsi" w:eastAsiaTheme="minorEastAsia" w:hAnsiTheme="minorHAnsi" w:cstheme="minorBidi"/>
            <w:noProof/>
            <w:sz w:val="22"/>
            <w:szCs w:val="22"/>
            <w:lang w:eastAsia="zh-CN"/>
          </w:rPr>
          <w:tab/>
        </w:r>
        <w:r>
          <w:rPr>
            <w:rStyle w:val="Hyperlink"/>
            <w:noProof/>
            <w:color w:val="auto"/>
          </w:rPr>
          <w:t>Assessment of policy options</w:t>
        </w:r>
        <w:r>
          <w:rPr>
            <w:noProof/>
            <w:webHidden/>
          </w:rPr>
          <w:tab/>
        </w:r>
        <w:r>
          <w:rPr>
            <w:noProof/>
            <w:webHidden/>
          </w:rPr>
          <w:fldChar w:fldCharType="begin"/>
        </w:r>
        <w:r>
          <w:rPr>
            <w:noProof/>
            <w:webHidden/>
          </w:rPr>
          <w:instrText xml:space="preserve"> PAGEREF _Toc507148493 \h </w:instrText>
        </w:r>
        <w:r>
          <w:rPr>
            <w:noProof/>
            <w:webHidden/>
          </w:rPr>
        </w:r>
        <w:r>
          <w:rPr>
            <w:noProof/>
            <w:webHidden/>
          </w:rPr>
          <w:fldChar w:fldCharType="separate"/>
        </w:r>
        <w:r>
          <w:rPr>
            <w:noProof/>
            <w:webHidden/>
          </w:rPr>
          <w:t>32</w:t>
        </w:r>
        <w:r>
          <w:rPr>
            <w:noProof/>
            <w:webHidden/>
          </w:rPr>
          <w:fldChar w:fldCharType="end"/>
        </w:r>
      </w:hyperlink>
    </w:p>
    <w:p>
      <w:pPr>
        <w:pStyle w:val="TOC3"/>
        <w:tabs>
          <w:tab w:val="left" w:pos="1320"/>
          <w:tab w:val="right" w:leader="dot" w:pos="8520"/>
          <w:tab w:val="right" w:leader="dot" w:pos="8608"/>
        </w:tabs>
        <w:ind w:right="720"/>
        <w:rPr>
          <w:rFonts w:ascii="Times New Roman" w:eastAsiaTheme="minorEastAsia" w:hAnsi="Times New Roman" w:cs="Times New Roman"/>
          <w:noProof/>
          <w:lang w:eastAsia="zh-CN"/>
        </w:rPr>
      </w:pPr>
      <w:hyperlink w:anchor="_Toc507148494" w:history="1">
        <w:r>
          <w:rPr>
            <w:rStyle w:val="Hyperlink"/>
            <w:rFonts w:ascii="Times New Roman" w:hAnsi="Times New Roman" w:cs="Times New Roman"/>
            <w:noProof/>
            <w:color w:val="auto"/>
          </w:rPr>
          <w:t>6.2.1.</w:t>
        </w:r>
        <w:r>
          <w:rPr>
            <w:rFonts w:ascii="Times New Roman" w:eastAsiaTheme="minorEastAsia" w:hAnsi="Times New Roman" w:cs="Times New Roman"/>
            <w:noProof/>
            <w:lang w:eastAsia="zh-CN"/>
          </w:rPr>
          <w:tab/>
        </w:r>
        <w:r>
          <w:rPr>
            <w:rStyle w:val="Hyperlink"/>
            <w:rFonts w:ascii="Times New Roman" w:hAnsi="Times New Roman" w:cs="Times New Roman"/>
            <w:noProof/>
            <w:color w:val="auto"/>
          </w:rPr>
          <w:t>Insufficient financial resources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_Toc507148494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32</w:t>
        </w:r>
        <w:r>
          <w:rPr>
            <w:rFonts w:ascii="Times New Roman" w:hAnsi="Times New Roman" w:cs="Times New Roman"/>
            <w:noProof/>
            <w:webHidden/>
          </w:rPr>
          <w:fldChar w:fldCharType="end"/>
        </w:r>
      </w:hyperlink>
    </w:p>
    <w:p>
      <w:pPr>
        <w:pStyle w:val="TOC3"/>
        <w:tabs>
          <w:tab w:val="left" w:pos="1320"/>
          <w:tab w:val="right" w:leader="dot" w:pos="8520"/>
          <w:tab w:val="right" w:leader="dot" w:pos="8608"/>
        </w:tabs>
        <w:ind w:right="720"/>
        <w:rPr>
          <w:rFonts w:ascii="Times New Roman" w:eastAsiaTheme="minorEastAsia" w:hAnsi="Times New Roman" w:cs="Times New Roman"/>
          <w:noProof/>
          <w:lang w:eastAsia="zh-CN"/>
        </w:rPr>
      </w:pPr>
      <w:hyperlink w:anchor="_Toc507148495" w:history="1">
        <w:r>
          <w:rPr>
            <w:rStyle w:val="Hyperlink"/>
            <w:rFonts w:ascii="Times New Roman" w:hAnsi="Times New Roman" w:cs="Times New Roman"/>
            <w:noProof/>
            <w:color w:val="auto"/>
          </w:rPr>
          <w:t>6.2.2.</w:t>
        </w:r>
        <w:r>
          <w:rPr>
            <w:rFonts w:ascii="Times New Roman" w:eastAsiaTheme="minorEastAsia" w:hAnsi="Times New Roman" w:cs="Times New Roman"/>
            <w:noProof/>
            <w:lang w:eastAsia="zh-CN"/>
          </w:rPr>
          <w:tab/>
        </w:r>
        <w:r>
          <w:rPr>
            <w:rStyle w:val="Hyperlink"/>
            <w:rFonts w:ascii="Times New Roman" w:hAnsi="Times New Roman" w:cs="Times New Roman"/>
            <w:noProof/>
            <w:color w:val="auto"/>
          </w:rPr>
          <w:t>Repeated visa procedures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_Toc507148495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35</w:t>
        </w:r>
        <w:r>
          <w:rPr>
            <w:rFonts w:ascii="Times New Roman" w:hAnsi="Times New Roman" w:cs="Times New Roman"/>
            <w:noProof/>
            <w:webHidden/>
          </w:rPr>
          <w:fldChar w:fldCharType="end"/>
        </w:r>
      </w:hyperlink>
    </w:p>
    <w:p>
      <w:pPr>
        <w:pStyle w:val="TOC3"/>
        <w:tabs>
          <w:tab w:val="left" w:pos="1320"/>
          <w:tab w:val="right" w:leader="dot" w:pos="8520"/>
          <w:tab w:val="right" w:leader="dot" w:pos="8608"/>
        </w:tabs>
        <w:ind w:right="720"/>
        <w:rPr>
          <w:rFonts w:ascii="Times New Roman" w:eastAsiaTheme="minorEastAsia" w:hAnsi="Times New Roman" w:cs="Times New Roman"/>
          <w:noProof/>
          <w:lang w:eastAsia="zh-CN"/>
        </w:rPr>
      </w:pPr>
      <w:hyperlink w:anchor="_Toc507148496" w:history="1">
        <w:r>
          <w:rPr>
            <w:rStyle w:val="Hyperlink"/>
            <w:rFonts w:ascii="Times New Roman" w:hAnsi="Times New Roman" w:cs="Times New Roman"/>
            <w:noProof/>
            <w:color w:val="auto"/>
          </w:rPr>
          <w:t>6.2.3.</w:t>
        </w:r>
        <w:r>
          <w:rPr>
            <w:rFonts w:ascii="Times New Roman" w:eastAsiaTheme="minorEastAsia" w:hAnsi="Times New Roman" w:cs="Times New Roman"/>
            <w:noProof/>
            <w:lang w:eastAsia="zh-CN"/>
          </w:rPr>
          <w:tab/>
        </w:r>
        <w:r>
          <w:rPr>
            <w:rStyle w:val="Hyperlink"/>
            <w:rFonts w:ascii="Times New Roman" w:hAnsi="Times New Roman" w:cs="Times New Roman"/>
            <w:noProof/>
            <w:color w:val="auto"/>
          </w:rPr>
          <w:t>Return of irregular migrants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_Toc507148496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37</w:t>
        </w:r>
        <w:r>
          <w:rPr>
            <w:rFonts w:ascii="Times New Roman" w:hAnsi="Times New Roman" w:cs="Times New Roman"/>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97" w:history="1">
        <w:r>
          <w:rPr>
            <w:rStyle w:val="Hyperlink"/>
            <w:noProof/>
            <w:color w:val="auto"/>
          </w:rPr>
          <w:t>6.3.</w:t>
        </w:r>
        <w:r>
          <w:rPr>
            <w:rFonts w:asciiTheme="minorHAnsi" w:eastAsiaTheme="minorEastAsia" w:hAnsiTheme="minorHAnsi" w:cstheme="minorBidi"/>
            <w:noProof/>
            <w:sz w:val="22"/>
            <w:szCs w:val="22"/>
            <w:lang w:eastAsia="zh-CN"/>
          </w:rPr>
          <w:tab/>
        </w:r>
        <w:r>
          <w:rPr>
            <w:rStyle w:val="Hyperlink"/>
            <w:noProof/>
            <w:color w:val="auto"/>
          </w:rPr>
          <w:t>Sensitivity analysis</w:t>
        </w:r>
        <w:r>
          <w:rPr>
            <w:noProof/>
            <w:webHidden/>
          </w:rPr>
          <w:tab/>
        </w:r>
        <w:r>
          <w:rPr>
            <w:noProof/>
            <w:webHidden/>
          </w:rPr>
          <w:fldChar w:fldCharType="begin"/>
        </w:r>
        <w:r>
          <w:rPr>
            <w:noProof/>
            <w:webHidden/>
          </w:rPr>
          <w:instrText xml:space="preserve"> PAGEREF _Toc507148497 \h </w:instrText>
        </w:r>
        <w:r>
          <w:rPr>
            <w:noProof/>
            <w:webHidden/>
          </w:rPr>
        </w:r>
        <w:r>
          <w:rPr>
            <w:noProof/>
            <w:webHidden/>
          </w:rPr>
          <w:fldChar w:fldCharType="separate"/>
        </w:r>
        <w:r>
          <w:rPr>
            <w:noProof/>
            <w:webHidden/>
          </w:rPr>
          <w:t>40</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498" w:history="1">
        <w:r>
          <w:rPr>
            <w:rStyle w:val="Hyperlink"/>
            <w:noProof/>
            <w:color w:val="auto"/>
          </w:rPr>
          <w:t>7.</w:t>
        </w:r>
        <w:r>
          <w:rPr>
            <w:rFonts w:asciiTheme="minorHAnsi" w:eastAsiaTheme="minorEastAsia" w:hAnsiTheme="minorHAnsi" w:cstheme="minorBidi"/>
            <w:caps w:val="0"/>
            <w:noProof/>
            <w:sz w:val="22"/>
            <w:szCs w:val="22"/>
            <w:lang w:eastAsia="zh-CN"/>
          </w:rPr>
          <w:tab/>
        </w:r>
        <w:r>
          <w:rPr>
            <w:rStyle w:val="Hyperlink"/>
            <w:noProof/>
            <w:color w:val="auto"/>
          </w:rPr>
          <w:t>How do the options compare?</w:t>
        </w:r>
        <w:r>
          <w:rPr>
            <w:noProof/>
            <w:webHidden/>
          </w:rPr>
          <w:tab/>
        </w:r>
        <w:r>
          <w:rPr>
            <w:noProof/>
            <w:webHidden/>
          </w:rPr>
          <w:fldChar w:fldCharType="begin"/>
        </w:r>
        <w:r>
          <w:rPr>
            <w:noProof/>
            <w:webHidden/>
          </w:rPr>
          <w:instrText xml:space="preserve"> PAGEREF _Toc507148498 \h </w:instrText>
        </w:r>
        <w:r>
          <w:rPr>
            <w:noProof/>
            <w:webHidden/>
          </w:rPr>
        </w:r>
        <w:r>
          <w:rPr>
            <w:noProof/>
            <w:webHidden/>
          </w:rPr>
          <w:fldChar w:fldCharType="separate"/>
        </w:r>
        <w:r>
          <w:rPr>
            <w:noProof/>
            <w:webHidden/>
          </w:rPr>
          <w:t>40</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499" w:history="1">
        <w:r>
          <w:rPr>
            <w:rStyle w:val="Hyperlink"/>
            <w:noProof/>
            <w:color w:val="auto"/>
          </w:rPr>
          <w:t>7.1.</w:t>
        </w:r>
        <w:r>
          <w:rPr>
            <w:rFonts w:asciiTheme="minorHAnsi" w:eastAsiaTheme="minorEastAsia" w:hAnsiTheme="minorHAnsi" w:cstheme="minorBidi"/>
            <w:noProof/>
            <w:sz w:val="22"/>
            <w:szCs w:val="22"/>
            <w:lang w:eastAsia="zh-CN"/>
          </w:rPr>
          <w:tab/>
        </w:r>
        <w:r>
          <w:rPr>
            <w:rStyle w:val="Hyperlink"/>
            <w:noProof/>
            <w:color w:val="auto"/>
          </w:rPr>
          <w:t>Insufficient financial resources</w:t>
        </w:r>
        <w:r>
          <w:rPr>
            <w:noProof/>
            <w:webHidden/>
          </w:rPr>
          <w:tab/>
        </w:r>
        <w:r>
          <w:rPr>
            <w:noProof/>
            <w:webHidden/>
          </w:rPr>
          <w:fldChar w:fldCharType="begin"/>
        </w:r>
        <w:r>
          <w:rPr>
            <w:noProof/>
            <w:webHidden/>
          </w:rPr>
          <w:instrText xml:space="preserve"> PAGEREF _Toc507148499 \h </w:instrText>
        </w:r>
        <w:r>
          <w:rPr>
            <w:noProof/>
            <w:webHidden/>
          </w:rPr>
        </w:r>
        <w:r>
          <w:rPr>
            <w:noProof/>
            <w:webHidden/>
          </w:rPr>
          <w:fldChar w:fldCharType="separate"/>
        </w:r>
        <w:r>
          <w:rPr>
            <w:noProof/>
            <w:webHidden/>
          </w:rPr>
          <w:t>40</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500" w:history="1">
        <w:r>
          <w:rPr>
            <w:rStyle w:val="Hyperlink"/>
            <w:noProof/>
            <w:color w:val="auto"/>
          </w:rPr>
          <w:t>7.2.</w:t>
        </w:r>
        <w:r>
          <w:rPr>
            <w:rFonts w:asciiTheme="minorHAnsi" w:eastAsiaTheme="minorEastAsia" w:hAnsiTheme="minorHAnsi" w:cstheme="minorBidi"/>
            <w:noProof/>
            <w:sz w:val="22"/>
            <w:szCs w:val="22"/>
            <w:lang w:eastAsia="zh-CN"/>
          </w:rPr>
          <w:tab/>
        </w:r>
        <w:r>
          <w:rPr>
            <w:rStyle w:val="Hyperlink"/>
            <w:noProof/>
            <w:color w:val="auto"/>
          </w:rPr>
          <w:t>Repeated visa procedures</w:t>
        </w:r>
        <w:r>
          <w:rPr>
            <w:noProof/>
            <w:webHidden/>
          </w:rPr>
          <w:tab/>
        </w:r>
        <w:r>
          <w:rPr>
            <w:noProof/>
            <w:webHidden/>
          </w:rPr>
          <w:fldChar w:fldCharType="begin"/>
        </w:r>
        <w:r>
          <w:rPr>
            <w:noProof/>
            <w:webHidden/>
          </w:rPr>
          <w:instrText xml:space="preserve"> PAGEREF _Toc507148500 \h </w:instrText>
        </w:r>
        <w:r>
          <w:rPr>
            <w:noProof/>
            <w:webHidden/>
          </w:rPr>
        </w:r>
        <w:r>
          <w:rPr>
            <w:noProof/>
            <w:webHidden/>
          </w:rPr>
          <w:fldChar w:fldCharType="separate"/>
        </w:r>
        <w:r>
          <w:rPr>
            <w:noProof/>
            <w:webHidden/>
          </w:rPr>
          <w:t>42</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501" w:history="1">
        <w:r>
          <w:rPr>
            <w:rStyle w:val="Hyperlink"/>
            <w:noProof/>
            <w:color w:val="auto"/>
          </w:rPr>
          <w:t>7.3.</w:t>
        </w:r>
        <w:r>
          <w:rPr>
            <w:rFonts w:asciiTheme="minorHAnsi" w:eastAsiaTheme="minorEastAsia" w:hAnsiTheme="minorHAnsi" w:cstheme="minorBidi"/>
            <w:noProof/>
            <w:sz w:val="22"/>
            <w:szCs w:val="22"/>
            <w:lang w:eastAsia="zh-CN"/>
          </w:rPr>
          <w:tab/>
        </w:r>
        <w:r>
          <w:rPr>
            <w:rStyle w:val="Hyperlink"/>
            <w:noProof/>
            <w:color w:val="auto"/>
          </w:rPr>
          <w:t>Return of irregular migrants</w:t>
        </w:r>
        <w:r>
          <w:rPr>
            <w:noProof/>
            <w:webHidden/>
          </w:rPr>
          <w:tab/>
        </w:r>
        <w:r>
          <w:rPr>
            <w:noProof/>
            <w:webHidden/>
          </w:rPr>
          <w:fldChar w:fldCharType="begin"/>
        </w:r>
        <w:r>
          <w:rPr>
            <w:noProof/>
            <w:webHidden/>
          </w:rPr>
          <w:instrText xml:space="preserve"> PAGEREF _Toc507148501 \h </w:instrText>
        </w:r>
        <w:r>
          <w:rPr>
            <w:noProof/>
            <w:webHidden/>
          </w:rPr>
        </w:r>
        <w:r>
          <w:rPr>
            <w:noProof/>
            <w:webHidden/>
          </w:rPr>
          <w:fldChar w:fldCharType="separate"/>
        </w:r>
        <w:r>
          <w:rPr>
            <w:noProof/>
            <w:webHidden/>
          </w:rPr>
          <w:t>43</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502" w:history="1">
        <w:r>
          <w:rPr>
            <w:rStyle w:val="Hyperlink"/>
            <w:noProof/>
            <w:color w:val="auto"/>
          </w:rPr>
          <w:t>8.</w:t>
        </w:r>
        <w:r>
          <w:rPr>
            <w:rFonts w:asciiTheme="minorHAnsi" w:eastAsiaTheme="minorEastAsia" w:hAnsiTheme="minorHAnsi" w:cstheme="minorBidi"/>
            <w:caps w:val="0"/>
            <w:noProof/>
            <w:sz w:val="22"/>
            <w:szCs w:val="22"/>
            <w:lang w:eastAsia="zh-CN"/>
          </w:rPr>
          <w:tab/>
        </w:r>
        <w:r>
          <w:rPr>
            <w:rStyle w:val="Hyperlink"/>
            <w:noProof/>
            <w:color w:val="auto"/>
          </w:rPr>
          <w:t>Preferred options</w:t>
        </w:r>
        <w:r>
          <w:rPr>
            <w:noProof/>
            <w:webHidden/>
          </w:rPr>
          <w:tab/>
        </w:r>
        <w:r>
          <w:rPr>
            <w:noProof/>
            <w:webHidden/>
          </w:rPr>
          <w:fldChar w:fldCharType="begin"/>
        </w:r>
        <w:r>
          <w:rPr>
            <w:noProof/>
            <w:webHidden/>
          </w:rPr>
          <w:instrText xml:space="preserve"> PAGEREF _Toc507148502 \h </w:instrText>
        </w:r>
        <w:r>
          <w:rPr>
            <w:noProof/>
            <w:webHidden/>
          </w:rPr>
        </w:r>
        <w:r>
          <w:rPr>
            <w:noProof/>
            <w:webHidden/>
          </w:rPr>
          <w:fldChar w:fldCharType="separate"/>
        </w:r>
        <w:r>
          <w:rPr>
            <w:noProof/>
            <w:webHidden/>
          </w:rPr>
          <w:t>44</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503" w:history="1">
        <w:r>
          <w:rPr>
            <w:rStyle w:val="Hyperlink"/>
            <w:noProof/>
            <w:color w:val="auto"/>
          </w:rPr>
          <w:t>8.1.</w:t>
        </w:r>
        <w:r>
          <w:rPr>
            <w:rFonts w:asciiTheme="minorHAnsi" w:eastAsiaTheme="minorEastAsia" w:hAnsiTheme="minorHAnsi" w:cstheme="minorBidi"/>
            <w:noProof/>
            <w:sz w:val="22"/>
            <w:szCs w:val="22"/>
            <w:lang w:eastAsia="zh-CN"/>
          </w:rPr>
          <w:tab/>
        </w:r>
        <w:r>
          <w:rPr>
            <w:rStyle w:val="Hyperlink"/>
            <w:noProof/>
            <w:color w:val="auto"/>
          </w:rPr>
          <w:t>Insufficient financial resources</w:t>
        </w:r>
        <w:r>
          <w:rPr>
            <w:noProof/>
            <w:webHidden/>
          </w:rPr>
          <w:tab/>
        </w:r>
        <w:r>
          <w:rPr>
            <w:noProof/>
            <w:webHidden/>
          </w:rPr>
          <w:fldChar w:fldCharType="begin"/>
        </w:r>
        <w:r>
          <w:rPr>
            <w:noProof/>
            <w:webHidden/>
          </w:rPr>
          <w:instrText xml:space="preserve"> PAGEREF _Toc507148503 \h </w:instrText>
        </w:r>
        <w:r>
          <w:rPr>
            <w:noProof/>
            <w:webHidden/>
          </w:rPr>
        </w:r>
        <w:r>
          <w:rPr>
            <w:noProof/>
            <w:webHidden/>
          </w:rPr>
          <w:fldChar w:fldCharType="separate"/>
        </w:r>
        <w:r>
          <w:rPr>
            <w:noProof/>
            <w:webHidden/>
          </w:rPr>
          <w:t>44</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504" w:history="1">
        <w:r>
          <w:rPr>
            <w:rStyle w:val="Hyperlink"/>
            <w:noProof/>
            <w:color w:val="auto"/>
          </w:rPr>
          <w:t>8.2.</w:t>
        </w:r>
        <w:r>
          <w:rPr>
            <w:rFonts w:asciiTheme="minorHAnsi" w:eastAsiaTheme="minorEastAsia" w:hAnsiTheme="minorHAnsi" w:cstheme="minorBidi"/>
            <w:noProof/>
            <w:sz w:val="22"/>
            <w:szCs w:val="22"/>
            <w:lang w:eastAsia="zh-CN"/>
          </w:rPr>
          <w:tab/>
        </w:r>
        <w:r>
          <w:rPr>
            <w:rStyle w:val="Hyperlink"/>
            <w:noProof/>
            <w:color w:val="auto"/>
          </w:rPr>
          <w:t>Repeated visa procedures</w:t>
        </w:r>
        <w:r>
          <w:rPr>
            <w:noProof/>
            <w:webHidden/>
          </w:rPr>
          <w:tab/>
        </w:r>
        <w:r>
          <w:rPr>
            <w:noProof/>
            <w:webHidden/>
          </w:rPr>
          <w:fldChar w:fldCharType="begin"/>
        </w:r>
        <w:r>
          <w:rPr>
            <w:noProof/>
            <w:webHidden/>
          </w:rPr>
          <w:instrText xml:space="preserve"> PAGEREF _Toc507148504 \h </w:instrText>
        </w:r>
        <w:r>
          <w:rPr>
            <w:noProof/>
            <w:webHidden/>
          </w:rPr>
        </w:r>
        <w:r>
          <w:rPr>
            <w:noProof/>
            <w:webHidden/>
          </w:rPr>
          <w:fldChar w:fldCharType="separate"/>
        </w:r>
        <w:r>
          <w:rPr>
            <w:noProof/>
            <w:webHidden/>
          </w:rPr>
          <w:t>44</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505" w:history="1">
        <w:r>
          <w:rPr>
            <w:rStyle w:val="Hyperlink"/>
            <w:noProof/>
            <w:color w:val="auto"/>
          </w:rPr>
          <w:t>8.3.</w:t>
        </w:r>
        <w:r>
          <w:rPr>
            <w:rFonts w:asciiTheme="minorHAnsi" w:eastAsiaTheme="minorEastAsia" w:hAnsiTheme="minorHAnsi" w:cstheme="minorBidi"/>
            <w:noProof/>
            <w:sz w:val="22"/>
            <w:szCs w:val="22"/>
            <w:lang w:eastAsia="zh-CN"/>
          </w:rPr>
          <w:tab/>
        </w:r>
        <w:r>
          <w:rPr>
            <w:rStyle w:val="Hyperlink"/>
            <w:noProof/>
            <w:color w:val="auto"/>
          </w:rPr>
          <w:t>Return of irregular migrants</w:t>
        </w:r>
        <w:r>
          <w:rPr>
            <w:noProof/>
            <w:webHidden/>
          </w:rPr>
          <w:tab/>
        </w:r>
        <w:r>
          <w:rPr>
            <w:noProof/>
            <w:webHidden/>
          </w:rPr>
          <w:fldChar w:fldCharType="begin"/>
        </w:r>
        <w:r>
          <w:rPr>
            <w:noProof/>
            <w:webHidden/>
          </w:rPr>
          <w:instrText xml:space="preserve"> PAGEREF _Toc507148505 \h </w:instrText>
        </w:r>
        <w:r>
          <w:rPr>
            <w:noProof/>
            <w:webHidden/>
          </w:rPr>
        </w:r>
        <w:r>
          <w:rPr>
            <w:noProof/>
            <w:webHidden/>
          </w:rPr>
          <w:fldChar w:fldCharType="separate"/>
        </w:r>
        <w:r>
          <w:rPr>
            <w:noProof/>
            <w:webHidden/>
          </w:rPr>
          <w:t>44</w:t>
        </w:r>
        <w:r>
          <w:rPr>
            <w:noProof/>
            <w:webHidden/>
          </w:rPr>
          <w:fldChar w:fldCharType="end"/>
        </w:r>
      </w:hyperlink>
    </w:p>
    <w:p>
      <w:pPr>
        <w:pStyle w:val="TOC2"/>
        <w:tabs>
          <w:tab w:val="clear" w:pos="8640"/>
          <w:tab w:val="left" w:pos="1077"/>
          <w:tab w:val="right" w:leader="dot" w:pos="8520"/>
        </w:tabs>
        <w:rPr>
          <w:rFonts w:asciiTheme="minorHAnsi" w:eastAsiaTheme="minorEastAsia" w:hAnsiTheme="minorHAnsi" w:cstheme="minorBidi"/>
          <w:noProof/>
          <w:sz w:val="22"/>
          <w:szCs w:val="22"/>
          <w:lang w:eastAsia="zh-CN"/>
        </w:rPr>
      </w:pPr>
      <w:hyperlink w:anchor="_Toc507148506" w:history="1">
        <w:r>
          <w:rPr>
            <w:rStyle w:val="Hyperlink"/>
            <w:noProof/>
            <w:color w:val="auto"/>
          </w:rPr>
          <w:t>8.4.</w:t>
        </w:r>
        <w:r>
          <w:rPr>
            <w:rFonts w:asciiTheme="minorHAnsi" w:eastAsiaTheme="minorEastAsia" w:hAnsiTheme="minorHAnsi" w:cstheme="minorBidi"/>
            <w:noProof/>
            <w:sz w:val="22"/>
            <w:szCs w:val="22"/>
            <w:lang w:eastAsia="zh-CN"/>
          </w:rPr>
          <w:tab/>
        </w:r>
        <w:r>
          <w:rPr>
            <w:rStyle w:val="Hyperlink"/>
            <w:noProof/>
            <w:color w:val="auto"/>
          </w:rPr>
          <w:t>REFIT (simplification and improved efficiency)</w:t>
        </w:r>
        <w:r>
          <w:rPr>
            <w:noProof/>
            <w:webHidden/>
          </w:rPr>
          <w:tab/>
        </w:r>
        <w:r>
          <w:rPr>
            <w:noProof/>
            <w:webHidden/>
          </w:rPr>
          <w:fldChar w:fldCharType="begin"/>
        </w:r>
        <w:r>
          <w:rPr>
            <w:noProof/>
            <w:webHidden/>
          </w:rPr>
          <w:instrText xml:space="preserve"> PAGEREF _Toc507148506 \h </w:instrText>
        </w:r>
        <w:r>
          <w:rPr>
            <w:noProof/>
            <w:webHidden/>
          </w:rPr>
        </w:r>
        <w:r>
          <w:rPr>
            <w:noProof/>
            <w:webHidden/>
          </w:rPr>
          <w:fldChar w:fldCharType="separate"/>
        </w:r>
        <w:r>
          <w:rPr>
            <w:noProof/>
            <w:webHidden/>
          </w:rPr>
          <w:t>45</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507" w:history="1">
        <w:r>
          <w:rPr>
            <w:rStyle w:val="Hyperlink"/>
            <w:noProof/>
            <w:color w:val="auto"/>
          </w:rPr>
          <w:t>9.</w:t>
        </w:r>
        <w:r>
          <w:rPr>
            <w:rFonts w:asciiTheme="minorHAnsi" w:eastAsiaTheme="minorEastAsia" w:hAnsiTheme="minorHAnsi" w:cstheme="minorBidi"/>
            <w:caps w:val="0"/>
            <w:noProof/>
            <w:sz w:val="22"/>
            <w:szCs w:val="22"/>
            <w:lang w:eastAsia="zh-CN"/>
          </w:rPr>
          <w:tab/>
        </w:r>
        <w:r>
          <w:rPr>
            <w:rStyle w:val="Hyperlink"/>
            <w:noProof/>
            <w:color w:val="auto"/>
          </w:rPr>
          <w:t>How will actual impacts be monitored and evaluated?</w:t>
        </w:r>
        <w:r>
          <w:rPr>
            <w:noProof/>
            <w:webHidden/>
          </w:rPr>
          <w:tab/>
        </w:r>
        <w:r>
          <w:rPr>
            <w:noProof/>
            <w:webHidden/>
          </w:rPr>
          <w:fldChar w:fldCharType="begin"/>
        </w:r>
        <w:r>
          <w:rPr>
            <w:noProof/>
            <w:webHidden/>
          </w:rPr>
          <w:instrText xml:space="preserve"> PAGEREF _Toc507148507 \h </w:instrText>
        </w:r>
        <w:r>
          <w:rPr>
            <w:noProof/>
            <w:webHidden/>
          </w:rPr>
        </w:r>
        <w:r>
          <w:rPr>
            <w:noProof/>
            <w:webHidden/>
          </w:rPr>
          <w:fldChar w:fldCharType="separate"/>
        </w:r>
        <w:r>
          <w:rPr>
            <w:noProof/>
            <w:webHidden/>
          </w:rPr>
          <w:t>45</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508" w:history="1">
        <w:r>
          <w:rPr>
            <w:rStyle w:val="Hyperlink"/>
            <w:noProof/>
            <w:color w:val="auto"/>
          </w:rPr>
          <w:t>Annex 1: Procedural information</w:t>
        </w:r>
        <w:r>
          <w:rPr>
            <w:noProof/>
            <w:webHidden/>
          </w:rPr>
          <w:tab/>
        </w:r>
        <w:r>
          <w:rPr>
            <w:noProof/>
            <w:webHidden/>
          </w:rPr>
          <w:fldChar w:fldCharType="begin"/>
        </w:r>
        <w:r>
          <w:rPr>
            <w:noProof/>
            <w:webHidden/>
          </w:rPr>
          <w:instrText xml:space="preserve"> PAGEREF _Toc507148508 \h </w:instrText>
        </w:r>
        <w:r>
          <w:rPr>
            <w:noProof/>
            <w:webHidden/>
          </w:rPr>
        </w:r>
        <w:r>
          <w:rPr>
            <w:noProof/>
            <w:webHidden/>
          </w:rPr>
          <w:fldChar w:fldCharType="separate"/>
        </w:r>
        <w:r>
          <w:rPr>
            <w:noProof/>
            <w:webHidden/>
          </w:rPr>
          <w:t>47</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513" w:history="1">
        <w:r>
          <w:rPr>
            <w:rStyle w:val="Hyperlink"/>
            <w:noProof/>
            <w:color w:val="auto"/>
          </w:rPr>
          <w:t>Annex 2: Stakeholder consultation</w:t>
        </w:r>
        <w:r>
          <w:rPr>
            <w:noProof/>
            <w:webHidden/>
          </w:rPr>
          <w:tab/>
        </w:r>
        <w:r>
          <w:rPr>
            <w:noProof/>
            <w:webHidden/>
          </w:rPr>
          <w:fldChar w:fldCharType="begin"/>
        </w:r>
        <w:r>
          <w:rPr>
            <w:noProof/>
            <w:webHidden/>
          </w:rPr>
          <w:instrText xml:space="preserve"> PAGEREF _Toc507148513 \h </w:instrText>
        </w:r>
        <w:r>
          <w:rPr>
            <w:noProof/>
            <w:webHidden/>
          </w:rPr>
        </w:r>
        <w:r>
          <w:rPr>
            <w:noProof/>
            <w:webHidden/>
          </w:rPr>
          <w:fldChar w:fldCharType="separate"/>
        </w:r>
        <w:r>
          <w:rPr>
            <w:noProof/>
            <w:webHidden/>
          </w:rPr>
          <w:t>49</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514" w:history="1">
        <w:r>
          <w:rPr>
            <w:rStyle w:val="Hyperlink"/>
            <w:noProof/>
            <w:color w:val="auto"/>
          </w:rPr>
          <w:t>Annex 3: Who is affected and how?</w:t>
        </w:r>
        <w:r>
          <w:rPr>
            <w:noProof/>
            <w:webHidden/>
          </w:rPr>
          <w:tab/>
        </w:r>
        <w:r>
          <w:rPr>
            <w:noProof/>
            <w:webHidden/>
          </w:rPr>
          <w:fldChar w:fldCharType="begin"/>
        </w:r>
        <w:r>
          <w:rPr>
            <w:noProof/>
            <w:webHidden/>
          </w:rPr>
          <w:instrText xml:space="preserve"> PAGEREF _Toc507148514 \h </w:instrText>
        </w:r>
        <w:r>
          <w:rPr>
            <w:noProof/>
            <w:webHidden/>
          </w:rPr>
        </w:r>
        <w:r>
          <w:rPr>
            <w:noProof/>
            <w:webHidden/>
          </w:rPr>
          <w:fldChar w:fldCharType="separate"/>
        </w:r>
        <w:r>
          <w:rPr>
            <w:noProof/>
            <w:webHidden/>
          </w:rPr>
          <w:t>62</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519" w:history="1">
        <w:r>
          <w:rPr>
            <w:rStyle w:val="Hyperlink"/>
            <w:noProof/>
            <w:color w:val="auto"/>
          </w:rPr>
          <w:t>Annex 4: Update on the implementation of the Visa Code</w:t>
        </w:r>
        <w:r>
          <w:rPr>
            <w:noProof/>
            <w:webHidden/>
          </w:rPr>
          <w:tab/>
        </w:r>
        <w:r>
          <w:rPr>
            <w:noProof/>
            <w:webHidden/>
          </w:rPr>
          <w:fldChar w:fldCharType="begin"/>
        </w:r>
        <w:r>
          <w:rPr>
            <w:noProof/>
            <w:webHidden/>
          </w:rPr>
          <w:instrText xml:space="preserve"> PAGEREF _Toc507148519 \h </w:instrText>
        </w:r>
        <w:r>
          <w:rPr>
            <w:noProof/>
            <w:webHidden/>
          </w:rPr>
        </w:r>
        <w:r>
          <w:rPr>
            <w:noProof/>
            <w:webHidden/>
          </w:rPr>
          <w:fldChar w:fldCharType="separate"/>
        </w:r>
        <w:r>
          <w:rPr>
            <w:noProof/>
            <w:webHidden/>
          </w:rPr>
          <w:t>65</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524" w:history="1">
        <w:r>
          <w:rPr>
            <w:rStyle w:val="Hyperlink"/>
            <w:noProof/>
            <w:color w:val="auto"/>
          </w:rPr>
          <w:t>Annex 5: Visa fee</w:t>
        </w:r>
        <w:r>
          <w:rPr>
            <w:noProof/>
            <w:webHidden/>
          </w:rPr>
          <w:tab/>
        </w:r>
        <w:r>
          <w:rPr>
            <w:noProof/>
            <w:webHidden/>
          </w:rPr>
          <w:fldChar w:fldCharType="begin"/>
        </w:r>
        <w:r>
          <w:rPr>
            <w:noProof/>
            <w:webHidden/>
          </w:rPr>
          <w:instrText xml:space="preserve"> PAGEREF _Toc507148524 \h </w:instrText>
        </w:r>
        <w:r>
          <w:rPr>
            <w:noProof/>
            <w:webHidden/>
          </w:rPr>
        </w:r>
        <w:r>
          <w:rPr>
            <w:noProof/>
            <w:webHidden/>
          </w:rPr>
          <w:fldChar w:fldCharType="separate"/>
        </w:r>
        <w:r>
          <w:rPr>
            <w:noProof/>
            <w:webHidden/>
          </w:rPr>
          <w:t>76</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525" w:history="1">
        <w:r>
          <w:rPr>
            <w:rStyle w:val="Hyperlink"/>
            <w:noProof/>
            <w:color w:val="auto"/>
          </w:rPr>
          <w:t>Annex 6: Inbound tourism to the EU/Schengen countries</w:t>
        </w:r>
        <w:r>
          <w:rPr>
            <w:noProof/>
            <w:webHidden/>
          </w:rPr>
          <w:tab/>
        </w:r>
        <w:r>
          <w:rPr>
            <w:noProof/>
            <w:webHidden/>
          </w:rPr>
          <w:fldChar w:fldCharType="begin"/>
        </w:r>
        <w:r>
          <w:rPr>
            <w:noProof/>
            <w:webHidden/>
          </w:rPr>
          <w:instrText xml:space="preserve"> PAGEREF _Toc507148525 \h </w:instrText>
        </w:r>
        <w:r>
          <w:rPr>
            <w:noProof/>
            <w:webHidden/>
          </w:rPr>
        </w:r>
        <w:r>
          <w:rPr>
            <w:noProof/>
            <w:webHidden/>
          </w:rPr>
          <w:fldChar w:fldCharType="separate"/>
        </w:r>
        <w:r>
          <w:rPr>
            <w:noProof/>
            <w:webHidden/>
          </w:rPr>
          <w:t>85</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526" w:history="1">
        <w:r>
          <w:rPr>
            <w:rStyle w:val="Hyperlink"/>
            <w:noProof/>
            <w:color w:val="auto"/>
          </w:rPr>
          <w:t>Annex 7: Elements carried over from the 2014 proposal</w:t>
        </w:r>
        <w:r>
          <w:rPr>
            <w:noProof/>
            <w:webHidden/>
          </w:rPr>
          <w:tab/>
        </w:r>
        <w:r>
          <w:rPr>
            <w:noProof/>
            <w:webHidden/>
          </w:rPr>
          <w:fldChar w:fldCharType="begin"/>
        </w:r>
        <w:r>
          <w:rPr>
            <w:noProof/>
            <w:webHidden/>
          </w:rPr>
          <w:instrText xml:space="preserve"> PAGEREF _Toc507148526 \h </w:instrText>
        </w:r>
        <w:r>
          <w:rPr>
            <w:noProof/>
            <w:webHidden/>
          </w:rPr>
        </w:r>
        <w:r>
          <w:rPr>
            <w:noProof/>
            <w:webHidden/>
          </w:rPr>
          <w:fldChar w:fldCharType="separate"/>
        </w:r>
        <w:r>
          <w:rPr>
            <w:noProof/>
            <w:webHidden/>
          </w:rPr>
          <w:t>87</w:t>
        </w:r>
        <w:r>
          <w:rPr>
            <w:noProof/>
            <w:webHidden/>
          </w:rPr>
          <w:fldChar w:fldCharType="end"/>
        </w:r>
      </w:hyperlink>
    </w:p>
    <w:p>
      <w:pPr>
        <w:pStyle w:val="TOC1"/>
        <w:tabs>
          <w:tab w:val="clear" w:pos="8640"/>
          <w:tab w:val="right" w:leader="dot" w:pos="8520"/>
        </w:tabs>
        <w:rPr>
          <w:rFonts w:asciiTheme="minorHAnsi" w:eastAsiaTheme="minorEastAsia" w:hAnsiTheme="minorHAnsi" w:cstheme="minorBidi"/>
          <w:caps w:val="0"/>
          <w:noProof/>
          <w:sz w:val="22"/>
          <w:szCs w:val="22"/>
          <w:lang w:eastAsia="zh-CN"/>
        </w:rPr>
      </w:pPr>
      <w:hyperlink w:anchor="_Toc507148527" w:history="1">
        <w:r>
          <w:rPr>
            <w:rStyle w:val="Hyperlink"/>
            <w:noProof/>
            <w:color w:val="auto"/>
          </w:rPr>
          <w:t>Annex 8: Sensitivity analysis of MCA</w:t>
        </w:r>
        <w:r>
          <w:rPr>
            <w:noProof/>
            <w:webHidden/>
          </w:rPr>
          <w:tab/>
        </w:r>
        <w:r>
          <w:rPr>
            <w:noProof/>
            <w:webHidden/>
          </w:rPr>
          <w:fldChar w:fldCharType="begin"/>
        </w:r>
        <w:r>
          <w:rPr>
            <w:noProof/>
            <w:webHidden/>
          </w:rPr>
          <w:instrText xml:space="preserve"> PAGEREF _Toc507148527 \h </w:instrText>
        </w:r>
        <w:r>
          <w:rPr>
            <w:noProof/>
            <w:webHidden/>
          </w:rPr>
        </w:r>
        <w:r>
          <w:rPr>
            <w:noProof/>
            <w:webHidden/>
          </w:rPr>
          <w:fldChar w:fldCharType="separate"/>
        </w:r>
        <w:r>
          <w:rPr>
            <w:noProof/>
            <w:webHidden/>
          </w:rPr>
          <w:t>89</w:t>
        </w:r>
        <w:r>
          <w:rPr>
            <w:noProof/>
            <w:webHidden/>
          </w:rPr>
          <w:fldChar w:fldCharType="end"/>
        </w:r>
      </w:hyperlink>
    </w:p>
    <w:p>
      <w:pPr>
        <w:tabs>
          <w:tab w:val="right" w:leader="dot" w:pos="8520"/>
        </w:tabs>
        <w:ind w:right="720"/>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pPr>
      <w:r>
        <w:rPr>
          <w:noProof/>
        </w:rPr>
        <w:fldChar w:fldCharType="end"/>
      </w:r>
    </w:p>
    <w:p>
      <w:pPr>
        <w:jc w:val="center"/>
        <w:rPr>
          <w:b/>
          <w:noProof/>
          <w:sz w:val="28"/>
          <w:szCs w:val="28"/>
        </w:rPr>
      </w:pPr>
      <w:r>
        <w:rPr>
          <w:b/>
          <w:noProof/>
          <w:sz w:val="28"/>
          <w:szCs w:val="28"/>
        </w:rPr>
        <w:lastRenderedPageBreak/>
        <w:t>Glossary</w:t>
      </w:r>
    </w:p>
    <w:p>
      <w:pPr>
        <w:jc w:val="center"/>
        <w:rPr>
          <w:b/>
          <w:noProof/>
          <w:sz w:val="28"/>
          <w:szCs w:val="28"/>
        </w:rPr>
      </w:pPr>
    </w:p>
    <w:tbl>
      <w:tblPr>
        <w:tblStyle w:val="TableGrid"/>
        <w:tblW w:w="0" w:type="auto"/>
        <w:tblLook w:val="04A0" w:firstRow="1" w:lastRow="0" w:firstColumn="1" w:lastColumn="0" w:noHBand="0" w:noVBand="1"/>
      </w:tblPr>
      <w:tblGrid>
        <w:gridCol w:w="3227"/>
        <w:gridCol w:w="5607"/>
      </w:tblGrid>
      <w:tr>
        <w:tc>
          <w:tcPr>
            <w:tcW w:w="3227" w:type="dxa"/>
            <w:tcBorders>
              <w:bottom w:val="double" w:sz="4" w:space="0" w:color="auto"/>
            </w:tcBorders>
            <w:shd w:val="clear" w:color="auto" w:fill="F2F2F2" w:themeFill="background1" w:themeFillShade="F2"/>
          </w:tcPr>
          <w:p>
            <w:pPr>
              <w:spacing w:before="120" w:after="120"/>
              <w:jc w:val="center"/>
              <w:rPr>
                <w:b/>
                <w:i/>
                <w:noProof/>
              </w:rPr>
            </w:pPr>
            <w:r>
              <w:rPr>
                <w:b/>
                <w:i/>
                <w:noProof/>
              </w:rPr>
              <w:t>Term or acronym</w:t>
            </w:r>
          </w:p>
        </w:tc>
        <w:tc>
          <w:tcPr>
            <w:tcW w:w="5607" w:type="dxa"/>
            <w:tcBorders>
              <w:bottom w:val="double" w:sz="4" w:space="0" w:color="auto"/>
            </w:tcBorders>
            <w:shd w:val="clear" w:color="auto" w:fill="F2F2F2" w:themeFill="background1" w:themeFillShade="F2"/>
          </w:tcPr>
          <w:p>
            <w:pPr>
              <w:spacing w:before="120" w:after="120"/>
              <w:jc w:val="center"/>
              <w:rPr>
                <w:b/>
                <w:i/>
                <w:noProof/>
              </w:rPr>
            </w:pPr>
            <w:r>
              <w:rPr>
                <w:b/>
                <w:i/>
                <w:noProof/>
              </w:rPr>
              <w:t>Meaning or definition</w:t>
            </w:r>
          </w:p>
        </w:tc>
      </w:tr>
      <w:tr>
        <w:tc>
          <w:tcPr>
            <w:tcW w:w="3227" w:type="dxa"/>
            <w:tcMar>
              <w:top w:w="85" w:type="dxa"/>
              <w:left w:w="57" w:type="dxa"/>
              <w:bottom w:w="85" w:type="dxa"/>
              <w:right w:w="57" w:type="dxa"/>
            </w:tcMar>
          </w:tcPr>
          <w:p>
            <w:pPr>
              <w:rPr>
                <w:noProof/>
              </w:rPr>
            </w:pPr>
            <w:r>
              <w:rPr>
                <w:noProof/>
              </w:rPr>
              <w:t>EES</w:t>
            </w:r>
          </w:p>
        </w:tc>
        <w:tc>
          <w:tcPr>
            <w:tcW w:w="5607" w:type="dxa"/>
            <w:tcMar>
              <w:top w:w="85" w:type="dxa"/>
              <w:left w:w="57" w:type="dxa"/>
              <w:bottom w:w="85" w:type="dxa"/>
              <w:right w:w="57" w:type="dxa"/>
            </w:tcMar>
          </w:tcPr>
          <w:p>
            <w:pPr>
              <w:rPr>
                <w:noProof/>
              </w:rPr>
            </w:pPr>
            <w:r>
              <w:rPr>
                <w:noProof/>
              </w:rPr>
              <w:t xml:space="preserve">Entry-Exit System </w:t>
            </w:r>
          </w:p>
        </w:tc>
      </w:tr>
      <w:tr>
        <w:tc>
          <w:tcPr>
            <w:tcW w:w="3227" w:type="dxa"/>
            <w:tcMar>
              <w:top w:w="85" w:type="dxa"/>
              <w:left w:w="57" w:type="dxa"/>
              <w:bottom w:w="85" w:type="dxa"/>
              <w:right w:w="57" w:type="dxa"/>
            </w:tcMar>
          </w:tcPr>
          <w:p>
            <w:pPr>
              <w:rPr>
                <w:noProof/>
              </w:rPr>
            </w:pPr>
            <w:r>
              <w:rPr>
                <w:noProof/>
              </w:rPr>
              <w:t>ESP</w:t>
            </w:r>
          </w:p>
        </w:tc>
        <w:tc>
          <w:tcPr>
            <w:tcW w:w="5607" w:type="dxa"/>
            <w:tcMar>
              <w:top w:w="85" w:type="dxa"/>
              <w:left w:w="57" w:type="dxa"/>
              <w:bottom w:w="85" w:type="dxa"/>
              <w:right w:w="57" w:type="dxa"/>
            </w:tcMar>
          </w:tcPr>
          <w:p>
            <w:pPr>
              <w:rPr>
                <w:noProof/>
              </w:rPr>
            </w:pPr>
            <w:r>
              <w:rPr>
                <w:noProof/>
              </w:rPr>
              <w:t>external service provider (contracted by Member States to assist consulates with certain tasks in the visa application procedure, notably the collection of applications, of the visa fee and of biometric identifiers as well as the return of travel documents to visa applicants)</w:t>
            </w:r>
          </w:p>
        </w:tc>
      </w:tr>
      <w:tr>
        <w:tc>
          <w:tcPr>
            <w:tcW w:w="3227" w:type="dxa"/>
            <w:tcMar>
              <w:top w:w="85" w:type="dxa"/>
              <w:left w:w="57" w:type="dxa"/>
              <w:bottom w:w="85" w:type="dxa"/>
              <w:right w:w="57" w:type="dxa"/>
            </w:tcMar>
          </w:tcPr>
          <w:p>
            <w:pPr>
              <w:rPr>
                <w:noProof/>
              </w:rPr>
            </w:pPr>
            <w:r>
              <w:rPr>
                <w:noProof/>
              </w:rPr>
              <w:t>ETIAS</w:t>
            </w:r>
          </w:p>
        </w:tc>
        <w:tc>
          <w:tcPr>
            <w:tcW w:w="5607" w:type="dxa"/>
            <w:tcMar>
              <w:top w:w="85" w:type="dxa"/>
              <w:left w:w="57" w:type="dxa"/>
              <w:bottom w:w="85" w:type="dxa"/>
              <w:right w:w="57" w:type="dxa"/>
            </w:tcMar>
          </w:tcPr>
          <w:p>
            <w:pPr>
              <w:rPr>
                <w:noProof/>
              </w:rPr>
            </w:pPr>
            <w:r>
              <w:rPr>
                <w:noProof/>
              </w:rPr>
              <w:t xml:space="preserve">European Travel Information and Authorisation System </w:t>
            </w:r>
          </w:p>
        </w:tc>
      </w:tr>
      <w:tr>
        <w:tc>
          <w:tcPr>
            <w:tcW w:w="3227" w:type="dxa"/>
            <w:tcMar>
              <w:top w:w="85" w:type="dxa"/>
              <w:left w:w="57" w:type="dxa"/>
              <w:bottom w:w="85" w:type="dxa"/>
              <w:right w:w="57" w:type="dxa"/>
            </w:tcMar>
          </w:tcPr>
          <w:p>
            <w:pPr>
              <w:rPr>
                <w:noProof/>
              </w:rPr>
            </w:pPr>
            <w:r>
              <w:rPr>
                <w:noProof/>
              </w:rPr>
              <w:t>eu-LISA</w:t>
            </w:r>
          </w:p>
        </w:tc>
        <w:tc>
          <w:tcPr>
            <w:tcW w:w="5607" w:type="dxa"/>
            <w:tcMar>
              <w:top w:w="85" w:type="dxa"/>
              <w:left w:w="57" w:type="dxa"/>
              <w:bottom w:w="85" w:type="dxa"/>
              <w:right w:w="57" w:type="dxa"/>
            </w:tcMar>
          </w:tcPr>
          <w:p>
            <w:pPr>
              <w:rPr>
                <w:noProof/>
              </w:rPr>
            </w:pPr>
            <w:r>
              <w:rPr>
                <w:noProof/>
              </w:rPr>
              <w:t>European Agency for the operational management of large-scale IT systems in the area of freedom, security and justice</w:t>
            </w:r>
          </w:p>
        </w:tc>
      </w:tr>
      <w:tr>
        <w:tc>
          <w:tcPr>
            <w:tcW w:w="3227" w:type="dxa"/>
            <w:tcMar>
              <w:top w:w="85" w:type="dxa"/>
              <w:left w:w="57" w:type="dxa"/>
              <w:bottom w:w="85" w:type="dxa"/>
              <w:right w:w="57" w:type="dxa"/>
            </w:tcMar>
          </w:tcPr>
          <w:p>
            <w:pPr>
              <w:rPr>
                <w:noProof/>
              </w:rPr>
            </w:pPr>
            <w:r>
              <w:rPr>
                <w:noProof/>
              </w:rPr>
              <w:t>LSC</w:t>
            </w:r>
          </w:p>
        </w:tc>
        <w:tc>
          <w:tcPr>
            <w:tcW w:w="5607" w:type="dxa"/>
            <w:tcMar>
              <w:top w:w="85" w:type="dxa"/>
              <w:left w:w="57" w:type="dxa"/>
              <w:bottom w:w="85" w:type="dxa"/>
              <w:right w:w="57" w:type="dxa"/>
            </w:tcMar>
          </w:tcPr>
          <w:p>
            <w:pPr>
              <w:rPr>
                <w:noProof/>
              </w:rPr>
            </w:pPr>
            <w:r>
              <w:rPr>
                <w:noProof/>
              </w:rPr>
              <w:t>Local Schengen Cooperation (regular meetings of Member States' consuls in a certain location, chaired by EU Delegation)</w:t>
            </w:r>
          </w:p>
        </w:tc>
      </w:tr>
      <w:tr>
        <w:tc>
          <w:tcPr>
            <w:tcW w:w="3227" w:type="dxa"/>
            <w:tcMar>
              <w:top w:w="85" w:type="dxa"/>
              <w:left w:w="57" w:type="dxa"/>
              <w:bottom w:w="85" w:type="dxa"/>
              <w:right w:w="57" w:type="dxa"/>
            </w:tcMar>
          </w:tcPr>
          <w:p>
            <w:pPr>
              <w:rPr>
                <w:noProof/>
              </w:rPr>
            </w:pPr>
            <w:r>
              <w:rPr>
                <w:noProof/>
              </w:rPr>
              <w:t xml:space="preserve">MEV </w:t>
            </w:r>
          </w:p>
        </w:tc>
        <w:tc>
          <w:tcPr>
            <w:tcW w:w="5607" w:type="dxa"/>
            <w:tcMar>
              <w:top w:w="85" w:type="dxa"/>
              <w:left w:w="57" w:type="dxa"/>
              <w:bottom w:w="85" w:type="dxa"/>
              <w:right w:w="57" w:type="dxa"/>
            </w:tcMar>
          </w:tcPr>
          <w:p>
            <w:pPr>
              <w:rPr>
                <w:noProof/>
              </w:rPr>
            </w:pPr>
            <w:r>
              <w:rPr>
                <w:noProof/>
              </w:rPr>
              <w:t>multiple-entry visa (short-stay visa allowing for an unlimited number of entries to the Schengen area during its period of validity and respecting the overall maximum period of stay, i.e. 90 days in any 180-day period)</w:t>
            </w:r>
          </w:p>
        </w:tc>
      </w:tr>
      <w:tr>
        <w:tc>
          <w:tcPr>
            <w:tcW w:w="3227" w:type="dxa"/>
            <w:tcMar>
              <w:top w:w="85" w:type="dxa"/>
              <w:left w:w="57" w:type="dxa"/>
              <w:bottom w:w="85" w:type="dxa"/>
              <w:right w:w="57" w:type="dxa"/>
            </w:tcMar>
          </w:tcPr>
          <w:p>
            <w:pPr>
              <w:rPr>
                <w:noProof/>
              </w:rPr>
            </w:pPr>
            <w:r>
              <w:rPr>
                <w:noProof/>
              </w:rPr>
              <w:t>MEV cascade</w:t>
            </w:r>
          </w:p>
        </w:tc>
        <w:tc>
          <w:tcPr>
            <w:tcW w:w="5607" w:type="dxa"/>
            <w:tcMar>
              <w:top w:w="85" w:type="dxa"/>
              <w:left w:w="57" w:type="dxa"/>
              <w:bottom w:w="85" w:type="dxa"/>
              <w:right w:w="57" w:type="dxa"/>
            </w:tcMar>
          </w:tcPr>
          <w:p>
            <w:pPr>
              <w:rPr>
                <w:noProof/>
              </w:rPr>
            </w:pPr>
            <w:r>
              <w:rPr>
                <w:noProof/>
              </w:rPr>
              <w:t>agreed approach of how many previous visas/trips the applicant has to prove to qualify for a long-validity MEV and how the length of validity for each subsequent visa would increase</w:t>
            </w:r>
          </w:p>
        </w:tc>
      </w:tr>
      <w:tr>
        <w:tc>
          <w:tcPr>
            <w:tcW w:w="3227" w:type="dxa"/>
            <w:tcMar>
              <w:top w:w="85" w:type="dxa"/>
              <w:left w:w="57" w:type="dxa"/>
              <w:bottom w:w="85" w:type="dxa"/>
              <w:right w:w="57" w:type="dxa"/>
            </w:tcMar>
          </w:tcPr>
          <w:p>
            <w:pPr>
              <w:rPr>
                <w:noProof/>
              </w:rPr>
            </w:pPr>
            <w:r>
              <w:rPr>
                <w:noProof/>
              </w:rPr>
              <w:t>Schengen evaluation</w:t>
            </w:r>
          </w:p>
        </w:tc>
        <w:tc>
          <w:tcPr>
            <w:tcW w:w="5607" w:type="dxa"/>
            <w:tcMar>
              <w:top w:w="85" w:type="dxa"/>
              <w:left w:w="57" w:type="dxa"/>
              <w:bottom w:w="85" w:type="dxa"/>
              <w:right w:w="57" w:type="dxa"/>
            </w:tcMar>
          </w:tcPr>
          <w:p>
            <w:pPr>
              <w:rPr>
                <w:noProof/>
              </w:rPr>
            </w:pPr>
            <w:r>
              <w:rPr>
                <w:noProof/>
              </w:rPr>
              <w:t>periodical evaluations of Member States on the application of the Schengen acquis in the field of the common visa policy, in accordance with Council Regulation (EU) No 1053/2013</w:t>
            </w:r>
          </w:p>
        </w:tc>
      </w:tr>
      <w:tr>
        <w:tc>
          <w:tcPr>
            <w:tcW w:w="3227" w:type="dxa"/>
            <w:tcMar>
              <w:top w:w="85" w:type="dxa"/>
              <w:left w:w="57" w:type="dxa"/>
              <w:bottom w:w="85" w:type="dxa"/>
              <w:right w:w="57" w:type="dxa"/>
            </w:tcMar>
          </w:tcPr>
          <w:p>
            <w:pPr>
              <w:rPr>
                <w:noProof/>
              </w:rPr>
            </w:pPr>
            <w:r>
              <w:rPr>
                <w:noProof/>
              </w:rPr>
              <w:t xml:space="preserve">Schengen States </w:t>
            </w:r>
          </w:p>
        </w:tc>
        <w:tc>
          <w:tcPr>
            <w:tcW w:w="5607" w:type="dxa"/>
            <w:tcMar>
              <w:top w:w="85" w:type="dxa"/>
              <w:left w:w="57" w:type="dxa"/>
              <w:bottom w:w="85" w:type="dxa"/>
              <w:right w:w="57" w:type="dxa"/>
            </w:tcMar>
          </w:tcPr>
          <w:p>
            <w:pPr>
              <w:rPr>
                <w:noProof/>
              </w:rPr>
            </w:pPr>
            <w:r>
              <w:rPr>
                <w:noProof/>
              </w:rPr>
              <w:t>EU Member States applying the common visa policy in full (all EU Member States with the exception of Bulgaria, Croatia, Cyprus, Ireland, Romania and the United Kingdom)</w:t>
            </w:r>
            <w:r>
              <w:rPr>
                <w:noProof/>
                <w:lang w:val="x-none"/>
              </w:rPr>
              <w:t xml:space="preserve"> as well as the Schengen associated </w:t>
            </w:r>
            <w:r>
              <w:rPr>
                <w:noProof/>
              </w:rPr>
              <w:t>countries:</w:t>
            </w:r>
            <w:r>
              <w:rPr>
                <w:noProof/>
                <w:lang w:val="x-none"/>
              </w:rPr>
              <w:t xml:space="preserve"> Iceland, Liechtenstein, Norway and Switzerland</w:t>
            </w:r>
          </w:p>
        </w:tc>
      </w:tr>
      <w:tr>
        <w:tc>
          <w:tcPr>
            <w:tcW w:w="3227" w:type="dxa"/>
            <w:tcMar>
              <w:top w:w="85" w:type="dxa"/>
              <w:left w:w="57" w:type="dxa"/>
              <w:bottom w:w="85" w:type="dxa"/>
              <w:right w:w="57" w:type="dxa"/>
            </w:tcMar>
          </w:tcPr>
          <w:p>
            <w:pPr>
              <w:rPr>
                <w:noProof/>
              </w:rPr>
            </w:pPr>
            <w:r>
              <w:rPr>
                <w:noProof/>
              </w:rPr>
              <w:t>SEV</w:t>
            </w:r>
          </w:p>
        </w:tc>
        <w:tc>
          <w:tcPr>
            <w:tcW w:w="5607" w:type="dxa"/>
            <w:tcMar>
              <w:top w:w="85" w:type="dxa"/>
              <w:left w:w="57" w:type="dxa"/>
              <w:bottom w:w="85" w:type="dxa"/>
              <w:right w:w="57" w:type="dxa"/>
            </w:tcMar>
          </w:tcPr>
          <w:p>
            <w:pPr>
              <w:rPr>
                <w:noProof/>
              </w:rPr>
            </w:pPr>
            <w:r>
              <w:rPr>
                <w:noProof/>
              </w:rPr>
              <w:t>single-entry visa</w:t>
            </w:r>
          </w:p>
        </w:tc>
      </w:tr>
      <w:tr>
        <w:tc>
          <w:tcPr>
            <w:tcW w:w="3227" w:type="dxa"/>
            <w:tcMar>
              <w:top w:w="85" w:type="dxa"/>
              <w:left w:w="57" w:type="dxa"/>
              <w:bottom w:w="85" w:type="dxa"/>
              <w:right w:w="57" w:type="dxa"/>
            </w:tcMar>
          </w:tcPr>
          <w:p>
            <w:pPr>
              <w:rPr>
                <w:noProof/>
              </w:rPr>
            </w:pPr>
            <w:r>
              <w:rPr>
                <w:noProof/>
              </w:rPr>
              <w:t>service fee</w:t>
            </w:r>
          </w:p>
        </w:tc>
        <w:tc>
          <w:tcPr>
            <w:tcW w:w="5607" w:type="dxa"/>
            <w:tcMar>
              <w:top w:w="85" w:type="dxa"/>
              <w:left w:w="57" w:type="dxa"/>
              <w:bottom w:w="85" w:type="dxa"/>
              <w:right w:w="57" w:type="dxa"/>
            </w:tcMar>
          </w:tcPr>
          <w:p>
            <w:pPr>
              <w:rPr>
                <w:noProof/>
              </w:rPr>
            </w:pPr>
            <w:r>
              <w:rPr>
                <w:noProof/>
              </w:rPr>
              <w:t>fee paid to the ESP for collecting the application and biometric identifiers</w:t>
            </w:r>
          </w:p>
        </w:tc>
      </w:tr>
      <w:tr>
        <w:tc>
          <w:tcPr>
            <w:tcW w:w="3227" w:type="dxa"/>
            <w:tcMar>
              <w:top w:w="85" w:type="dxa"/>
              <w:left w:w="57" w:type="dxa"/>
              <w:bottom w:w="85" w:type="dxa"/>
              <w:right w:w="57" w:type="dxa"/>
            </w:tcMar>
          </w:tcPr>
          <w:p>
            <w:pPr>
              <w:rPr>
                <w:noProof/>
              </w:rPr>
            </w:pPr>
            <w:r>
              <w:rPr>
                <w:noProof/>
              </w:rPr>
              <w:t>SIS</w:t>
            </w:r>
          </w:p>
        </w:tc>
        <w:tc>
          <w:tcPr>
            <w:tcW w:w="5607" w:type="dxa"/>
            <w:tcMar>
              <w:top w:w="85" w:type="dxa"/>
              <w:left w:w="57" w:type="dxa"/>
              <w:bottom w:w="85" w:type="dxa"/>
              <w:right w:w="57" w:type="dxa"/>
            </w:tcMar>
          </w:tcPr>
          <w:p>
            <w:pPr>
              <w:rPr>
                <w:noProof/>
              </w:rPr>
            </w:pPr>
            <w:r>
              <w:rPr>
                <w:noProof/>
              </w:rPr>
              <w:t>Schengen Information System</w:t>
            </w:r>
          </w:p>
        </w:tc>
      </w:tr>
      <w:tr>
        <w:tc>
          <w:tcPr>
            <w:tcW w:w="3227" w:type="dxa"/>
            <w:tcMar>
              <w:top w:w="85" w:type="dxa"/>
              <w:left w:w="57" w:type="dxa"/>
              <w:bottom w:w="85" w:type="dxa"/>
              <w:right w:w="57" w:type="dxa"/>
            </w:tcMar>
          </w:tcPr>
          <w:p>
            <w:pPr>
              <w:rPr>
                <w:noProof/>
              </w:rPr>
            </w:pPr>
            <w:r>
              <w:rPr>
                <w:noProof/>
              </w:rPr>
              <w:t>TCN</w:t>
            </w:r>
          </w:p>
        </w:tc>
        <w:tc>
          <w:tcPr>
            <w:tcW w:w="5607" w:type="dxa"/>
            <w:tcMar>
              <w:top w:w="85" w:type="dxa"/>
              <w:left w:w="57" w:type="dxa"/>
              <w:bottom w:w="85" w:type="dxa"/>
              <w:right w:w="57" w:type="dxa"/>
            </w:tcMar>
          </w:tcPr>
          <w:p>
            <w:pPr>
              <w:rPr>
                <w:noProof/>
              </w:rPr>
            </w:pPr>
            <w:r>
              <w:rPr>
                <w:noProof/>
              </w:rPr>
              <w:t xml:space="preserve">third-country national </w:t>
            </w:r>
          </w:p>
        </w:tc>
      </w:tr>
      <w:tr>
        <w:tc>
          <w:tcPr>
            <w:tcW w:w="3227" w:type="dxa"/>
            <w:tcMar>
              <w:top w:w="85" w:type="dxa"/>
              <w:left w:w="57" w:type="dxa"/>
              <w:bottom w:w="85" w:type="dxa"/>
              <w:right w:w="57" w:type="dxa"/>
            </w:tcMar>
          </w:tcPr>
          <w:p>
            <w:pPr>
              <w:rPr>
                <w:noProof/>
              </w:rPr>
            </w:pPr>
            <w:r>
              <w:rPr>
                <w:noProof/>
              </w:rPr>
              <w:t>TFEU</w:t>
            </w:r>
          </w:p>
        </w:tc>
        <w:tc>
          <w:tcPr>
            <w:tcW w:w="5607" w:type="dxa"/>
            <w:tcMar>
              <w:top w:w="85" w:type="dxa"/>
              <w:left w:w="57" w:type="dxa"/>
              <w:bottom w:w="85" w:type="dxa"/>
              <w:right w:w="57" w:type="dxa"/>
            </w:tcMar>
          </w:tcPr>
          <w:p>
            <w:pPr>
              <w:rPr>
                <w:noProof/>
              </w:rPr>
            </w:pPr>
            <w:r>
              <w:rPr>
                <w:noProof/>
              </w:rPr>
              <w:t>Treaty on the Functioning of the European Union</w:t>
            </w:r>
          </w:p>
        </w:tc>
      </w:tr>
      <w:tr>
        <w:tc>
          <w:tcPr>
            <w:tcW w:w="3227" w:type="dxa"/>
            <w:tcMar>
              <w:top w:w="85" w:type="dxa"/>
              <w:left w:w="57" w:type="dxa"/>
              <w:bottom w:w="85" w:type="dxa"/>
              <w:right w:w="57" w:type="dxa"/>
            </w:tcMar>
          </w:tcPr>
          <w:p>
            <w:pPr>
              <w:rPr>
                <w:noProof/>
              </w:rPr>
            </w:pPr>
            <w:r>
              <w:rPr>
                <w:noProof/>
              </w:rPr>
              <w:t>VAC</w:t>
            </w:r>
          </w:p>
        </w:tc>
        <w:tc>
          <w:tcPr>
            <w:tcW w:w="5607" w:type="dxa"/>
            <w:tcMar>
              <w:top w:w="85" w:type="dxa"/>
              <w:left w:w="57" w:type="dxa"/>
              <w:bottom w:w="85" w:type="dxa"/>
              <w:right w:w="57" w:type="dxa"/>
            </w:tcMar>
          </w:tcPr>
          <w:p>
            <w:pPr>
              <w:rPr>
                <w:noProof/>
              </w:rPr>
            </w:pPr>
            <w:r>
              <w:rPr>
                <w:noProof/>
              </w:rPr>
              <w:t>visa application centre (operated by an ESP)</w:t>
            </w:r>
          </w:p>
        </w:tc>
      </w:tr>
      <w:tr>
        <w:tc>
          <w:tcPr>
            <w:tcW w:w="3227" w:type="dxa"/>
            <w:tcMar>
              <w:top w:w="85" w:type="dxa"/>
              <w:left w:w="57" w:type="dxa"/>
              <w:bottom w:w="85" w:type="dxa"/>
              <w:right w:w="57" w:type="dxa"/>
            </w:tcMar>
          </w:tcPr>
          <w:p>
            <w:pPr>
              <w:rPr>
                <w:noProof/>
              </w:rPr>
            </w:pPr>
            <w:r>
              <w:rPr>
                <w:noProof/>
              </w:rPr>
              <w:t>VFA</w:t>
            </w:r>
          </w:p>
        </w:tc>
        <w:tc>
          <w:tcPr>
            <w:tcW w:w="5607" w:type="dxa"/>
            <w:tcMar>
              <w:top w:w="85" w:type="dxa"/>
              <w:left w:w="57" w:type="dxa"/>
              <w:bottom w:w="85" w:type="dxa"/>
              <w:right w:w="57" w:type="dxa"/>
            </w:tcMar>
          </w:tcPr>
          <w:p>
            <w:pPr>
              <w:rPr>
                <w:noProof/>
              </w:rPr>
            </w:pPr>
            <w:r>
              <w:rPr>
                <w:noProof/>
              </w:rPr>
              <w:t>Visa Facilitation Agreement</w:t>
            </w:r>
          </w:p>
        </w:tc>
      </w:tr>
      <w:tr>
        <w:tc>
          <w:tcPr>
            <w:tcW w:w="3227" w:type="dxa"/>
            <w:tcMar>
              <w:top w:w="85" w:type="dxa"/>
              <w:left w:w="57" w:type="dxa"/>
              <w:bottom w:w="85" w:type="dxa"/>
              <w:right w:w="57" w:type="dxa"/>
            </w:tcMar>
          </w:tcPr>
          <w:p>
            <w:pPr>
              <w:rPr>
                <w:noProof/>
              </w:rPr>
            </w:pPr>
            <w:r>
              <w:rPr>
                <w:noProof/>
              </w:rPr>
              <w:t>VIS</w:t>
            </w:r>
          </w:p>
        </w:tc>
        <w:tc>
          <w:tcPr>
            <w:tcW w:w="5607" w:type="dxa"/>
            <w:tcMar>
              <w:top w:w="85" w:type="dxa"/>
              <w:left w:w="57" w:type="dxa"/>
              <w:bottom w:w="85" w:type="dxa"/>
              <w:right w:w="57" w:type="dxa"/>
            </w:tcMar>
          </w:tcPr>
          <w:p>
            <w:pPr>
              <w:rPr>
                <w:noProof/>
              </w:rPr>
            </w:pPr>
            <w:r>
              <w:rPr>
                <w:noProof/>
              </w:rPr>
              <w:t>Visa Information System (database of all visa applications and decisions on those applications, including photograph and fingerprints of applicants)</w:t>
            </w:r>
          </w:p>
        </w:tc>
      </w:tr>
      <w:tr>
        <w:tc>
          <w:tcPr>
            <w:tcW w:w="3227" w:type="dxa"/>
            <w:tcMar>
              <w:top w:w="85" w:type="dxa"/>
              <w:left w:w="57" w:type="dxa"/>
              <w:bottom w:w="85" w:type="dxa"/>
              <w:right w:w="57" w:type="dxa"/>
            </w:tcMar>
          </w:tcPr>
          <w:p>
            <w:pPr>
              <w:rPr>
                <w:noProof/>
              </w:rPr>
            </w:pPr>
            <w:r>
              <w:rPr>
                <w:noProof/>
              </w:rPr>
              <w:t>visa</w:t>
            </w:r>
          </w:p>
        </w:tc>
        <w:tc>
          <w:tcPr>
            <w:tcW w:w="5607" w:type="dxa"/>
            <w:tcMar>
              <w:top w:w="85" w:type="dxa"/>
              <w:left w:w="57" w:type="dxa"/>
              <w:bottom w:w="85" w:type="dxa"/>
              <w:right w:w="57" w:type="dxa"/>
            </w:tcMar>
          </w:tcPr>
          <w:p>
            <w:pPr>
              <w:rPr>
                <w:noProof/>
              </w:rPr>
            </w:pPr>
            <w:r>
              <w:rPr>
                <w:noProof/>
              </w:rPr>
              <w:t>short-stay visa as defined in Article 2 (2)(a) of the Visa Code (authorising its holder to stay in the Schengen area for up to 90 days within any 180-day period)</w:t>
            </w:r>
          </w:p>
        </w:tc>
      </w:tr>
      <w:tr>
        <w:tc>
          <w:tcPr>
            <w:tcW w:w="3227" w:type="dxa"/>
            <w:tcMar>
              <w:top w:w="85" w:type="dxa"/>
              <w:left w:w="57" w:type="dxa"/>
              <w:bottom w:w="85" w:type="dxa"/>
              <w:right w:w="57" w:type="dxa"/>
            </w:tcMar>
          </w:tcPr>
          <w:p>
            <w:pPr>
              <w:rPr>
                <w:noProof/>
              </w:rPr>
            </w:pPr>
            <w:r>
              <w:rPr>
                <w:noProof/>
              </w:rPr>
              <w:t>visa fee</w:t>
            </w:r>
          </w:p>
        </w:tc>
        <w:tc>
          <w:tcPr>
            <w:tcW w:w="5607" w:type="dxa"/>
            <w:tcMar>
              <w:top w:w="85" w:type="dxa"/>
              <w:left w:w="57" w:type="dxa"/>
              <w:bottom w:w="85" w:type="dxa"/>
              <w:right w:w="57" w:type="dxa"/>
            </w:tcMar>
          </w:tcPr>
          <w:p>
            <w:pPr>
              <w:rPr>
                <w:noProof/>
              </w:rPr>
            </w:pPr>
            <w:r>
              <w:rPr>
                <w:noProof/>
              </w:rPr>
              <w:t>fee paid to the consulate for processing the visa application</w:t>
            </w:r>
          </w:p>
        </w:tc>
      </w:tr>
      <w:tr>
        <w:tc>
          <w:tcPr>
            <w:tcW w:w="3227" w:type="dxa"/>
            <w:tcMar>
              <w:top w:w="85" w:type="dxa"/>
              <w:left w:w="57" w:type="dxa"/>
              <w:bottom w:w="85" w:type="dxa"/>
              <w:right w:w="57" w:type="dxa"/>
            </w:tcMar>
          </w:tcPr>
          <w:p>
            <w:pPr>
              <w:rPr>
                <w:noProof/>
              </w:rPr>
            </w:pPr>
            <w:r>
              <w:rPr>
                <w:noProof/>
              </w:rPr>
              <w:t>VIS Regulation</w:t>
            </w:r>
          </w:p>
        </w:tc>
        <w:tc>
          <w:tcPr>
            <w:tcW w:w="5607" w:type="dxa"/>
            <w:tcMar>
              <w:top w:w="85" w:type="dxa"/>
              <w:left w:w="57" w:type="dxa"/>
              <w:bottom w:w="85" w:type="dxa"/>
              <w:right w:w="57" w:type="dxa"/>
            </w:tcMar>
          </w:tcPr>
          <w:p>
            <w:pPr>
              <w:rPr>
                <w:noProof/>
              </w:rPr>
            </w:pPr>
            <w:r>
              <w:rPr>
                <w:noProof/>
              </w:rPr>
              <w:t>Regulation (EC) No 767/2008 of the European Parliament and the Council of 9 July 2008 concerning the Visa Information System (VIS) and the exchange of data between Member States on short-stay visas (VIS Regulation)</w:t>
            </w:r>
          </w:p>
        </w:tc>
      </w:tr>
      <w:tr>
        <w:tc>
          <w:tcPr>
            <w:tcW w:w="3227" w:type="dxa"/>
            <w:tcMar>
              <w:top w:w="85" w:type="dxa"/>
              <w:left w:w="57" w:type="dxa"/>
              <w:bottom w:w="85" w:type="dxa"/>
              <w:right w:w="57" w:type="dxa"/>
            </w:tcMar>
          </w:tcPr>
          <w:p>
            <w:pPr>
              <w:rPr>
                <w:noProof/>
              </w:rPr>
            </w:pPr>
            <w:r>
              <w:rPr>
                <w:noProof/>
              </w:rPr>
              <w:t>Visa Code</w:t>
            </w:r>
          </w:p>
        </w:tc>
        <w:tc>
          <w:tcPr>
            <w:tcW w:w="5607" w:type="dxa"/>
            <w:tcMar>
              <w:top w:w="85" w:type="dxa"/>
              <w:left w:w="57" w:type="dxa"/>
              <w:bottom w:w="85" w:type="dxa"/>
              <w:right w:w="57" w:type="dxa"/>
            </w:tcMar>
          </w:tcPr>
          <w:p>
            <w:pPr>
              <w:rPr>
                <w:noProof/>
              </w:rPr>
            </w:pPr>
            <w:r>
              <w:rPr>
                <w:noProof/>
              </w:rPr>
              <w:t>Regulation (EC) No 810/2009 of the European Parliament and the Council of 13 July 2009 establishing a Community Code on Visas (Visa Code)</w:t>
            </w:r>
          </w:p>
        </w:tc>
      </w:tr>
      <w:tr>
        <w:tc>
          <w:tcPr>
            <w:tcW w:w="3227" w:type="dxa"/>
            <w:tcMar>
              <w:top w:w="85" w:type="dxa"/>
              <w:left w:w="57" w:type="dxa"/>
              <w:bottom w:w="85" w:type="dxa"/>
              <w:right w:w="57" w:type="dxa"/>
            </w:tcMar>
          </w:tcPr>
          <w:p>
            <w:pPr>
              <w:rPr>
                <w:noProof/>
              </w:rPr>
            </w:pPr>
            <w:r>
              <w:rPr>
                <w:noProof/>
              </w:rPr>
              <w:t>Visa Code recast proposal</w:t>
            </w:r>
          </w:p>
        </w:tc>
        <w:tc>
          <w:tcPr>
            <w:tcW w:w="5607" w:type="dxa"/>
            <w:tcMar>
              <w:top w:w="85" w:type="dxa"/>
              <w:left w:w="57" w:type="dxa"/>
              <w:bottom w:w="85" w:type="dxa"/>
              <w:right w:w="57" w:type="dxa"/>
            </w:tcMar>
          </w:tcPr>
          <w:p>
            <w:pPr>
              <w:rPr>
                <w:noProof/>
              </w:rPr>
            </w:pPr>
            <w:r>
              <w:rPr>
                <w:noProof/>
              </w:rPr>
              <w:t>2014 proposal to recast the Visa Code (COM(2014) 164 final)</w:t>
            </w:r>
          </w:p>
        </w:tc>
      </w:tr>
      <w:tr>
        <w:tc>
          <w:tcPr>
            <w:tcW w:w="3227" w:type="dxa"/>
            <w:tcMar>
              <w:top w:w="85" w:type="dxa"/>
              <w:left w:w="57" w:type="dxa"/>
              <w:bottom w:w="85" w:type="dxa"/>
              <w:right w:w="57" w:type="dxa"/>
            </w:tcMar>
          </w:tcPr>
          <w:p>
            <w:pPr>
              <w:rPr>
                <w:noProof/>
              </w:rPr>
            </w:pPr>
            <w:r>
              <w:rPr>
                <w:noProof/>
              </w:rPr>
              <w:t>Visa Regulation</w:t>
            </w:r>
          </w:p>
        </w:tc>
        <w:tc>
          <w:tcPr>
            <w:tcW w:w="5607" w:type="dxa"/>
            <w:tcMar>
              <w:top w:w="85" w:type="dxa"/>
              <w:left w:w="57" w:type="dxa"/>
              <w:bottom w:w="85" w:type="dxa"/>
              <w:right w:w="57" w:type="dxa"/>
            </w:tcMar>
          </w:tcPr>
          <w:p>
            <w:pPr>
              <w:rPr>
                <w:noProof/>
              </w:rPr>
            </w:pPr>
            <w:r>
              <w:rPr>
                <w:noProof/>
              </w:rPr>
              <w:t>Council Regulation (EC) No 539/2001 of 15 March 2001 listing the third countries whose nationals must be in possession of visas when crossing the external borders and those whose nationals are exempt from that requirement</w:t>
            </w:r>
          </w:p>
        </w:tc>
      </w:tr>
      <w:tr>
        <w:tc>
          <w:tcPr>
            <w:tcW w:w="3227" w:type="dxa"/>
            <w:tcMar>
              <w:top w:w="85" w:type="dxa"/>
              <w:left w:w="57" w:type="dxa"/>
              <w:bottom w:w="85" w:type="dxa"/>
              <w:right w:w="57" w:type="dxa"/>
            </w:tcMar>
          </w:tcPr>
          <w:p>
            <w:pPr>
              <w:rPr>
                <w:noProof/>
              </w:rPr>
            </w:pPr>
            <w:r>
              <w:rPr>
                <w:noProof/>
              </w:rPr>
              <w:t>VWA</w:t>
            </w:r>
          </w:p>
        </w:tc>
        <w:tc>
          <w:tcPr>
            <w:tcW w:w="5607" w:type="dxa"/>
            <w:tcMar>
              <w:top w:w="85" w:type="dxa"/>
              <w:left w:w="57" w:type="dxa"/>
              <w:bottom w:w="85" w:type="dxa"/>
              <w:right w:w="57" w:type="dxa"/>
            </w:tcMar>
          </w:tcPr>
          <w:p>
            <w:pPr>
              <w:rPr>
                <w:noProof/>
              </w:rPr>
            </w:pPr>
            <w:r>
              <w:rPr>
                <w:noProof/>
              </w:rPr>
              <w:t>Visa Waiver Agreement</w:t>
            </w:r>
          </w:p>
        </w:tc>
      </w:tr>
      <w:tr>
        <w:tc>
          <w:tcPr>
            <w:tcW w:w="3227" w:type="dxa"/>
            <w:tcMar>
              <w:top w:w="85" w:type="dxa"/>
              <w:left w:w="57" w:type="dxa"/>
              <w:bottom w:w="85" w:type="dxa"/>
              <w:right w:w="57" w:type="dxa"/>
            </w:tcMar>
          </w:tcPr>
          <w:p>
            <w:pPr>
              <w:rPr>
                <w:noProof/>
              </w:rPr>
            </w:pPr>
            <w:r>
              <w:rPr>
                <w:noProof/>
              </w:rPr>
              <w:t>2014 Impact Assessment</w:t>
            </w:r>
          </w:p>
        </w:tc>
        <w:tc>
          <w:tcPr>
            <w:tcW w:w="5607" w:type="dxa"/>
            <w:tcMar>
              <w:top w:w="85" w:type="dxa"/>
              <w:left w:w="57" w:type="dxa"/>
              <w:bottom w:w="85" w:type="dxa"/>
              <w:right w:w="57" w:type="dxa"/>
            </w:tcMar>
          </w:tcPr>
          <w:p>
            <w:pPr>
              <w:rPr>
                <w:noProof/>
              </w:rPr>
            </w:pPr>
            <w:r>
              <w:rPr>
                <w:noProof/>
              </w:rPr>
              <w:t>Impact Assessment accompanying the Visa Code recast proposal (SWD(2014) 68 final)</w:t>
            </w:r>
          </w:p>
        </w:tc>
      </w:tr>
    </w:tbl>
    <w:p>
      <w:pPr>
        <w:rPr>
          <w:noProof/>
        </w:rPr>
      </w:pPr>
    </w:p>
    <w:p>
      <w:pPr>
        <w:rPr>
          <w:noProof/>
        </w:rPr>
      </w:pPr>
      <w:r>
        <w:rPr>
          <w:noProof/>
        </w:rPr>
        <w:br w:type="page"/>
      </w:r>
    </w:p>
    <w:p>
      <w:pPr>
        <w:pStyle w:val="Heading1"/>
        <w:rPr>
          <w:noProof/>
        </w:rPr>
      </w:pPr>
      <w:bookmarkStart w:id="2" w:name="_Toc507148452"/>
      <w:r>
        <w:rPr>
          <w:noProof/>
        </w:rPr>
        <w:t>Introduction: Political and legal context</w:t>
      </w:r>
      <w:bookmarkEnd w:id="2"/>
    </w:p>
    <w:p>
      <w:pPr>
        <w:pStyle w:val="Heading2"/>
        <w:tabs>
          <w:tab w:val="clear" w:pos="1200"/>
          <w:tab w:val="num" w:pos="850"/>
        </w:tabs>
        <w:spacing w:before="120" w:after="120"/>
        <w:ind w:left="850" w:hanging="850"/>
        <w:rPr>
          <w:noProof/>
          <w:szCs w:val="24"/>
        </w:rPr>
      </w:pPr>
      <w:bookmarkStart w:id="3" w:name="_Toc507148453"/>
      <w:r>
        <w:rPr>
          <w:noProof/>
          <w:szCs w:val="24"/>
        </w:rPr>
        <w:t>EU common visa policy</w:t>
      </w:r>
      <w:bookmarkEnd w:id="3"/>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The abolition of checks at internal borders of the states forming part of the </w:t>
      </w:r>
      <w:r>
        <w:rPr>
          <w:rFonts w:ascii="Times New Roman" w:hAnsi="Times New Roman"/>
          <w:b/>
          <w:noProof/>
          <w:sz w:val="24"/>
          <w:szCs w:val="24"/>
        </w:rPr>
        <w:t>Schengen area</w:t>
      </w:r>
      <w:r>
        <w:rPr>
          <w:rFonts w:ascii="Times New Roman" w:hAnsi="Times New Roman"/>
          <w:noProof/>
          <w:sz w:val="24"/>
          <w:szCs w:val="24"/>
        </w:rPr>
        <w:t xml:space="preserve"> is one of the most valued achievements of EU integration. The</w:t>
      </w:r>
      <w:r>
        <w:rPr>
          <w:rFonts w:ascii="Times New Roman" w:hAnsi="Times New Roman"/>
          <w:noProof/>
          <w:sz w:val="24"/>
          <w:szCs w:val="24"/>
          <w:lang w:eastAsia="en-GB"/>
        </w:rPr>
        <w:t xml:space="preserve"> common visa policy for short-stay visas </w:t>
      </w:r>
      <w:r>
        <w:rPr>
          <w:rFonts w:ascii="Times New Roman" w:hAnsi="Times New Roman"/>
          <w:noProof/>
          <w:sz w:val="24"/>
          <w:szCs w:val="24"/>
        </w:rPr>
        <w:t xml:space="preserve">is one of the Schengen area's </w:t>
      </w:r>
      <w:r>
        <w:rPr>
          <w:rFonts w:ascii="Times New Roman" w:hAnsi="Times New Roman"/>
          <w:b/>
          <w:noProof/>
          <w:sz w:val="24"/>
          <w:szCs w:val="24"/>
        </w:rPr>
        <w:t>"flanking measures"</w:t>
      </w:r>
      <w:r>
        <w:rPr>
          <w:rFonts w:ascii="Times New Roman" w:hAnsi="Times New Roman"/>
          <w:noProof/>
          <w:sz w:val="24"/>
          <w:szCs w:val="24"/>
        </w:rPr>
        <w:t xml:space="preserve"> (together with the harmonisation of the external border controls, enhanced cross-border police cooperation, and the creation of the Schengen Information System (SIS)) accompanying the establishment of a common area without checks at internal borders</w:t>
      </w:r>
      <w:r>
        <w:rPr>
          <w:rFonts w:ascii="Times New Roman" w:hAnsi="Times New Roman"/>
          <w:noProof/>
          <w:sz w:val="24"/>
          <w:szCs w:val="24"/>
          <w:lang w:eastAsia="en-GB"/>
        </w:rPr>
        <w:t>.</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lang w:eastAsia="en-GB"/>
        </w:rPr>
        <w:t>The visa policy serves various objectives, in particular</w:t>
      </w:r>
      <w:r>
        <w:rPr>
          <w:rFonts w:ascii="Times New Roman" w:hAnsi="Times New Roman"/>
          <w:b/>
          <w:noProof/>
          <w:sz w:val="24"/>
          <w:szCs w:val="24"/>
          <w:lang w:eastAsia="en-GB"/>
        </w:rPr>
        <w:t xml:space="preserve"> preventing irregular immigration </w:t>
      </w:r>
      <w:r>
        <w:rPr>
          <w:rFonts w:ascii="Times New Roman" w:hAnsi="Times New Roman"/>
          <w:noProof/>
          <w:sz w:val="24"/>
          <w:szCs w:val="24"/>
          <w:lang w:eastAsia="en-GB"/>
        </w:rPr>
        <w:t>as well as</w:t>
      </w:r>
      <w:r>
        <w:rPr>
          <w:rFonts w:ascii="Times New Roman" w:hAnsi="Times New Roman"/>
          <w:b/>
          <w:noProof/>
          <w:sz w:val="24"/>
          <w:szCs w:val="24"/>
          <w:lang w:eastAsia="en-GB"/>
        </w:rPr>
        <w:t xml:space="preserve"> safeguarding public order and security</w:t>
      </w:r>
      <w:r>
        <w:rPr>
          <w:rFonts w:ascii="Times New Roman" w:hAnsi="Times New Roman"/>
          <w:noProof/>
          <w:sz w:val="24"/>
          <w:szCs w:val="24"/>
          <w:lang w:eastAsia="en-GB"/>
        </w:rPr>
        <w:t xml:space="preserve">. In general a </w:t>
      </w:r>
      <w:r>
        <w:rPr>
          <w:rFonts w:ascii="Times New Roman" w:hAnsi="Times New Roman"/>
          <w:b/>
          <w:noProof/>
          <w:sz w:val="24"/>
          <w:szCs w:val="24"/>
          <w:lang w:eastAsia="en-GB"/>
        </w:rPr>
        <w:t>visa requirement</w:t>
      </w:r>
      <w:r>
        <w:rPr>
          <w:rFonts w:ascii="Times New Roman" w:hAnsi="Times New Roman"/>
          <w:noProof/>
          <w:sz w:val="24"/>
          <w:szCs w:val="24"/>
          <w:lang w:eastAsia="en-GB"/>
        </w:rPr>
        <w:t xml:space="preserve"> is accepted worldwide as a tool for countries (or groups of countries such as the EU) to tackle different kinds of migration and security risks. That is the reason why the EU will maintain visa requirements for citizens of a number of third countries.</w:t>
      </w:r>
      <w:r>
        <w:rPr>
          <w:rFonts w:ascii="Times New Roman" w:hAnsi="Times New Roman"/>
          <w:noProof/>
          <w:sz w:val="24"/>
          <w:szCs w:val="24"/>
        </w:rPr>
        <w:t xml:space="preserve"> </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At the same time the visa policy also aims at </w:t>
      </w:r>
      <w:r>
        <w:rPr>
          <w:rFonts w:ascii="Times New Roman" w:hAnsi="Times New Roman"/>
          <w:b/>
          <w:noProof/>
          <w:sz w:val="24"/>
          <w:szCs w:val="24"/>
        </w:rPr>
        <w:t>facilitating travel to the EU for legitimate  and bona fide travellers</w:t>
      </w:r>
      <w:r>
        <w:rPr>
          <w:rFonts w:ascii="Times New Roman" w:hAnsi="Times New Roman"/>
          <w:noProof/>
          <w:sz w:val="24"/>
          <w:szCs w:val="24"/>
        </w:rPr>
        <w:t>, notably by exempting nationals of countries with lower migratory or security risks from the visa requirement and by easing visa procedures wherever possible. In that respect the visa policy also plays a role in supporting tourism and trade, and thus boosting growth in the EU.</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The common visa policy is a set of </w:t>
      </w:r>
      <w:r>
        <w:rPr>
          <w:rFonts w:ascii="Times New Roman" w:hAnsi="Times New Roman"/>
          <w:b/>
          <w:noProof/>
          <w:sz w:val="24"/>
          <w:szCs w:val="24"/>
        </w:rPr>
        <w:t>harmonised rules</w:t>
      </w:r>
      <w:r>
        <w:rPr>
          <w:rFonts w:ascii="Times New Roman" w:hAnsi="Times New Roman"/>
          <w:noProof/>
          <w:sz w:val="24"/>
          <w:szCs w:val="24"/>
        </w:rPr>
        <w:t xml:space="preserve"> governing different aspects</w:t>
      </w:r>
      <w:r>
        <w:rPr>
          <w:rStyle w:val="FootnoteReference"/>
          <w:rFonts w:ascii="Times New Roman" w:hAnsi="Times New Roman"/>
          <w:noProof/>
          <w:sz w:val="24"/>
          <w:szCs w:val="24"/>
        </w:rPr>
        <w:footnoteReference w:id="2"/>
      </w:r>
      <w:r>
        <w:rPr>
          <w:rFonts w:ascii="Times New Roman" w:hAnsi="Times New Roman"/>
          <w:noProof/>
          <w:sz w:val="24"/>
          <w:szCs w:val="24"/>
        </w:rPr>
        <w:t>:</w:t>
      </w:r>
    </w:p>
    <w:p>
      <w:pPr>
        <w:pStyle w:val="ListParagraph"/>
        <w:numPr>
          <w:ilvl w:val="0"/>
          <w:numId w:val="7"/>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the Visa Regulation (539/2001) laying down the common </w:t>
      </w:r>
      <w:r>
        <w:rPr>
          <w:rFonts w:ascii="Times New Roman" w:hAnsi="Times New Roman"/>
          <w:b/>
          <w:noProof/>
          <w:sz w:val="24"/>
          <w:szCs w:val="24"/>
        </w:rPr>
        <w:t>"visa lists"</w:t>
      </w:r>
      <w:r>
        <w:rPr>
          <w:rFonts w:ascii="Times New Roman" w:hAnsi="Times New Roman"/>
          <w:noProof/>
          <w:sz w:val="24"/>
          <w:szCs w:val="24"/>
        </w:rPr>
        <w:t xml:space="preserve"> of countries whose nationals require a visa to travel to the EU and those who are exempt from that requirement;</w:t>
      </w:r>
    </w:p>
    <w:p>
      <w:pPr>
        <w:pStyle w:val="ListParagraph"/>
        <w:numPr>
          <w:ilvl w:val="0"/>
          <w:numId w:val="7"/>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the Visa Code (Regulation 810/2009) establishing the </w:t>
      </w:r>
      <w:r>
        <w:rPr>
          <w:rFonts w:ascii="Times New Roman" w:hAnsi="Times New Roman"/>
          <w:b/>
          <w:noProof/>
          <w:sz w:val="24"/>
          <w:szCs w:val="24"/>
        </w:rPr>
        <w:t>procedures and conditions</w:t>
      </w:r>
      <w:r>
        <w:rPr>
          <w:rFonts w:ascii="Times New Roman" w:hAnsi="Times New Roman"/>
          <w:noProof/>
          <w:sz w:val="24"/>
          <w:szCs w:val="24"/>
        </w:rPr>
        <w:t xml:space="preserve"> for issuing short-stay visas;</w:t>
      </w:r>
    </w:p>
    <w:p>
      <w:pPr>
        <w:pStyle w:val="ListParagraph"/>
        <w:numPr>
          <w:ilvl w:val="0"/>
          <w:numId w:val="7"/>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Regulation 1683/95 laying down a uniform format for the </w:t>
      </w:r>
      <w:r>
        <w:rPr>
          <w:rFonts w:ascii="Times New Roman" w:hAnsi="Times New Roman"/>
          <w:b/>
          <w:noProof/>
          <w:sz w:val="24"/>
          <w:szCs w:val="24"/>
        </w:rPr>
        <w:t>visa sticker</w:t>
      </w:r>
      <w:r>
        <w:rPr>
          <w:rFonts w:ascii="Times New Roman" w:hAnsi="Times New Roman"/>
          <w:noProof/>
          <w:sz w:val="24"/>
          <w:szCs w:val="24"/>
        </w:rPr>
        <w:t xml:space="preserve">; and </w:t>
      </w:r>
    </w:p>
    <w:p>
      <w:pPr>
        <w:pStyle w:val="ListParagraph"/>
        <w:numPr>
          <w:ilvl w:val="0"/>
          <w:numId w:val="7"/>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the VIS Regulation (767/2008) setting up the </w:t>
      </w:r>
      <w:r>
        <w:rPr>
          <w:rFonts w:ascii="Times New Roman" w:hAnsi="Times New Roman"/>
          <w:b/>
          <w:noProof/>
          <w:sz w:val="24"/>
          <w:szCs w:val="24"/>
        </w:rPr>
        <w:t>Visa Information System</w:t>
      </w:r>
      <w:r>
        <w:rPr>
          <w:rFonts w:ascii="Times New Roman" w:hAnsi="Times New Roman"/>
          <w:noProof/>
          <w:sz w:val="24"/>
          <w:szCs w:val="24"/>
        </w:rPr>
        <w:t xml:space="preserve"> (VIS), in which all visa applications and Member States' decisions are recorded, including applicants personal data, photographs and fingerprints.</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Moreover the EU has concluded a number of Visa Facilitation Agreements (VFA) and Visa Waiver Agreements (VWA) with third countries which implement or derogate from those common rules.  </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This set of rules allows the Schengen States to </w:t>
      </w:r>
      <w:r>
        <w:rPr>
          <w:rFonts w:ascii="Times New Roman" w:hAnsi="Times New Roman"/>
          <w:b/>
          <w:noProof/>
          <w:sz w:val="24"/>
          <w:szCs w:val="24"/>
        </w:rPr>
        <w:t>mutually recognise</w:t>
      </w:r>
      <w:r>
        <w:rPr>
          <w:rFonts w:ascii="Times New Roman" w:hAnsi="Times New Roman"/>
          <w:noProof/>
          <w:sz w:val="24"/>
          <w:szCs w:val="24"/>
        </w:rPr>
        <w:t xml:space="preserve"> visas issued by each of them. The decision to issue a visa is a decision taken by national authorities, which should take into account not only their own interest but that of all Schengen States. Therefore, the holder of a visa issued by Schengen States' individual consulates, as a general rule, is entitled to </w:t>
      </w:r>
      <w:r>
        <w:rPr>
          <w:rFonts w:ascii="Times New Roman" w:hAnsi="Times New Roman"/>
          <w:b/>
          <w:noProof/>
          <w:sz w:val="24"/>
          <w:szCs w:val="24"/>
        </w:rPr>
        <w:t>circulate in the entire Schengen area</w:t>
      </w:r>
      <w:r>
        <w:rPr>
          <w:rFonts w:ascii="Times New Roman" w:hAnsi="Times New Roman"/>
          <w:noProof/>
          <w:sz w:val="24"/>
          <w:szCs w:val="24"/>
        </w:rPr>
        <w:t xml:space="preserve">. </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Visas are in principle not issued at the external borders or within the Schengen area but visa applications have to be lodged before travelling to the EU at one of the Member States' </w:t>
      </w:r>
      <w:r>
        <w:rPr>
          <w:rFonts w:ascii="Times New Roman" w:hAnsi="Times New Roman"/>
          <w:b/>
          <w:noProof/>
          <w:sz w:val="24"/>
          <w:szCs w:val="24"/>
        </w:rPr>
        <w:t>consulates in third countries</w:t>
      </w:r>
      <w:r>
        <w:rPr>
          <w:rFonts w:ascii="Times New Roman" w:hAnsi="Times New Roman"/>
          <w:noProof/>
          <w:sz w:val="24"/>
          <w:szCs w:val="24"/>
        </w:rPr>
        <w:t xml:space="preserve">. Rules of competence define which Member State is entitled to examine and decide those applications, namely the Member State which is the applicant's only or main destination. </w:t>
      </w:r>
    </w:p>
    <w:p>
      <w:pPr>
        <w:pStyle w:val="Heading2"/>
        <w:tabs>
          <w:tab w:val="clear" w:pos="1200"/>
          <w:tab w:val="num" w:pos="850"/>
        </w:tabs>
        <w:spacing w:before="120" w:after="120"/>
        <w:ind w:left="850" w:hanging="850"/>
        <w:rPr>
          <w:noProof/>
          <w:szCs w:val="24"/>
        </w:rPr>
      </w:pPr>
      <w:bookmarkStart w:id="4" w:name="_Toc507148454"/>
      <w:bookmarkStart w:id="5" w:name="_Toc367092527"/>
      <w:bookmarkStart w:id="6" w:name="_Toc382578836"/>
      <w:bookmarkStart w:id="7" w:name="_Toc382579017"/>
      <w:r>
        <w:rPr>
          <w:noProof/>
          <w:szCs w:val="24"/>
        </w:rPr>
        <w:t>Legislative package 2014</w:t>
      </w:r>
      <w:bookmarkEnd w:id="4"/>
      <w:r>
        <w:rPr>
          <w:noProof/>
          <w:szCs w:val="24"/>
        </w:rPr>
        <w:t xml:space="preserve"> </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The Visa Code is a core element of the common visa policy: it establishes harmonised procedures and conditions for processing visa applications and issuing visas. It </w:t>
      </w:r>
      <w:r>
        <w:rPr>
          <w:rFonts w:ascii="Times New Roman" w:hAnsi="Times New Roman"/>
          <w:b/>
          <w:noProof/>
          <w:sz w:val="24"/>
          <w:szCs w:val="24"/>
        </w:rPr>
        <w:t>entered into force</w:t>
      </w:r>
      <w:r>
        <w:rPr>
          <w:rFonts w:ascii="Times New Roman" w:hAnsi="Times New Roman"/>
          <w:noProof/>
          <w:sz w:val="24"/>
          <w:szCs w:val="24"/>
        </w:rPr>
        <w:t xml:space="preserve"> on 5 April 2010, with the </w:t>
      </w:r>
      <w:r>
        <w:rPr>
          <w:rFonts w:ascii="Times New Roman" w:hAnsi="Times New Roman"/>
          <w:noProof/>
          <w:sz w:val="24"/>
          <w:szCs w:val="24"/>
          <w:lang w:eastAsia="de-DE"/>
        </w:rPr>
        <w:t xml:space="preserve">overarching objectives of </w:t>
      </w:r>
      <w:r>
        <w:rPr>
          <w:rFonts w:ascii="Times New Roman" w:hAnsi="Times New Roman"/>
          <w:noProof/>
          <w:sz w:val="24"/>
          <w:szCs w:val="24"/>
        </w:rPr>
        <w:t>facilitating legitimate travel and tackling irregular immigration</w:t>
      </w:r>
      <w:r>
        <w:rPr>
          <w:rFonts w:ascii="Times New Roman" w:hAnsi="Times New Roman"/>
          <w:noProof/>
          <w:sz w:val="24"/>
          <w:szCs w:val="24"/>
          <w:lang w:eastAsia="en-GB"/>
        </w:rPr>
        <w:t xml:space="preserve">, enhancing transparency and legal certainty, strengthening procedural guarantees and reinforcing equal treatment of visa applicants. </w:t>
      </w:r>
    </w:p>
    <w:p>
      <w:pPr>
        <w:spacing w:after="120"/>
        <w:jc w:val="both"/>
        <w:rPr>
          <w:rFonts w:ascii="Times New Roman" w:hAnsi="Times New Roman"/>
          <w:noProof/>
          <w:sz w:val="24"/>
          <w:szCs w:val="24"/>
        </w:rPr>
      </w:pPr>
      <w:r>
        <w:rPr>
          <w:rFonts w:ascii="Times New Roman" w:hAnsi="Times New Roman"/>
          <w:noProof/>
          <w:sz w:val="24"/>
          <w:szCs w:val="24"/>
        </w:rPr>
        <w:t xml:space="preserve">The Visa Code required the Commission to submit the European Parliament and the Council an </w:t>
      </w:r>
      <w:r>
        <w:rPr>
          <w:rFonts w:ascii="Times New Roman" w:hAnsi="Times New Roman"/>
          <w:b/>
          <w:noProof/>
          <w:sz w:val="24"/>
          <w:szCs w:val="24"/>
        </w:rPr>
        <w:t>evaluation</w:t>
      </w:r>
      <w:r>
        <w:rPr>
          <w:rFonts w:ascii="Times New Roman" w:hAnsi="Times New Roman"/>
          <w:noProof/>
          <w:sz w:val="24"/>
          <w:szCs w:val="24"/>
        </w:rPr>
        <w:t xml:space="preserve"> of its application two years after all the provisions of the Regulation have become applicable</w:t>
      </w:r>
      <w:r>
        <w:rPr>
          <w:rStyle w:val="FootnoteReference"/>
          <w:rFonts w:ascii="Times New Roman" w:hAnsi="Times New Roman"/>
          <w:noProof/>
          <w:sz w:val="24"/>
          <w:szCs w:val="24"/>
        </w:rPr>
        <w:footnoteReference w:id="3"/>
      </w:r>
      <w:r>
        <w:rPr>
          <w:rFonts w:ascii="Times New Roman" w:hAnsi="Times New Roman"/>
          <w:noProof/>
          <w:sz w:val="24"/>
          <w:szCs w:val="24"/>
        </w:rPr>
        <w:t xml:space="preserve">. On the basis of that evaluation, an in-depth </w:t>
      </w:r>
      <w:r>
        <w:rPr>
          <w:rFonts w:ascii="Times New Roman" w:hAnsi="Times New Roman"/>
          <w:b/>
          <w:noProof/>
          <w:sz w:val="24"/>
          <w:szCs w:val="24"/>
        </w:rPr>
        <w:t>impact assessment</w:t>
      </w:r>
      <w:r>
        <w:rPr>
          <w:rFonts w:ascii="Times New Roman" w:hAnsi="Times New Roman"/>
          <w:noProof/>
          <w:sz w:val="24"/>
          <w:szCs w:val="24"/>
        </w:rPr>
        <w:t xml:space="preserve"> was carried out, focussing on three broad problem areas: </w:t>
      </w:r>
    </w:p>
    <w:p>
      <w:pPr>
        <w:pStyle w:val="ListParagraph"/>
        <w:numPr>
          <w:ilvl w:val="0"/>
          <w:numId w:val="11"/>
        </w:numPr>
        <w:spacing w:after="120"/>
        <w:jc w:val="both"/>
        <w:rPr>
          <w:rFonts w:ascii="Times New Roman" w:hAnsi="Times New Roman"/>
          <w:noProof/>
          <w:sz w:val="24"/>
          <w:szCs w:val="24"/>
        </w:rPr>
      </w:pPr>
      <w:r>
        <w:rPr>
          <w:rFonts w:ascii="Times New Roman" w:hAnsi="Times New Roman"/>
          <w:noProof/>
          <w:sz w:val="24"/>
          <w:szCs w:val="24"/>
        </w:rPr>
        <w:t>the lengthy, costly and cumbersome nature of visa procedures for applicants;</w:t>
      </w:r>
    </w:p>
    <w:p>
      <w:pPr>
        <w:pStyle w:val="ListParagraph"/>
        <w:numPr>
          <w:ilvl w:val="0"/>
          <w:numId w:val="11"/>
        </w:numPr>
        <w:spacing w:after="120"/>
        <w:jc w:val="both"/>
        <w:rPr>
          <w:rFonts w:ascii="Times New Roman" w:hAnsi="Times New Roman"/>
          <w:noProof/>
          <w:sz w:val="24"/>
          <w:szCs w:val="24"/>
        </w:rPr>
      </w:pPr>
      <w:r>
        <w:rPr>
          <w:rFonts w:ascii="Times New Roman" w:hAnsi="Times New Roman"/>
          <w:noProof/>
          <w:sz w:val="24"/>
          <w:szCs w:val="24"/>
        </w:rPr>
        <w:t>the insufficient geographical coverage in visa processing;</w:t>
      </w:r>
    </w:p>
    <w:p>
      <w:pPr>
        <w:pStyle w:val="ListParagraph"/>
        <w:numPr>
          <w:ilvl w:val="0"/>
          <w:numId w:val="11"/>
        </w:numPr>
        <w:spacing w:after="120"/>
        <w:jc w:val="both"/>
        <w:rPr>
          <w:rFonts w:ascii="Times New Roman" w:hAnsi="Times New Roman"/>
          <w:noProof/>
          <w:sz w:val="24"/>
          <w:szCs w:val="24"/>
        </w:rPr>
      </w:pPr>
      <w:r>
        <w:rPr>
          <w:rFonts w:ascii="Times New Roman" w:hAnsi="Times New Roman"/>
          <w:noProof/>
          <w:sz w:val="24"/>
          <w:szCs w:val="24"/>
        </w:rPr>
        <w:t>the lack of a visa allowing travellers to stay more than 90 days in the Schengen area.</w:t>
      </w:r>
    </w:p>
    <w:p>
      <w:pPr>
        <w:spacing w:after="120"/>
        <w:jc w:val="both"/>
        <w:rPr>
          <w:rFonts w:ascii="Times New Roman" w:hAnsi="Times New Roman"/>
          <w:noProof/>
          <w:sz w:val="24"/>
          <w:szCs w:val="24"/>
        </w:rPr>
      </w:pPr>
      <w:r>
        <w:rPr>
          <w:rFonts w:ascii="Times New Roman" w:hAnsi="Times New Roman"/>
          <w:noProof/>
          <w:sz w:val="24"/>
          <w:szCs w:val="24"/>
        </w:rPr>
        <w:t xml:space="preserve">On 1 April 2014 the Commission adopted two </w:t>
      </w:r>
      <w:r>
        <w:rPr>
          <w:rFonts w:ascii="Times New Roman" w:hAnsi="Times New Roman"/>
          <w:b/>
          <w:noProof/>
          <w:sz w:val="24"/>
          <w:szCs w:val="24"/>
        </w:rPr>
        <w:t>legislative proposals</w:t>
      </w:r>
      <w:r>
        <w:rPr>
          <w:rFonts w:ascii="Times New Roman" w:hAnsi="Times New Roman"/>
          <w:noProof/>
          <w:sz w:val="24"/>
          <w:szCs w:val="24"/>
        </w:rPr>
        <w:t xml:space="preserve">: the </w:t>
      </w:r>
      <w:r>
        <w:rPr>
          <w:rFonts w:ascii="Times New Roman" w:hAnsi="Times New Roman"/>
          <w:b/>
          <w:noProof/>
          <w:sz w:val="24"/>
          <w:szCs w:val="24"/>
        </w:rPr>
        <w:t xml:space="preserve">Visa Code recast </w:t>
      </w:r>
      <w:r>
        <w:rPr>
          <w:rFonts w:ascii="Times New Roman" w:hAnsi="Times New Roman"/>
          <w:noProof/>
          <w:sz w:val="24"/>
          <w:szCs w:val="24"/>
        </w:rPr>
        <w:t>proposal</w:t>
      </w:r>
      <w:r>
        <w:rPr>
          <w:rStyle w:val="FootnoteReference"/>
          <w:rFonts w:ascii="Times New Roman" w:hAnsi="Times New Roman"/>
          <w:noProof/>
          <w:sz w:val="24"/>
          <w:szCs w:val="24"/>
        </w:rPr>
        <w:footnoteReference w:id="4"/>
      </w:r>
      <w:r>
        <w:rPr>
          <w:rFonts w:ascii="Times New Roman" w:hAnsi="Times New Roman"/>
          <w:noProof/>
          <w:sz w:val="24"/>
          <w:szCs w:val="24"/>
        </w:rPr>
        <w:t xml:space="preserve"> addressing the first two problem areas and the </w:t>
      </w:r>
      <w:r>
        <w:rPr>
          <w:rFonts w:ascii="Times New Roman" w:hAnsi="Times New Roman"/>
          <w:b/>
          <w:noProof/>
          <w:sz w:val="24"/>
          <w:szCs w:val="24"/>
        </w:rPr>
        <w:t>touring visa</w:t>
      </w:r>
      <w:r>
        <w:rPr>
          <w:rFonts w:ascii="Times New Roman" w:hAnsi="Times New Roman"/>
          <w:noProof/>
          <w:sz w:val="24"/>
          <w:szCs w:val="24"/>
        </w:rPr>
        <w:t xml:space="preserve"> proposal</w:t>
      </w:r>
      <w:r>
        <w:rPr>
          <w:rStyle w:val="FootnoteReference"/>
          <w:rFonts w:ascii="Times New Roman" w:hAnsi="Times New Roman"/>
          <w:noProof/>
          <w:sz w:val="24"/>
          <w:szCs w:val="24"/>
        </w:rPr>
        <w:footnoteReference w:id="5"/>
      </w:r>
      <w:r>
        <w:rPr>
          <w:rFonts w:ascii="Times New Roman" w:hAnsi="Times New Roman"/>
          <w:noProof/>
          <w:sz w:val="24"/>
          <w:szCs w:val="24"/>
        </w:rPr>
        <w:t xml:space="preserve"> addressing the third one. The overall aims of this package were to foster travel to the EU through facilitations in the visa policy – and thereby to contribute to tourism, trade, growth and employment in the EU – and to harmonise implementation of the common rules.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visa procedures</w:t>
      </w:r>
      <w:r>
        <w:rPr>
          <w:rFonts w:ascii="Times New Roman" w:hAnsi="Times New Roman" w:cs="Times New Roman"/>
          <w:noProof/>
          <w:sz w:val="24"/>
          <w:szCs w:val="24"/>
        </w:rPr>
        <w:t xml:space="preserve">, the Visa Code recast proposal included a number of substantial facilitations for applicants: longer timeframe to lodge an application, abolition of the requirement to present a travel medical insurance, shorter decision deadlines as well as less documentation and easier access to multiple-entry visas (MEV) for frequent travellers. Some of those facilitations were largely accepted by the co-legislators while others were watered down or rejected in the course of negotiations by the co-legislators.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geographical coverage</w:t>
      </w:r>
      <w:r>
        <w:rPr>
          <w:rFonts w:ascii="Times New Roman" w:hAnsi="Times New Roman" w:cs="Times New Roman"/>
          <w:noProof/>
          <w:sz w:val="24"/>
          <w:szCs w:val="24"/>
        </w:rPr>
        <w:t xml:space="preserve"> the Commission proposed that the Member State(s) present in one location would mandatorily represent all Member States not present, if no representation agreements were entered into. This proposal, while supported by the European Parliament, was widely rejected by Member States, arguing that it would put disproportionate burden on Member States with a large consular network while other Member States would be tempted to close smaller consular sections relying on others. In the meantime the number of representation agreements (voluntarily) concluded between Member States has further increased and Member States have opened visa application centres (VAC) in locations where they were not present.</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Therefore this problem is less pressing today than it was in 2014, and will not be dealt with in this impact assessment.</w:t>
      </w:r>
    </w:p>
    <w:p>
      <w:pPr>
        <w:pStyle w:val="NoSpacing"/>
        <w:spacing w:after="120" w:line="276" w:lineRule="auto"/>
        <w:jc w:val="both"/>
        <w:rPr>
          <w:rFonts w:ascii="Times New Roman" w:eastAsia="Times New Roman" w:hAnsi="Times New Roman" w:cs="Calibri"/>
          <w:noProof/>
          <w:color w:val="000000"/>
          <w:sz w:val="24"/>
          <w:szCs w:val="24"/>
          <w:u w:color="000000"/>
          <w:lang w:eastAsia="en-GB"/>
        </w:rPr>
      </w:pPr>
      <w:r>
        <w:rPr>
          <w:rFonts w:ascii="Times New Roman" w:hAnsi="Times New Roman" w:cs="Times New Roman"/>
          <w:noProof/>
          <w:sz w:val="24"/>
          <w:szCs w:val="24"/>
        </w:rPr>
        <w:t xml:space="preserve">Negotiations between the European Parliament and the Council on the Visa Code recast proposal ended in a deadlock by end 2016. On the one hand, the Council generally </w:t>
      </w:r>
      <w:r>
        <w:rPr>
          <w:rFonts w:ascii="Times New Roman" w:eastAsia="Times New Roman" w:hAnsi="Times New Roman" w:cs="Times New Roman"/>
          <w:noProof/>
          <w:sz w:val="24"/>
          <w:szCs w:val="24"/>
        </w:rPr>
        <w:t xml:space="preserve">maintained a very restrictive approach during the negotiations by rejecting essential parts intended to modernise and facilitate the visa application procedure whereas the European Parliament was overall quite supportive of the Commission's proposal with regard to the procedural facilitations. On the other hand and more importantly, both institutions presented amendments that went far beyond the Commission's proposal: the Council introduced a link between third countries' cooperation on readmission and visa facilitation, while </w:t>
      </w:r>
      <w:r>
        <w:rPr>
          <w:rFonts w:ascii="Times New Roman" w:eastAsia="Times New Roman" w:hAnsi="Times New Roman" w:cs="Calibri"/>
          <w:noProof/>
          <w:color w:val="000000"/>
          <w:sz w:val="24"/>
          <w:szCs w:val="24"/>
          <w:u w:color="000000"/>
          <w:lang w:eastAsia="en-GB"/>
        </w:rPr>
        <w:t>the EP proposed to create a "humanitarian visa" in the Visa Code. This latter suggestion was opposed by both the Council and the Commission as the Visa Code covers visas for short stays only, a position which was confirmed by the ECJ ruling of 7 March 2017.</w:t>
      </w:r>
      <w:r>
        <w:rPr>
          <w:rStyle w:val="FootnoteReference"/>
          <w:rFonts w:ascii="Times New Roman" w:eastAsia="Times New Roman" w:hAnsi="Times New Roman" w:cs="Calibri"/>
          <w:noProof/>
          <w:color w:val="000000"/>
          <w:sz w:val="24"/>
          <w:szCs w:val="24"/>
          <w:u w:color="000000"/>
          <w:lang w:eastAsia="en-GB"/>
        </w:rPr>
        <w:footnoteReference w:id="7"/>
      </w:r>
      <w:r>
        <w:rPr>
          <w:rFonts w:ascii="Times New Roman" w:eastAsia="Times New Roman" w:hAnsi="Times New Roman" w:cs="Calibri"/>
          <w:noProof/>
          <w:color w:val="000000"/>
          <w:sz w:val="24"/>
          <w:szCs w:val="24"/>
          <w:u w:color="000000"/>
          <w:lang w:eastAsia="en-GB"/>
        </w:rPr>
        <w:t xml:space="preserve"> This stalemate blocked all further attempts to make progress, prompting the Commission to announce withdrawal of the proposal in the Commission Work programme for 2018</w:t>
      </w:r>
      <w:r>
        <w:rPr>
          <w:rStyle w:val="FootnoteReference"/>
          <w:rFonts w:ascii="Times New Roman" w:eastAsia="Times New Roman" w:hAnsi="Times New Roman" w:cs="Calibri"/>
          <w:noProof/>
          <w:color w:val="000000"/>
          <w:sz w:val="24"/>
          <w:szCs w:val="24"/>
          <w:u w:color="000000"/>
          <w:lang w:eastAsia="en-GB"/>
        </w:rPr>
        <w:footnoteReference w:id="8"/>
      </w:r>
      <w:r>
        <w:rPr>
          <w:rFonts w:ascii="Times New Roman" w:eastAsia="Times New Roman" w:hAnsi="Times New Roman" w:cs="Calibri"/>
          <w:noProof/>
          <w:color w:val="000000"/>
          <w:sz w:val="24"/>
          <w:szCs w:val="24"/>
          <w:u w:color="000000"/>
          <w:lang w:eastAsia="en-GB"/>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lack of a visa for longer stays</w:t>
      </w:r>
      <w:r>
        <w:rPr>
          <w:rFonts w:ascii="Times New Roman" w:hAnsi="Times New Roman" w:cs="Times New Roman"/>
          <w:noProof/>
          <w:sz w:val="24"/>
          <w:szCs w:val="24"/>
        </w:rPr>
        <w:t xml:space="preserve">, the Commission's touring visa proposal was meant to fill the legal gap between short-stay visas and long-stay residence and encountered support in the European Parliament and some Member States, but did not gather a qualified majority in Council. Some Member States rejected the proposal, expressing doubts about its necessity and legal basis and fearing possible abuse. The Commission has therefore also announced the withdrawal of the proposal in the Commission Work Programme for 2018, as there currently does not seem to be sufficient political willingness to address the problem. </w:t>
      </w:r>
    </w:p>
    <w:p>
      <w:pPr>
        <w:pStyle w:val="Heading2"/>
        <w:tabs>
          <w:tab w:val="clear" w:pos="1200"/>
          <w:tab w:val="num" w:pos="850"/>
        </w:tabs>
        <w:spacing w:before="120" w:after="120"/>
        <w:ind w:left="850" w:hanging="850"/>
        <w:rPr>
          <w:noProof/>
          <w:szCs w:val="24"/>
        </w:rPr>
      </w:pPr>
      <w:bookmarkStart w:id="8" w:name="_Toc507148455"/>
      <w:r>
        <w:rPr>
          <w:noProof/>
          <w:szCs w:val="24"/>
        </w:rPr>
        <w:t>Broader policy context</w:t>
      </w:r>
      <w:bookmarkEnd w:id="5"/>
      <w:bookmarkEnd w:id="6"/>
      <w:bookmarkEnd w:id="7"/>
      <w:bookmarkEnd w:id="8"/>
    </w:p>
    <w:p>
      <w:pPr>
        <w:spacing w:before="60" w:after="60"/>
        <w:jc w:val="both"/>
        <w:rPr>
          <w:rFonts w:ascii="Times New Roman" w:hAnsi="Times New Roman"/>
          <w:noProof/>
          <w:sz w:val="24"/>
          <w:szCs w:val="24"/>
        </w:rPr>
      </w:pPr>
      <w:r>
        <w:rPr>
          <w:rFonts w:ascii="Times New Roman" w:hAnsi="Times New Roman"/>
          <w:noProof/>
          <w:sz w:val="24"/>
          <w:szCs w:val="24"/>
        </w:rPr>
        <w:t xml:space="preserve">In the past four years (since the Commission proposed the Visa Code recast), the EU has experienced unprecedented levels of </w:t>
      </w:r>
      <w:r>
        <w:rPr>
          <w:rFonts w:ascii="Times New Roman" w:hAnsi="Times New Roman"/>
          <w:b/>
          <w:noProof/>
          <w:sz w:val="24"/>
          <w:szCs w:val="24"/>
        </w:rPr>
        <w:t>refugees and irregular migration</w:t>
      </w:r>
      <w:r>
        <w:rPr>
          <w:rFonts w:ascii="Times New Roman" w:hAnsi="Times New Roman"/>
          <w:noProof/>
          <w:sz w:val="24"/>
          <w:szCs w:val="24"/>
        </w:rPr>
        <w:t xml:space="preserve"> into the EU and increased </w:t>
      </w:r>
      <w:r>
        <w:rPr>
          <w:rFonts w:ascii="Times New Roman" w:hAnsi="Times New Roman"/>
          <w:b/>
          <w:noProof/>
          <w:sz w:val="24"/>
          <w:szCs w:val="24"/>
        </w:rPr>
        <w:t>threats to its internal security</w:t>
      </w:r>
      <w:r>
        <w:rPr>
          <w:rFonts w:ascii="Times New Roman" w:hAnsi="Times New Roman"/>
          <w:noProof/>
          <w:sz w:val="24"/>
          <w:szCs w:val="24"/>
        </w:rPr>
        <w:t xml:space="preserve">, including a number of terror attacks. This led the EU to launch a fundamental overhaul of its migration and security policies. Many of these new initiatives have been successfully adopted or implemented and others are currently in the legislative procedure. </w:t>
      </w:r>
    </w:p>
    <w:p>
      <w:pPr>
        <w:spacing w:before="60" w:after="60"/>
        <w:jc w:val="both"/>
        <w:rPr>
          <w:rFonts w:ascii="Times New Roman" w:hAnsi="Times New Roman"/>
          <w:noProof/>
          <w:sz w:val="24"/>
          <w:szCs w:val="24"/>
        </w:rPr>
      </w:pPr>
      <w:r>
        <w:rPr>
          <w:rFonts w:ascii="Times New Roman" w:hAnsi="Times New Roman"/>
          <w:noProof/>
          <w:sz w:val="24"/>
          <w:szCs w:val="24"/>
        </w:rPr>
        <w:t xml:space="preserve">As a result the EU information systems for </w:t>
      </w:r>
      <w:r>
        <w:rPr>
          <w:rFonts w:ascii="Times New Roman" w:hAnsi="Times New Roman"/>
          <w:b/>
          <w:noProof/>
          <w:sz w:val="24"/>
          <w:szCs w:val="24"/>
        </w:rPr>
        <w:t>border management and security</w:t>
      </w:r>
      <w:r>
        <w:rPr>
          <w:rFonts w:ascii="Times New Roman" w:hAnsi="Times New Roman"/>
          <w:noProof/>
          <w:sz w:val="24"/>
          <w:szCs w:val="24"/>
        </w:rPr>
        <w:t xml:space="preserve"> have been considerably strengthened and new ones are being developed. In particular the co-legislators have decided to introduce an </w:t>
      </w:r>
      <w:r>
        <w:rPr>
          <w:rFonts w:ascii="Times New Roman" w:hAnsi="Times New Roman"/>
          <w:b/>
          <w:noProof/>
          <w:sz w:val="24"/>
          <w:szCs w:val="24"/>
        </w:rPr>
        <w:t>Entry-Exit System (EES)</w:t>
      </w:r>
      <w:r>
        <w:rPr>
          <w:rStyle w:val="FootnoteReference"/>
          <w:rFonts w:ascii="Times New Roman" w:hAnsi="Times New Roman"/>
          <w:b/>
          <w:noProof/>
          <w:sz w:val="24"/>
          <w:szCs w:val="24"/>
        </w:rPr>
        <w:footnoteReference w:id="9"/>
      </w:r>
      <w:r>
        <w:rPr>
          <w:rFonts w:ascii="Times New Roman" w:hAnsi="Times New Roman"/>
          <w:noProof/>
          <w:sz w:val="24"/>
          <w:szCs w:val="24"/>
        </w:rPr>
        <w:t xml:space="preserve"> to better manage and facilitate third-country nationals' crossing the Schengen area's external borders. Among other objectives, it will allow Member States to monitor irregular stays in the EU and identify overstayers. This will contribute to strengthening the common visa policy, as it will enable consulates to better assess applicants' lawful use of previous visas. </w:t>
      </w:r>
    </w:p>
    <w:p>
      <w:pPr>
        <w:spacing w:before="60" w:after="60"/>
        <w:jc w:val="both"/>
        <w:rPr>
          <w:rFonts w:ascii="Times New Roman" w:hAnsi="Times New Roman"/>
          <w:noProof/>
          <w:sz w:val="24"/>
          <w:szCs w:val="24"/>
        </w:rPr>
      </w:pPr>
      <w:r>
        <w:rPr>
          <w:rFonts w:ascii="Times New Roman" w:hAnsi="Times New Roman"/>
          <w:noProof/>
          <w:sz w:val="24"/>
          <w:szCs w:val="24"/>
        </w:rPr>
        <w:t xml:space="preserve">The Commission also proposed a </w:t>
      </w:r>
      <w:r>
        <w:rPr>
          <w:rFonts w:ascii="Times New Roman" w:hAnsi="Times New Roman"/>
          <w:b/>
          <w:noProof/>
          <w:sz w:val="24"/>
          <w:szCs w:val="24"/>
        </w:rPr>
        <w:t>European Travel Information and Authorisation System (ETIAS)</w:t>
      </w:r>
      <w:r>
        <w:rPr>
          <w:rStyle w:val="FootnoteReference"/>
          <w:rFonts w:ascii="Times New Roman" w:hAnsi="Times New Roman"/>
          <w:b/>
          <w:noProof/>
          <w:sz w:val="24"/>
          <w:szCs w:val="24"/>
        </w:rPr>
        <w:footnoteReference w:id="10"/>
      </w:r>
      <w:r>
        <w:rPr>
          <w:rFonts w:ascii="Times New Roman" w:hAnsi="Times New Roman"/>
          <w:noProof/>
          <w:sz w:val="24"/>
          <w:szCs w:val="24"/>
        </w:rPr>
        <w:t xml:space="preserve"> which will screen visa-exempt third-country nationals against security and migration risks before they start their travel to the EU. This initiative is expected to be adopted in the coming months. Contrary to the current visa application procedure, this check will entirely rely on digital solutions, notably allowing applicants to apply online at an EU portal. </w:t>
      </w:r>
    </w:p>
    <w:p>
      <w:pPr>
        <w:spacing w:before="60" w:after="60"/>
        <w:jc w:val="both"/>
        <w:rPr>
          <w:rFonts w:ascii="Times New Roman" w:hAnsi="Times New Roman"/>
          <w:noProof/>
          <w:sz w:val="24"/>
          <w:szCs w:val="24"/>
        </w:rPr>
      </w:pPr>
      <w:r>
        <w:rPr>
          <w:rFonts w:ascii="Times New Roman" w:hAnsi="Times New Roman"/>
          <w:noProof/>
          <w:sz w:val="24"/>
          <w:szCs w:val="24"/>
        </w:rPr>
        <w:t xml:space="preserve">Finally the Commission has recently adopted the so-called </w:t>
      </w:r>
      <w:r>
        <w:rPr>
          <w:rFonts w:ascii="Times New Roman" w:hAnsi="Times New Roman"/>
          <w:b/>
          <w:noProof/>
          <w:sz w:val="24"/>
          <w:szCs w:val="24"/>
        </w:rPr>
        <w:t>interoperability</w:t>
      </w:r>
      <w:r>
        <w:rPr>
          <w:rFonts w:ascii="Times New Roman" w:hAnsi="Times New Roman"/>
          <w:noProof/>
          <w:sz w:val="24"/>
          <w:szCs w:val="24"/>
        </w:rPr>
        <w:t xml:space="preserve"> proposal</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to better link the various EU information systems for security, border and migration management and improve their use by border guards, migration and asylum officials and police officers to ensure they have the right information at the right time. </w:t>
      </w:r>
    </w:p>
    <w:p>
      <w:pPr>
        <w:spacing w:before="60" w:after="60"/>
        <w:jc w:val="both"/>
        <w:rPr>
          <w:rFonts w:ascii="Times New Roman" w:hAnsi="Times New Roman"/>
          <w:noProof/>
          <w:sz w:val="24"/>
          <w:szCs w:val="24"/>
        </w:rPr>
      </w:pPr>
      <w:r>
        <w:rPr>
          <w:rFonts w:ascii="Times New Roman" w:hAnsi="Times New Roman"/>
          <w:noProof/>
          <w:sz w:val="24"/>
          <w:szCs w:val="24"/>
        </w:rPr>
        <w:t xml:space="preserve">In the past years the EU also stepped up its activities to support Member States in </w:t>
      </w:r>
      <w:r>
        <w:rPr>
          <w:rFonts w:ascii="Times New Roman" w:hAnsi="Times New Roman"/>
          <w:b/>
          <w:noProof/>
          <w:sz w:val="24"/>
          <w:szCs w:val="24"/>
        </w:rPr>
        <w:t>returning irregular migrants</w:t>
      </w:r>
      <w:r>
        <w:rPr>
          <w:rFonts w:ascii="Times New Roman" w:hAnsi="Times New Roman"/>
          <w:noProof/>
          <w:sz w:val="24"/>
          <w:szCs w:val="24"/>
        </w:rPr>
        <w:t xml:space="preserve"> to their countries of origin, including by overcoming third countries' reluctance to cooperate with Member States in readmitting their own citizens. The 2015 Action Plan on Return</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called for all relevant policies to be used as incentives for the partner country's willingness to cooperate on readmission, and for further exploration of visa policy as an important leverage in that context. In June 2016 the Commission adopted </w:t>
      </w:r>
      <w:r>
        <w:rPr>
          <w:rFonts w:ascii="Times New Roman" w:hAnsi="Times New Roman" w:cs="Times New Roman"/>
          <w:noProof/>
          <w:sz w:val="24"/>
          <w:szCs w:val="24"/>
        </w:rPr>
        <w:t>the Partnership Framework Communication</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in which it stated that the visa policy can be a very powerful element in the discussions with third countries about cooperation on migration.</w:t>
      </w:r>
      <w:r>
        <w:rPr>
          <w:rFonts w:ascii="Times New Roman" w:hAnsi="Times New Roman"/>
          <w:noProof/>
          <w:sz w:val="24"/>
          <w:szCs w:val="24"/>
        </w:rPr>
        <w:t xml:space="preserve"> The </w:t>
      </w:r>
      <w:r>
        <w:rPr>
          <w:rFonts w:ascii="Times New Roman" w:hAnsi="Times New Roman" w:cs="Times New Roman"/>
          <w:noProof/>
          <w:sz w:val="24"/>
          <w:szCs w:val="24"/>
        </w:rPr>
        <w:t>European Council conclusions of 22 and 23 June 2017 called for further efforts to achieve real progress in return and readmission policy, using all possible levers, including by reassessing visa policy towards third countries.</w:t>
      </w:r>
    </w:p>
    <w:p>
      <w:pPr>
        <w:pStyle w:val="Heading2"/>
        <w:tabs>
          <w:tab w:val="clear" w:pos="1200"/>
          <w:tab w:val="num" w:pos="850"/>
        </w:tabs>
        <w:spacing w:before="120" w:after="120"/>
        <w:ind w:left="850" w:hanging="850"/>
        <w:rPr>
          <w:noProof/>
          <w:szCs w:val="24"/>
        </w:rPr>
      </w:pPr>
      <w:bookmarkStart w:id="9" w:name="_Toc507148456"/>
      <w:r>
        <w:rPr>
          <w:noProof/>
          <w:szCs w:val="24"/>
        </w:rPr>
        <w:t>Consequences for the common visa policy</w:t>
      </w:r>
      <w:bookmarkEnd w:id="9"/>
    </w:p>
    <w:p>
      <w:pPr>
        <w:spacing w:before="60" w:after="60"/>
        <w:jc w:val="both"/>
        <w:rPr>
          <w:rFonts w:ascii="Times New Roman" w:hAnsi="Times New Roman"/>
          <w:noProof/>
          <w:sz w:val="24"/>
          <w:szCs w:val="24"/>
        </w:rPr>
      </w:pPr>
      <w:r>
        <w:rPr>
          <w:rFonts w:ascii="Times New Roman" w:hAnsi="Times New Roman"/>
          <w:noProof/>
          <w:sz w:val="24"/>
          <w:szCs w:val="24"/>
        </w:rPr>
        <w:t xml:space="preserve">In the last years, apart from the strengthening of the visa waiver suspension mechanism (allowing the EU to react quickly to substantial increases of migratory or security risks resulting from visa-free travel by temporarily suspending the visa exemption for one or several nationalities) and the exemption from the visa requirement to the citizens of certain third countries, the common visa policy </w:t>
      </w:r>
      <w:r>
        <w:rPr>
          <w:rFonts w:ascii="Times New Roman" w:hAnsi="Times New Roman"/>
          <w:b/>
          <w:noProof/>
          <w:sz w:val="24"/>
          <w:szCs w:val="24"/>
        </w:rPr>
        <w:t>has not been subject to a fundamental review or overhaul</w:t>
      </w:r>
      <w:r>
        <w:rPr>
          <w:rFonts w:ascii="Times New Roman" w:hAnsi="Times New Roman"/>
          <w:noProof/>
          <w:sz w:val="24"/>
          <w:szCs w:val="24"/>
        </w:rPr>
        <w:t xml:space="preserve">. </w:t>
      </w:r>
    </w:p>
    <w:p>
      <w:pPr>
        <w:spacing w:after="120"/>
        <w:jc w:val="both"/>
        <w:rPr>
          <w:rFonts w:ascii="Times New Roman" w:hAnsi="Times New Roman"/>
          <w:noProof/>
          <w:sz w:val="24"/>
          <w:szCs w:val="24"/>
        </w:rPr>
      </w:pPr>
      <w:r>
        <w:rPr>
          <w:rFonts w:ascii="Times New Roman" w:hAnsi="Times New Roman"/>
          <w:noProof/>
          <w:sz w:val="24"/>
          <w:szCs w:val="24"/>
        </w:rPr>
        <w:t xml:space="preserve">The overall </w:t>
      </w:r>
      <w:r>
        <w:rPr>
          <w:rFonts w:ascii="Times New Roman" w:hAnsi="Times New Roman"/>
          <w:b/>
          <w:noProof/>
          <w:sz w:val="24"/>
          <w:szCs w:val="24"/>
        </w:rPr>
        <w:t>integrity of the visa processing</w:t>
      </w:r>
      <w:r>
        <w:rPr>
          <w:rFonts w:ascii="Times New Roman" w:hAnsi="Times New Roman"/>
          <w:noProof/>
          <w:sz w:val="24"/>
          <w:szCs w:val="24"/>
        </w:rPr>
        <w:t xml:space="preserve"> by Member States has not been fundamentally called in question in the past few years. Yet there is a growing need to</w:t>
      </w:r>
      <w:r>
        <w:rPr>
          <w:rFonts w:ascii="Times New Roman" w:hAnsi="Times New Roman"/>
          <w:b/>
          <w:noProof/>
          <w:sz w:val="24"/>
          <w:szCs w:val="24"/>
        </w:rPr>
        <w:t xml:space="preserve"> </w:t>
      </w:r>
      <w:r>
        <w:rPr>
          <w:rFonts w:ascii="Times New Roman" w:hAnsi="Times New Roman"/>
          <w:noProof/>
          <w:sz w:val="24"/>
          <w:szCs w:val="24"/>
        </w:rPr>
        <w:t>ensure that visa policy matches the present and future challenges and can make a more important contribution to the objectives of the EU's migration and security policies. The Commission, in its Communication on the Delivery of the European Agenda on Migration</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announced that it would come forward with its ideas on how to </w:t>
      </w:r>
      <w:r>
        <w:rPr>
          <w:rFonts w:ascii="Times New Roman" w:hAnsi="Times New Roman"/>
          <w:b/>
          <w:noProof/>
          <w:sz w:val="24"/>
          <w:szCs w:val="24"/>
        </w:rPr>
        <w:t>modernise the EU's common visa policy</w:t>
      </w:r>
      <w:r>
        <w:rPr>
          <w:rFonts w:ascii="Times New Roman" w:hAnsi="Times New Roman"/>
          <w:noProof/>
          <w:sz w:val="24"/>
          <w:szCs w:val="24"/>
        </w:rPr>
        <w:t xml:space="preserve"> for both the short and longer term. The main objectives of this review are to bring the visa policy up to speed with the development of new border management systems, to better use visa policy in its cooperation with third countries, and to ensure a better balance between migration and security concerns, economic considerations and general external relations.  </w:t>
      </w:r>
    </w:p>
    <w:p>
      <w:pPr>
        <w:spacing w:before="60" w:after="60"/>
        <w:jc w:val="both"/>
        <w:rPr>
          <w:rFonts w:ascii="Times New Roman" w:hAnsi="Times New Roman"/>
          <w:noProof/>
          <w:sz w:val="24"/>
          <w:szCs w:val="24"/>
        </w:rPr>
      </w:pPr>
      <w:r>
        <w:rPr>
          <w:rFonts w:ascii="Times New Roman" w:hAnsi="Times New Roman"/>
          <w:noProof/>
          <w:sz w:val="24"/>
          <w:szCs w:val="24"/>
        </w:rPr>
        <w:t>The Commission Work Programme 2018</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confirmed the Commission's intention to withdraw the current Visa Code recast and touring visa proposals and to propose a </w:t>
      </w:r>
      <w:r>
        <w:rPr>
          <w:rFonts w:ascii="Times New Roman" w:hAnsi="Times New Roman"/>
          <w:b/>
          <w:noProof/>
          <w:sz w:val="24"/>
          <w:szCs w:val="24"/>
        </w:rPr>
        <w:t>targeted revision of the Visa Code</w:t>
      </w:r>
      <w:r>
        <w:rPr>
          <w:rFonts w:ascii="Times New Roman" w:hAnsi="Times New Roman"/>
          <w:noProof/>
          <w:sz w:val="24"/>
          <w:szCs w:val="24"/>
        </w:rPr>
        <w:t>. The further development of the Visa Information System (VIS) and the alignment of the visa policy's legal framework with developments on border management instruments and interoperability objectives will be the subject of a separate proposal and impact assessment.</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w:t>
      </w:r>
    </w:p>
    <w:p>
      <w:pPr>
        <w:pStyle w:val="Heading2"/>
        <w:tabs>
          <w:tab w:val="clear" w:pos="1200"/>
          <w:tab w:val="num" w:pos="850"/>
        </w:tabs>
        <w:spacing w:before="120" w:after="120"/>
        <w:ind w:left="850" w:hanging="850"/>
        <w:rPr>
          <w:noProof/>
          <w:szCs w:val="24"/>
        </w:rPr>
      </w:pPr>
      <w:bookmarkStart w:id="10" w:name="_Toc507148457"/>
      <w:r>
        <w:rPr>
          <w:noProof/>
          <w:szCs w:val="24"/>
        </w:rPr>
        <w:t>Scope of the initiative</w:t>
      </w:r>
      <w:bookmarkEnd w:id="10"/>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lang w:eastAsia="en-GB"/>
        </w:rPr>
        <w:t xml:space="preserve">While migration and security related objectives have become more important than in the past, one should not lose sight of the fact that the vast majority of visa applicants are not posing any security and/or migratory threat to the EU. </w:t>
      </w:r>
      <w:r>
        <w:rPr>
          <w:rFonts w:ascii="Times New Roman" w:hAnsi="Times New Roman"/>
          <w:noProof/>
          <w:sz w:val="24"/>
          <w:szCs w:val="24"/>
        </w:rPr>
        <w:t>Some of the elements of the first problem area (linked to the visa procedure) tackled by the recast proposal and the 2014 Impact Assessment remain valid in the current migratory and security context. The stakeholder and open public consultations carried out for this Impact Assessment have confirmed the importance of those issues for stakeholders and visa applicants.</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The targeted revision of the Visa Code will have a twofold purpose:</w:t>
      </w:r>
    </w:p>
    <w:p>
      <w:pPr>
        <w:pStyle w:val="ListParagraph"/>
        <w:numPr>
          <w:ilvl w:val="0"/>
          <w:numId w:val="30"/>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Firstly it should </w:t>
      </w:r>
      <w:r>
        <w:rPr>
          <w:rFonts w:ascii="Times New Roman" w:hAnsi="Times New Roman"/>
          <w:b/>
          <w:noProof/>
          <w:sz w:val="24"/>
          <w:szCs w:val="24"/>
        </w:rPr>
        <w:t>preserve some of the elements</w:t>
      </w:r>
      <w:r>
        <w:rPr>
          <w:rFonts w:ascii="Times New Roman" w:hAnsi="Times New Roman"/>
          <w:noProof/>
          <w:sz w:val="24"/>
          <w:szCs w:val="24"/>
        </w:rPr>
        <w:t xml:space="preserve"> of the 2014 recast proposal which remain relevant in the current context and on which compromise seems possible.</w:t>
      </w:r>
      <w:r>
        <w:rPr>
          <w:rStyle w:val="FootnoteReference"/>
          <w:rFonts w:ascii="Times New Roman" w:hAnsi="Times New Roman"/>
          <w:noProof/>
          <w:sz w:val="24"/>
          <w:szCs w:val="24"/>
        </w:rPr>
        <w:t xml:space="preserve"> </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These elements are either linked to the </w:t>
      </w:r>
      <w:r>
        <w:rPr>
          <w:rFonts w:ascii="Times New Roman" w:hAnsi="Times New Roman"/>
          <w:b/>
          <w:noProof/>
          <w:sz w:val="24"/>
          <w:szCs w:val="24"/>
        </w:rPr>
        <w:t>facilitation</w:t>
      </w:r>
      <w:r>
        <w:rPr>
          <w:rFonts w:ascii="Times New Roman" w:hAnsi="Times New Roman"/>
          <w:noProof/>
          <w:sz w:val="24"/>
          <w:szCs w:val="24"/>
        </w:rPr>
        <w:t xml:space="preserve"> of visa procedures or to </w:t>
      </w:r>
      <w:r>
        <w:rPr>
          <w:rFonts w:ascii="Times New Roman" w:hAnsi="Times New Roman"/>
          <w:b/>
          <w:noProof/>
          <w:sz w:val="24"/>
          <w:szCs w:val="24"/>
        </w:rPr>
        <w:t>clarification and streamlining</w:t>
      </w:r>
      <w:r>
        <w:rPr>
          <w:rFonts w:ascii="Times New Roman" w:hAnsi="Times New Roman"/>
          <w:noProof/>
          <w:sz w:val="24"/>
          <w:szCs w:val="24"/>
        </w:rPr>
        <w:t xml:space="preserve"> of existing provisions. Most of them concern rather procedural matters which do not leave much room for considering different policy options and do therefore not need to be examined in detail in this impact assessment. The items that will be carried over are listed in annex 7, together with a short description of their expected impacts as well as their potential for simplification and cost reduction. The most important element of facilitation in the 2014 proposal was the proposed rules on the increased </w:t>
      </w:r>
      <w:r>
        <w:rPr>
          <w:rFonts w:ascii="Times New Roman" w:hAnsi="Times New Roman"/>
          <w:b/>
          <w:noProof/>
          <w:sz w:val="24"/>
          <w:szCs w:val="24"/>
        </w:rPr>
        <w:t>issuing of multiple-entry visas with long validity to regular travellers</w:t>
      </w:r>
      <w:r>
        <w:rPr>
          <w:rFonts w:ascii="Times New Roman" w:hAnsi="Times New Roman"/>
          <w:noProof/>
          <w:sz w:val="24"/>
          <w:szCs w:val="24"/>
        </w:rPr>
        <w:t xml:space="preserve">. As different approaches are possible and were discussed during the legislative procedure and the stakeholder consultations, it is useful to examine the problem and different policy options in a more detailed analysis in this report. </w:t>
      </w:r>
    </w:p>
    <w:p>
      <w:pPr>
        <w:pStyle w:val="ListParagraph"/>
        <w:numPr>
          <w:ilvl w:val="0"/>
          <w:numId w:val="30"/>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Secondly it should address </w:t>
      </w:r>
      <w:r>
        <w:rPr>
          <w:rFonts w:ascii="Times New Roman" w:hAnsi="Times New Roman"/>
          <w:b/>
          <w:noProof/>
          <w:sz w:val="24"/>
          <w:szCs w:val="24"/>
        </w:rPr>
        <w:t>new elements</w:t>
      </w:r>
      <w:r>
        <w:rPr>
          <w:rFonts w:ascii="Times New Roman" w:hAnsi="Times New Roman"/>
          <w:noProof/>
          <w:sz w:val="24"/>
          <w:szCs w:val="24"/>
        </w:rPr>
        <w:t xml:space="preserve"> that have come up in the negotiations between the co-legislators on the Visa Code recast proposal and have been highlighted in the Commission's Communication on the Delivery of the European Agenda on Migration as well as in the consultations carried out by the Commission. This concerns the </w:t>
      </w:r>
      <w:r>
        <w:rPr>
          <w:rFonts w:ascii="Times New Roman" w:hAnsi="Times New Roman"/>
          <w:b/>
          <w:noProof/>
          <w:sz w:val="24"/>
          <w:szCs w:val="24"/>
        </w:rPr>
        <w:t>amount of the visa fee and the financing of Member States' visa processing activities</w:t>
      </w:r>
      <w:r>
        <w:rPr>
          <w:rFonts w:ascii="Times New Roman" w:hAnsi="Times New Roman"/>
          <w:noProof/>
          <w:sz w:val="24"/>
          <w:szCs w:val="24"/>
        </w:rPr>
        <w:t xml:space="preserve">, as well as the question of establishing a </w:t>
      </w:r>
      <w:r>
        <w:rPr>
          <w:rFonts w:ascii="Times New Roman" w:hAnsi="Times New Roman"/>
          <w:b/>
          <w:noProof/>
          <w:sz w:val="24"/>
          <w:szCs w:val="24"/>
        </w:rPr>
        <w:t>legal link between visa policy and third countries' cooperation on readmission of irregular migrants</w:t>
      </w:r>
      <w:r>
        <w:rPr>
          <w:rFonts w:ascii="Times New Roman" w:hAnsi="Times New Roman"/>
          <w:noProof/>
          <w:sz w:val="24"/>
          <w:szCs w:val="24"/>
        </w:rPr>
        <w:t xml:space="preserve">. </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This Impact Assessment report will therefore focus on the following problem areas:</w:t>
      </w:r>
    </w:p>
    <w:p>
      <w:pPr>
        <w:pStyle w:val="ListParagraph"/>
        <w:numPr>
          <w:ilvl w:val="0"/>
          <w:numId w:val="8"/>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the need for sufficient financial resources to support Member States' visa processing; </w:t>
      </w:r>
    </w:p>
    <w:p>
      <w:pPr>
        <w:pStyle w:val="ListParagraph"/>
        <w:numPr>
          <w:ilvl w:val="0"/>
          <w:numId w:val="8"/>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the divergent practices among Member States in issuing multiple-entry visas and the resulting repeated visa procedures for regular travellers;</w:t>
      </w:r>
    </w:p>
    <w:p>
      <w:pPr>
        <w:pStyle w:val="ListParagraph"/>
        <w:numPr>
          <w:ilvl w:val="0"/>
          <w:numId w:val="8"/>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the role that visa policy can play as leverage in the EU's readmission policy.</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The third area differs from the two others in that the source of the problem originates in the area of return, and not in visa policy, and the affected groups and stakeholders as well as the consequences of the problem are very different. Nevertheless the two policy areas both have a strong external relations dimension and can be considered as foreign policy tools. A link can be established to obtain better leverage vis-à-vis third countries, as shown below in the baseline scenario (section 5.1.3) and the policy options (section 5.2.3).</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A number of issues raised in the stakeholder consultation (or the 2014 evaluation) are not addressed in this report, such as the use and monitoring of external service providers (ESP), new IT solutions for a full digitalisation of the visa application process, and the current differentiation between visa-free and visa-required countries. The scope of stakeholder consultation was deliberately broader, as it was also supposed to feed into the policy communication that will accompany this initiative. Some issues, such as lodging and decision-making deadlines as well as monitoring of ESP, are covered by the carry-overs from the 2014 proposal (see annex 7). Issues regarding visa requirements concern the Visa Regulation (539/2001) and will be addressed in the communication. On full digitalisation of visa procedures the communication will announce the launch of feasibility studies that could feed in future legislative initiatives.</w:t>
      </w:r>
    </w:p>
    <w:p>
      <w:pPr>
        <w:pStyle w:val="Heading1"/>
        <w:tabs>
          <w:tab w:val="clear" w:pos="480"/>
        </w:tabs>
        <w:ind w:left="0" w:firstLine="0"/>
        <w:rPr>
          <w:noProof/>
        </w:rPr>
      </w:pPr>
      <w:bookmarkStart w:id="11" w:name="_Toc507148458"/>
      <w:r>
        <w:rPr>
          <w:noProof/>
        </w:rPr>
        <w:t>Problem definition</w:t>
      </w:r>
      <w:bookmarkEnd w:id="11"/>
    </w:p>
    <w:p>
      <w:pPr>
        <w:pStyle w:val="Heading2"/>
        <w:tabs>
          <w:tab w:val="clear" w:pos="1200"/>
          <w:tab w:val="num" w:pos="720"/>
        </w:tabs>
        <w:ind w:left="0" w:firstLine="0"/>
        <w:rPr>
          <w:noProof/>
          <w:u w:val="single"/>
        </w:rPr>
      </w:pPr>
      <w:bookmarkStart w:id="12" w:name="_Toc507148459"/>
      <w:r>
        <w:rPr>
          <w:noProof/>
          <w:u w:val="single"/>
        </w:rPr>
        <w:t>What are the problems?</w:t>
      </w:r>
      <w:bookmarkEnd w:id="12"/>
    </w:p>
    <w:p>
      <w:pPr>
        <w:pStyle w:val="Heading3"/>
        <w:tabs>
          <w:tab w:val="left" w:pos="720"/>
        </w:tabs>
        <w:ind w:left="0" w:firstLine="0"/>
        <w:rPr>
          <w:b/>
          <w:i w:val="0"/>
          <w:noProof/>
        </w:rPr>
      </w:pPr>
      <w:bookmarkStart w:id="13" w:name="_Toc507148460"/>
      <w:r>
        <w:rPr>
          <w:b/>
          <w:i w:val="0"/>
          <w:noProof/>
        </w:rPr>
        <w:t>Insufficient financial resources to support visa processing</w:t>
      </w:r>
      <w:bookmarkEnd w:id="13"/>
    </w:p>
    <w:p>
      <w:pPr>
        <w:jc w:val="both"/>
        <w:rPr>
          <w:rFonts w:ascii="Times New Roman" w:hAnsi="Times New Roman" w:cs="Times New Roman"/>
          <w:noProof/>
          <w:sz w:val="24"/>
          <w:szCs w:val="24"/>
        </w:rPr>
      </w:pPr>
      <w:r>
        <w:rPr>
          <w:rFonts w:ascii="Times New Roman" w:hAnsi="Times New Roman" w:cs="Times New Roman"/>
          <w:noProof/>
          <w:sz w:val="24"/>
          <w:szCs w:val="24"/>
        </w:rPr>
        <w:t>The number of visa applications processed by Member States has increased considerably over the last eight years since the Visa Code entered into force. While Member States processed 10.2 million visa applications worldwide in 2009, this figure rose by almost 70% to a peak of 17.3 million in 2013, and then dropped to 15.2 in 2016</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which still represents an increase by more than 50% over 2009. According to preliminary figures it is estimated that in 2017 the number of visa applications will have increased again to around 16 million.</w:t>
      </w:r>
    </w:p>
    <w:p>
      <w:pPr>
        <w:jc w:val="both"/>
        <w:rPr>
          <w:noProof/>
        </w:rPr>
      </w:pPr>
      <w:r>
        <w:rPr>
          <w:rFonts w:ascii="Times New Roman" w:hAnsi="Times New Roman" w:cs="Times New Roman"/>
          <w:noProof/>
          <w:sz w:val="24"/>
          <w:szCs w:val="24"/>
        </w:rPr>
        <w:t xml:space="preserve">At the same time the financial resources available to Member States' visa authorities and consulates for visa processing (per application) have remained static or even diminished due to budget cuts following the economic crisis. The visa fee of EUR 60 defined by the Visa Code should be the main financial source to cover the costs of visa processing. However, in a 2016 questionnaire survey as well as in the stakeholder consultation many Member States have affirmed (and some have presented calculations showing) that the current fee does not cover their administrative expenses, notably in terms of staffing (both expatriate and locally hired staff), premises, equipment, development and maintenance of IT systems, printing and secure management of visa stickers. This means that Member States have to cover the funding gap from their general administrative budget.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Scarce resources for visa processing have prompted Member States to use outsourcing of certain tasks to ESPs to alleviate the workload for their consulates. However, due to increasing volumes of applications outsourcing did not lead to sufficient cost savings. Member States were forced to take more drastic measures, such as cutting staff in consulates, reducing training and shifting more tasks from expatriate to local staff.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shown by several recent Schengen evaluation reports and LSC reports, understaffing (especially as regards expatriate staff which is by far more costly) and lack of appropriate training are recurrent problems. Consulates often lack well-trained experts with specific knowledge (e.g. document security experts). Staff shortages in consulates' visa sections directly affect the quality and integrity of the examination of visa applications and thus put at risk the screening function of visa procedures, with possible negative consequences for migratory and security threats. </w:t>
      </w:r>
    </w:p>
    <w:p>
      <w:pPr>
        <w:jc w:val="both"/>
        <w:rPr>
          <w:rFonts w:ascii="Times New Roman" w:hAnsi="Times New Roman" w:cs="Times New Roman"/>
          <w:i/>
          <w:strike/>
          <w:noProof/>
          <w:sz w:val="24"/>
          <w:szCs w:val="24"/>
        </w:rPr>
      </w:pPr>
      <w:r>
        <w:rPr>
          <w:rFonts w:ascii="Times New Roman" w:hAnsi="Times New Roman" w:cs="Times New Roman"/>
          <w:noProof/>
          <w:sz w:val="24"/>
          <w:szCs w:val="24"/>
        </w:rPr>
        <w:t>Some Member States have, as a result of short financial resources, started closing consular/visa sections or refusing representation of other Member States in certain locations.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Those measures create problems for visa applicants, as it means that they have to travel to other countries (than those they live in) to apply for a visa. </w:t>
      </w:r>
    </w:p>
    <w:p>
      <w:pPr>
        <w:jc w:val="both"/>
        <w:rPr>
          <w:rFonts w:ascii="Times New Roman" w:hAnsi="Times New Roman" w:cs="Times New Roman"/>
          <w:i/>
          <w:strike/>
          <w:noProof/>
          <w:sz w:val="24"/>
          <w:szCs w:val="24"/>
        </w:rPr>
      </w:pPr>
      <w:r>
        <w:rPr>
          <w:rFonts w:ascii="Times New Roman" w:hAnsi="Times New Roman" w:cs="Times New Roman"/>
          <w:noProof/>
          <w:sz w:val="24"/>
          <w:szCs w:val="24"/>
        </w:rPr>
        <w:t>Insufficient financial and human resources also lead to long waiting times and deadlines in processing the visa applications, especially in peak seasons when Member States do not always have the necessary resources to dispatch temporary staff reinforcements. This is confirmed by many complaints received by the Commission as well as the open stakeholder consultation. The fact the length of the procedure was rated by respondents in the open consultation as the most difficult aspect of the visa procedure (32.6% selected it as the most difficult, 27.5% as the second most difficult element). The 2013 European Commission's study on the economic impact of short stay visa facilitation highlights that the most important source markets are late-booking markets. The lengthy visa procedures therefore deter tourist from travelling to Europe in the first place, leading to considerable revenue losses for the European tourism industry.</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According to a European Tour Operators Association (ETOA) report, it is estimated that 21% of potential tourists from emerging markets abandon their plans to travel to Europe due to slow processing of visas.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lack of sufficient revenues supporting visa processing thus undermines the integrity of the visa processing as well as the objective of providing fast and client-friendly procedures to visa applicants. </w:t>
      </w:r>
    </w:p>
    <w:p>
      <w:pPr>
        <w:pStyle w:val="Heading3"/>
        <w:tabs>
          <w:tab w:val="left" w:pos="720"/>
        </w:tabs>
        <w:ind w:left="0" w:firstLine="0"/>
        <w:rPr>
          <w:b/>
          <w:i w:val="0"/>
          <w:noProof/>
        </w:rPr>
      </w:pPr>
      <w:bookmarkStart w:id="14" w:name="_Toc507148461"/>
      <w:r>
        <w:rPr>
          <w:b/>
          <w:i w:val="0"/>
          <w:noProof/>
        </w:rPr>
        <w:t>Repeated visa procedures for regular travellers</w:t>
      </w:r>
      <w:bookmarkEnd w:id="14"/>
    </w:p>
    <w:p>
      <w:pPr>
        <w:jc w:val="both"/>
        <w:rPr>
          <w:rFonts w:ascii="Times New Roman" w:hAnsi="Times New Roman" w:cs="Times New Roman"/>
          <w:noProof/>
          <w:sz w:val="24"/>
          <w:szCs w:val="24"/>
        </w:rPr>
      </w:pPr>
      <w:r>
        <w:rPr>
          <w:rFonts w:ascii="Times New Roman" w:hAnsi="Times New Roman" w:cs="Times New Roman"/>
          <w:noProof/>
          <w:sz w:val="24"/>
          <w:szCs w:val="24"/>
        </w:rPr>
        <w:t>One of the main problems already identified in great detail in the 2014 Impact Assessment is the lengthy and cumbersome visa procedure. This is particularly true for regular travellers who visit the EU at least once a year for business trips, to attend conferences, to meet family or friends, or as tourists. In the stakeholder consultation, associations representing business travellers, maritime transport, performing arts and tourism were particularly in favour of reducing administrative burdens for frequent visitors. In the open public consultation 84% of individual respondents who travel to the Schengen area at least twice per year stated that they had not received any facilitations during the visa application process despite repeated visa applications.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Visa Code allows the issuing of multiple-entry visas (MEV) with a validity of up to five years. However, experience gathered in Schengen evaluations and in LSC since the start of application of the Visa Code shows that this possibility is rarely used. Member States (at central or consulate level) have a restrictive policy for issuing visas with a long validity; as a maximum many consulates are willing to issue a visa with a validity of one year, with a few rare exceptions. There are several reasons for the reluctance to Member States to issue MEV with a long validity: long-established practices to issue visas mainly for the planned trip; consulates' apprehension that visas with long validity increase migratory risk; national requirements for consulates to consult central authorities before issuing visas with long validity; and the unclear legal basis (see below, section 2.2.2). Moreover, there are also wide variations between Member States' practices when it comes to the length of validity of these MEV.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table below shows the MEV-issuing practice of three Schengen consulates in China visited as part of Schengen evaluations in 2016 and 2017. It shows, in two of the three cases, the very low share of MEV with a validity of one year or more among the total of visas issued (between 1 and 1.5%). At the same time it shows the wide variety of practices among Member States. These figures should be read against the background of the rapidly improving socio-economic situation of Chinese applicants and the rather low migratory risk from China, compared with other third countries. </w:t>
      </w:r>
    </w:p>
    <w:tbl>
      <w:tblPr>
        <w:tblStyle w:val="TableGrid"/>
        <w:tblW w:w="0" w:type="auto"/>
        <w:tblLook w:val="04A0" w:firstRow="1" w:lastRow="0" w:firstColumn="1" w:lastColumn="0" w:noHBand="0" w:noVBand="1"/>
      </w:tblPr>
      <w:tblGrid>
        <w:gridCol w:w="3108"/>
        <w:gridCol w:w="1920"/>
        <w:gridCol w:w="1920"/>
        <w:gridCol w:w="1886"/>
      </w:tblGrid>
      <w:tr>
        <w:tc>
          <w:tcPr>
            <w:tcW w:w="3108" w:type="dxa"/>
            <w:shd w:val="clear" w:color="auto" w:fill="D9D9D9" w:themeFill="background1" w:themeFillShade="D9"/>
          </w:tcPr>
          <w:p>
            <w:pPr>
              <w:jc w:val="both"/>
              <w:rPr>
                <w:b/>
                <w:noProof/>
                <w:sz w:val="22"/>
                <w:szCs w:val="22"/>
              </w:rPr>
            </w:pPr>
            <w:r>
              <w:rPr>
                <w:b/>
                <w:noProof/>
                <w:sz w:val="22"/>
                <w:szCs w:val="22"/>
              </w:rPr>
              <w:t>Share of total visas issued</w:t>
            </w:r>
          </w:p>
        </w:tc>
        <w:tc>
          <w:tcPr>
            <w:tcW w:w="1920" w:type="dxa"/>
            <w:shd w:val="clear" w:color="auto" w:fill="D9D9D9" w:themeFill="background1" w:themeFillShade="D9"/>
          </w:tcPr>
          <w:p>
            <w:pPr>
              <w:jc w:val="both"/>
              <w:rPr>
                <w:b/>
                <w:noProof/>
                <w:sz w:val="22"/>
                <w:szCs w:val="22"/>
              </w:rPr>
            </w:pPr>
            <w:r>
              <w:rPr>
                <w:b/>
                <w:noProof/>
                <w:sz w:val="22"/>
                <w:szCs w:val="22"/>
              </w:rPr>
              <w:t>Member State 1</w:t>
            </w:r>
          </w:p>
        </w:tc>
        <w:tc>
          <w:tcPr>
            <w:tcW w:w="1920" w:type="dxa"/>
            <w:shd w:val="clear" w:color="auto" w:fill="D9D9D9" w:themeFill="background1" w:themeFillShade="D9"/>
          </w:tcPr>
          <w:p>
            <w:pPr>
              <w:jc w:val="both"/>
              <w:rPr>
                <w:b/>
                <w:noProof/>
                <w:sz w:val="22"/>
                <w:szCs w:val="22"/>
              </w:rPr>
            </w:pPr>
            <w:r>
              <w:rPr>
                <w:b/>
                <w:noProof/>
                <w:sz w:val="22"/>
                <w:szCs w:val="22"/>
              </w:rPr>
              <w:t>Member State 2</w:t>
            </w:r>
          </w:p>
        </w:tc>
        <w:tc>
          <w:tcPr>
            <w:tcW w:w="1886" w:type="dxa"/>
            <w:shd w:val="clear" w:color="auto" w:fill="D9D9D9" w:themeFill="background1" w:themeFillShade="D9"/>
          </w:tcPr>
          <w:p>
            <w:pPr>
              <w:jc w:val="both"/>
              <w:rPr>
                <w:b/>
                <w:noProof/>
                <w:sz w:val="22"/>
                <w:szCs w:val="22"/>
              </w:rPr>
            </w:pPr>
            <w:r>
              <w:rPr>
                <w:b/>
                <w:noProof/>
                <w:sz w:val="22"/>
                <w:szCs w:val="22"/>
              </w:rPr>
              <w:t>Member State 3</w:t>
            </w:r>
          </w:p>
        </w:tc>
      </w:tr>
      <w:tr>
        <w:tc>
          <w:tcPr>
            <w:tcW w:w="3108" w:type="dxa"/>
          </w:tcPr>
          <w:p>
            <w:pPr>
              <w:jc w:val="both"/>
              <w:rPr>
                <w:b/>
                <w:noProof/>
                <w:sz w:val="22"/>
                <w:szCs w:val="22"/>
              </w:rPr>
            </w:pPr>
            <w:r>
              <w:rPr>
                <w:b/>
                <w:noProof/>
                <w:sz w:val="22"/>
                <w:szCs w:val="22"/>
              </w:rPr>
              <w:t>MEV 1 year</w:t>
            </w:r>
          </w:p>
        </w:tc>
        <w:tc>
          <w:tcPr>
            <w:tcW w:w="1920" w:type="dxa"/>
          </w:tcPr>
          <w:p>
            <w:pPr>
              <w:jc w:val="both"/>
              <w:rPr>
                <w:noProof/>
                <w:sz w:val="22"/>
                <w:szCs w:val="22"/>
              </w:rPr>
            </w:pPr>
            <w:r>
              <w:rPr>
                <w:noProof/>
                <w:sz w:val="22"/>
                <w:szCs w:val="22"/>
              </w:rPr>
              <w:t>0.99%</w:t>
            </w:r>
          </w:p>
        </w:tc>
        <w:tc>
          <w:tcPr>
            <w:tcW w:w="1920" w:type="dxa"/>
          </w:tcPr>
          <w:p>
            <w:pPr>
              <w:jc w:val="both"/>
              <w:rPr>
                <w:noProof/>
                <w:sz w:val="22"/>
                <w:szCs w:val="22"/>
              </w:rPr>
            </w:pPr>
            <w:r>
              <w:rPr>
                <w:noProof/>
                <w:sz w:val="22"/>
                <w:szCs w:val="22"/>
              </w:rPr>
              <w:t>15.4%</w:t>
            </w:r>
          </w:p>
        </w:tc>
        <w:tc>
          <w:tcPr>
            <w:tcW w:w="1886" w:type="dxa"/>
          </w:tcPr>
          <w:p>
            <w:pPr>
              <w:jc w:val="both"/>
              <w:rPr>
                <w:noProof/>
                <w:sz w:val="22"/>
                <w:szCs w:val="22"/>
              </w:rPr>
            </w:pPr>
            <w:r>
              <w:rPr>
                <w:noProof/>
                <w:sz w:val="22"/>
                <w:szCs w:val="22"/>
              </w:rPr>
              <w:t>0.87%</w:t>
            </w:r>
          </w:p>
        </w:tc>
      </w:tr>
      <w:tr>
        <w:tc>
          <w:tcPr>
            <w:tcW w:w="3108" w:type="dxa"/>
          </w:tcPr>
          <w:p>
            <w:pPr>
              <w:jc w:val="both"/>
              <w:rPr>
                <w:b/>
                <w:noProof/>
                <w:sz w:val="22"/>
                <w:szCs w:val="22"/>
              </w:rPr>
            </w:pPr>
            <w:r>
              <w:rPr>
                <w:b/>
                <w:noProof/>
                <w:sz w:val="22"/>
                <w:szCs w:val="22"/>
              </w:rPr>
              <w:t>MEV 2 years</w:t>
            </w:r>
          </w:p>
        </w:tc>
        <w:tc>
          <w:tcPr>
            <w:tcW w:w="1920" w:type="dxa"/>
          </w:tcPr>
          <w:p>
            <w:pPr>
              <w:jc w:val="both"/>
              <w:rPr>
                <w:noProof/>
                <w:sz w:val="22"/>
                <w:szCs w:val="22"/>
              </w:rPr>
            </w:pPr>
            <w:r>
              <w:rPr>
                <w:noProof/>
                <w:sz w:val="22"/>
                <w:szCs w:val="22"/>
              </w:rPr>
              <w:t>0.24%</w:t>
            </w:r>
          </w:p>
        </w:tc>
        <w:tc>
          <w:tcPr>
            <w:tcW w:w="1920" w:type="dxa"/>
          </w:tcPr>
          <w:p>
            <w:pPr>
              <w:jc w:val="both"/>
              <w:rPr>
                <w:noProof/>
                <w:sz w:val="22"/>
                <w:szCs w:val="22"/>
              </w:rPr>
            </w:pPr>
            <w:r>
              <w:rPr>
                <w:noProof/>
                <w:sz w:val="22"/>
                <w:szCs w:val="22"/>
              </w:rPr>
              <w:t>0.57%</w:t>
            </w:r>
          </w:p>
        </w:tc>
        <w:tc>
          <w:tcPr>
            <w:tcW w:w="1886" w:type="dxa"/>
          </w:tcPr>
          <w:p>
            <w:pPr>
              <w:jc w:val="both"/>
              <w:rPr>
                <w:noProof/>
                <w:sz w:val="22"/>
                <w:szCs w:val="22"/>
              </w:rPr>
            </w:pPr>
            <w:r>
              <w:rPr>
                <w:noProof/>
                <w:sz w:val="22"/>
                <w:szCs w:val="22"/>
              </w:rPr>
              <w:t>0.09%</w:t>
            </w:r>
          </w:p>
        </w:tc>
      </w:tr>
      <w:tr>
        <w:tc>
          <w:tcPr>
            <w:tcW w:w="3108" w:type="dxa"/>
          </w:tcPr>
          <w:p>
            <w:pPr>
              <w:jc w:val="both"/>
              <w:rPr>
                <w:b/>
                <w:noProof/>
                <w:sz w:val="22"/>
                <w:szCs w:val="22"/>
              </w:rPr>
            </w:pPr>
            <w:r>
              <w:rPr>
                <w:b/>
                <w:noProof/>
                <w:sz w:val="22"/>
                <w:szCs w:val="22"/>
              </w:rPr>
              <w:t>MEV 3 years</w:t>
            </w:r>
          </w:p>
        </w:tc>
        <w:tc>
          <w:tcPr>
            <w:tcW w:w="1920" w:type="dxa"/>
          </w:tcPr>
          <w:p>
            <w:pPr>
              <w:jc w:val="both"/>
              <w:rPr>
                <w:noProof/>
                <w:sz w:val="22"/>
                <w:szCs w:val="22"/>
              </w:rPr>
            </w:pPr>
            <w:r>
              <w:rPr>
                <w:noProof/>
                <w:sz w:val="22"/>
                <w:szCs w:val="22"/>
              </w:rPr>
              <w:t>0.19%</w:t>
            </w:r>
          </w:p>
        </w:tc>
        <w:tc>
          <w:tcPr>
            <w:tcW w:w="1920" w:type="dxa"/>
          </w:tcPr>
          <w:p>
            <w:pPr>
              <w:jc w:val="both"/>
              <w:rPr>
                <w:noProof/>
                <w:sz w:val="22"/>
                <w:szCs w:val="22"/>
              </w:rPr>
            </w:pPr>
            <w:r>
              <w:rPr>
                <w:noProof/>
                <w:sz w:val="22"/>
                <w:szCs w:val="22"/>
              </w:rPr>
              <w:t>0.64%</w:t>
            </w:r>
          </w:p>
        </w:tc>
        <w:tc>
          <w:tcPr>
            <w:tcW w:w="1886" w:type="dxa"/>
          </w:tcPr>
          <w:p>
            <w:pPr>
              <w:jc w:val="both"/>
              <w:rPr>
                <w:noProof/>
                <w:sz w:val="22"/>
                <w:szCs w:val="22"/>
              </w:rPr>
            </w:pPr>
            <w:r>
              <w:rPr>
                <w:noProof/>
                <w:sz w:val="22"/>
                <w:szCs w:val="22"/>
              </w:rPr>
              <w:t>0.00%</w:t>
            </w:r>
          </w:p>
        </w:tc>
      </w:tr>
      <w:tr>
        <w:tc>
          <w:tcPr>
            <w:tcW w:w="3108" w:type="dxa"/>
          </w:tcPr>
          <w:p>
            <w:pPr>
              <w:jc w:val="both"/>
              <w:rPr>
                <w:b/>
                <w:noProof/>
                <w:sz w:val="22"/>
                <w:szCs w:val="22"/>
              </w:rPr>
            </w:pPr>
            <w:r>
              <w:rPr>
                <w:b/>
                <w:noProof/>
                <w:sz w:val="22"/>
                <w:szCs w:val="22"/>
              </w:rPr>
              <w:t>MEV 4 years</w:t>
            </w:r>
          </w:p>
        </w:tc>
        <w:tc>
          <w:tcPr>
            <w:tcW w:w="1920" w:type="dxa"/>
          </w:tcPr>
          <w:p>
            <w:pPr>
              <w:jc w:val="both"/>
              <w:rPr>
                <w:noProof/>
                <w:sz w:val="22"/>
                <w:szCs w:val="22"/>
              </w:rPr>
            </w:pPr>
            <w:r>
              <w:rPr>
                <w:noProof/>
                <w:sz w:val="22"/>
                <w:szCs w:val="22"/>
              </w:rPr>
              <w:t>-</w:t>
            </w:r>
          </w:p>
        </w:tc>
        <w:tc>
          <w:tcPr>
            <w:tcW w:w="1920" w:type="dxa"/>
          </w:tcPr>
          <w:p>
            <w:pPr>
              <w:jc w:val="both"/>
              <w:rPr>
                <w:noProof/>
                <w:sz w:val="22"/>
                <w:szCs w:val="22"/>
              </w:rPr>
            </w:pPr>
            <w:r>
              <w:rPr>
                <w:noProof/>
                <w:sz w:val="22"/>
                <w:szCs w:val="22"/>
              </w:rPr>
              <w:t>0.68%</w:t>
            </w:r>
          </w:p>
        </w:tc>
        <w:tc>
          <w:tcPr>
            <w:tcW w:w="1886" w:type="dxa"/>
          </w:tcPr>
          <w:p>
            <w:pPr>
              <w:jc w:val="both"/>
              <w:rPr>
                <w:noProof/>
                <w:sz w:val="22"/>
                <w:szCs w:val="22"/>
              </w:rPr>
            </w:pPr>
            <w:r>
              <w:rPr>
                <w:noProof/>
                <w:sz w:val="22"/>
                <w:szCs w:val="22"/>
              </w:rPr>
              <w:t>-</w:t>
            </w:r>
          </w:p>
        </w:tc>
      </w:tr>
      <w:tr>
        <w:tc>
          <w:tcPr>
            <w:tcW w:w="3108" w:type="dxa"/>
          </w:tcPr>
          <w:p>
            <w:pPr>
              <w:jc w:val="both"/>
              <w:rPr>
                <w:b/>
                <w:noProof/>
                <w:sz w:val="22"/>
                <w:szCs w:val="22"/>
              </w:rPr>
            </w:pPr>
            <w:r>
              <w:rPr>
                <w:b/>
                <w:noProof/>
                <w:sz w:val="22"/>
                <w:szCs w:val="22"/>
              </w:rPr>
              <w:t>MEV 5 years</w:t>
            </w:r>
          </w:p>
        </w:tc>
        <w:tc>
          <w:tcPr>
            <w:tcW w:w="1920" w:type="dxa"/>
          </w:tcPr>
          <w:p>
            <w:pPr>
              <w:jc w:val="both"/>
              <w:rPr>
                <w:noProof/>
                <w:sz w:val="22"/>
                <w:szCs w:val="22"/>
              </w:rPr>
            </w:pPr>
            <w:r>
              <w:rPr>
                <w:noProof/>
                <w:sz w:val="22"/>
                <w:szCs w:val="22"/>
              </w:rPr>
              <w:t>0.04%</w:t>
            </w:r>
          </w:p>
        </w:tc>
        <w:tc>
          <w:tcPr>
            <w:tcW w:w="1920" w:type="dxa"/>
          </w:tcPr>
          <w:p>
            <w:pPr>
              <w:jc w:val="both"/>
              <w:rPr>
                <w:noProof/>
                <w:sz w:val="22"/>
                <w:szCs w:val="22"/>
              </w:rPr>
            </w:pPr>
            <w:r>
              <w:rPr>
                <w:noProof/>
                <w:sz w:val="22"/>
                <w:szCs w:val="22"/>
              </w:rPr>
              <w:t>2.13%</w:t>
            </w:r>
          </w:p>
        </w:tc>
        <w:tc>
          <w:tcPr>
            <w:tcW w:w="1886" w:type="dxa"/>
          </w:tcPr>
          <w:p>
            <w:pPr>
              <w:jc w:val="both"/>
              <w:rPr>
                <w:noProof/>
                <w:sz w:val="22"/>
                <w:szCs w:val="22"/>
              </w:rPr>
            </w:pPr>
            <w:r>
              <w:rPr>
                <w:noProof/>
                <w:sz w:val="22"/>
                <w:szCs w:val="22"/>
              </w:rPr>
              <w:t>-</w:t>
            </w:r>
          </w:p>
        </w:tc>
      </w:tr>
      <w:tr>
        <w:tc>
          <w:tcPr>
            <w:tcW w:w="3108" w:type="dxa"/>
          </w:tcPr>
          <w:p>
            <w:pPr>
              <w:jc w:val="both"/>
              <w:rPr>
                <w:b/>
                <w:noProof/>
                <w:sz w:val="22"/>
                <w:szCs w:val="22"/>
              </w:rPr>
            </w:pPr>
            <w:r>
              <w:rPr>
                <w:b/>
                <w:noProof/>
                <w:sz w:val="22"/>
                <w:szCs w:val="22"/>
              </w:rPr>
              <w:t>Total MEV 1 year or more</w:t>
            </w:r>
          </w:p>
        </w:tc>
        <w:tc>
          <w:tcPr>
            <w:tcW w:w="1920" w:type="dxa"/>
          </w:tcPr>
          <w:p>
            <w:pPr>
              <w:jc w:val="both"/>
              <w:rPr>
                <w:b/>
                <w:noProof/>
                <w:sz w:val="22"/>
                <w:szCs w:val="22"/>
              </w:rPr>
            </w:pPr>
            <w:r>
              <w:rPr>
                <w:b/>
                <w:noProof/>
                <w:sz w:val="22"/>
                <w:szCs w:val="22"/>
              </w:rPr>
              <w:t>1.45%</w:t>
            </w:r>
          </w:p>
        </w:tc>
        <w:tc>
          <w:tcPr>
            <w:tcW w:w="1920" w:type="dxa"/>
          </w:tcPr>
          <w:p>
            <w:pPr>
              <w:jc w:val="both"/>
              <w:rPr>
                <w:b/>
                <w:noProof/>
                <w:sz w:val="22"/>
                <w:szCs w:val="22"/>
              </w:rPr>
            </w:pPr>
            <w:r>
              <w:rPr>
                <w:b/>
                <w:noProof/>
                <w:sz w:val="22"/>
                <w:szCs w:val="22"/>
              </w:rPr>
              <w:t>19.4%</w:t>
            </w:r>
          </w:p>
        </w:tc>
        <w:tc>
          <w:tcPr>
            <w:tcW w:w="1886" w:type="dxa"/>
          </w:tcPr>
          <w:p>
            <w:pPr>
              <w:jc w:val="both"/>
              <w:rPr>
                <w:b/>
                <w:noProof/>
                <w:sz w:val="22"/>
                <w:szCs w:val="22"/>
              </w:rPr>
            </w:pPr>
            <w:r>
              <w:rPr>
                <w:b/>
                <w:noProof/>
                <w:sz w:val="22"/>
                <w:szCs w:val="22"/>
              </w:rPr>
              <w:t>0.97%</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By way of comparison, the standard validity of visitor visas issued by the United States and Canada in China is 10 years (unless the passport validity is shorter than that, in which case the visa validity is adapted to that of the passport). These countries argue that the risk of irregular migration and overstay does not increase by issuing visas with longer validity, while security checks in databases can continuously be performed by the systems during the validity of the visa (leading to its revocation where appropriate).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low share of long-validity MEV – combined with cumbersome and costly visa procedures – affect the EU's economy negatively. It prevents spontaneous business or leisure travel by affluent travellers notably from countries such as China, India, or the Gulf region, who tend to increasingly take last-minute decisions on travel. Such persons who have not yet been granted a MEV with long validity after one or two trips to the EU with single-entry visas might turn their attention towards countries which are more ready to grant them visitor visas with long validity (e.g. United States, Canada, New Zealand). Business people, tourists as well as people travelling for medical treatment will thus direct their investment and spending to countries outside of the EU. That will carry negative consequences for the EU's tourism industry, retail trade, the health sector and the economy as a whole. </w:t>
      </w:r>
    </w:p>
    <w:p>
      <w:pPr>
        <w:jc w:val="both"/>
        <w:rPr>
          <w:rFonts w:ascii="Times New Roman" w:hAnsi="Times New Roman" w:cs="Times New Roman"/>
          <w:noProof/>
          <w:sz w:val="24"/>
          <w:szCs w:val="24"/>
        </w:rPr>
      </w:pPr>
      <w:r>
        <w:rPr>
          <w:rFonts w:ascii="Times New Roman" w:hAnsi="Times New Roman" w:cs="Times New Roman"/>
          <w:noProof/>
          <w:sz w:val="24"/>
          <w:szCs w:val="24"/>
        </w:rPr>
        <w:t>While it is very difficult to estimate the overall scale of the economic loss to the EU as a result from heavy and repetitive visa procedures, the fact as such was confirmed by stakeholders during the targeted and the open public consultations.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The tourism industry associations highlighted the role of outbound travel agencies, who have considerable influence in steering business towards markets where visa procedures are perceived to be less cumbersome. In the open consultation 22% of individual respondents who offered an answer stated they would be deterred from visiting the Schengen area again due to their experience with the visa procedure. </w:t>
      </w:r>
    </w:p>
    <w:p>
      <w:pPr>
        <w:jc w:val="both"/>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hAnsi="Times New Roman"/>
          <w:noProof/>
          <w:sz w:val="24"/>
          <w:szCs w:val="24"/>
          <w:lang w:eastAsia="en-GB"/>
        </w:rPr>
        <w:t>he EU Member States are among the world's leading tourist destinations and the tourism and travel industry plays a key role in the European economy.</w:t>
      </w:r>
      <w:r>
        <w:rPr>
          <w:rStyle w:val="FootnoteReference"/>
          <w:rFonts w:ascii="Times New Roman" w:hAnsi="Times New Roman"/>
          <w:noProof/>
          <w:sz w:val="24"/>
          <w:szCs w:val="24"/>
          <w:lang w:eastAsia="en-GB"/>
        </w:rPr>
        <w:footnoteReference w:id="24"/>
      </w:r>
      <w:r>
        <w:rPr>
          <w:rFonts w:ascii="Times New Roman" w:hAnsi="Times New Roman"/>
          <w:noProof/>
          <w:sz w:val="24"/>
          <w:szCs w:val="24"/>
          <w:lang w:eastAsia="en-GB"/>
        </w:rPr>
        <w:t xml:space="preserve"> Currently it contributes approximately 10% to the EU's GDP and it contributed to the labour market by 11.6% in 2016.</w:t>
      </w:r>
      <w:r>
        <w:rPr>
          <w:rStyle w:val="FootnoteReference"/>
          <w:rFonts w:ascii="Times New Roman" w:hAnsi="Times New Roman"/>
          <w:noProof/>
          <w:sz w:val="24"/>
          <w:szCs w:val="24"/>
          <w:lang w:eastAsia="en-GB"/>
        </w:rPr>
        <w:footnoteReference w:id="25"/>
      </w:r>
      <w:r>
        <w:rPr>
          <w:rFonts w:ascii="Times New Roman" w:hAnsi="Times New Roman"/>
          <w:noProof/>
          <w:sz w:val="24"/>
          <w:szCs w:val="24"/>
          <w:lang w:eastAsia="en-GB"/>
        </w:rPr>
        <w:t xml:space="preserve"> Visa-required countries include those with the highest increase in international tourism expenditure in the first half of 2017 (China: +19%, Russia: + 27% after some years of declines, Thailand: +8%).</w:t>
      </w:r>
      <w:r>
        <w:rPr>
          <w:rStyle w:val="FootnoteReference"/>
          <w:rFonts w:ascii="Times New Roman" w:hAnsi="Times New Roman"/>
          <w:noProof/>
          <w:sz w:val="24"/>
          <w:szCs w:val="24"/>
          <w:lang w:eastAsia="en-GB"/>
        </w:rPr>
        <w:footnoteReference w:id="26"/>
      </w:r>
      <w:r>
        <w:rPr>
          <w:rFonts w:ascii="Times New Roman" w:hAnsi="Times New Roman"/>
          <w:noProof/>
          <w:sz w:val="24"/>
          <w:szCs w:val="24"/>
          <w:lang w:eastAsia="en-GB"/>
        </w:rPr>
        <w:t xml:space="preserve"> However, the low share of MEV among the total number of visas issued unnecessarily restrains further growth of the industry and limits its global competitiveness</w:t>
      </w:r>
      <w:r>
        <w:rPr>
          <w:rStyle w:val="FootnoteReference"/>
          <w:rFonts w:ascii="Times New Roman" w:hAnsi="Times New Roman"/>
          <w:noProof/>
          <w:sz w:val="24"/>
          <w:szCs w:val="24"/>
          <w:lang w:eastAsia="en-GB"/>
        </w:rPr>
        <w:footnoteReference w:id="27"/>
      </w:r>
      <w:r>
        <w:rPr>
          <w:rFonts w:ascii="Times New Roman" w:hAnsi="Times New Roman"/>
          <w:noProof/>
          <w:sz w:val="24"/>
          <w:szCs w:val="24"/>
          <w:lang w:eastAsia="en-GB"/>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Another consequence of the low volume of MEV with long validity is that frequent travellers have to apply over and over again which represents an administrative burden not only for the applicants, but also for the consulates in particular in locations with very high volumes of applications. This constitutes a strain for the consulates' human resources which are already stretched as a result of the limited financial resources (see above, section 2.1.1).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varying practices of Member States with regard to issuing MEV with long validity encourage applicants to disregard the rules of Member States' competence for issuing visas and apply with those Member States where they expect the most favourable outcome (so called "visa shopping"). This means that applicants are more likely to provide fraudulent information or documents with regard to their travel destination and/or purpose. Visa shopping is a form of fraud, and even though it is difficult to determine the extent of the phenomenon, Member States confirm that visa shopping is a serious issue and occurs frequently. Online fora in third countries show a vivid exchange among applicants on which consulates issue visas with a long validity. Divergence in issuing long-validity MEV is one of the strongest factor for visa shopping and also leads to accusations against some Member States of "unfair competition" to attract tourists and businesspeople and of not respecting the common rules. </w:t>
      </w:r>
    </w:p>
    <w:p>
      <w:pPr>
        <w:pStyle w:val="Heading3"/>
        <w:tabs>
          <w:tab w:val="left" w:pos="720"/>
        </w:tabs>
        <w:ind w:left="0" w:firstLine="0"/>
        <w:rPr>
          <w:b/>
          <w:i w:val="0"/>
          <w:noProof/>
        </w:rPr>
      </w:pPr>
      <w:bookmarkStart w:id="15" w:name="_Toc507148462"/>
      <w:r>
        <w:rPr>
          <w:b/>
          <w:i w:val="0"/>
          <w:noProof/>
        </w:rPr>
        <w:t>Insufficient levels of return of irregular migrants to some countries of origin</w:t>
      </w:r>
      <w:bookmarkEnd w:id="15"/>
      <w:r>
        <w:rPr>
          <w:b/>
          <w:i w:val="0"/>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In the wake of the migration crisis of 2015 the numbers of irregular migrants in the EU expected to return to their home country has grown considerably</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These numbers comprise people found to be staying illegally in the EU, persons having received negative asylum decisions as well as those for whom return decisions were issued.    </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Eurostat data</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between 2011 and 2016 over 5 million third country nationals were found to be illegally present in the territory of the EU Member States, out of which just over 3 million in 2015 and 2016 alone. As regards asylum seekers, in 2015 and 2016 a total of 718 665 third country nationals received first-instance negative asylum decisions, with an additional 412 330 having received negative decisions in the first three quarters of 2017. In the six-year period of 2011-2016, 2 891 260 persons were ordered to leave, out of which 1 118 385 were returned to third countries. This means that 1 772 875 persons were not returned, out of which 600 925 in 2015-2016 alone. It can be assumed that the majority of these persons continue to remain in the territory of the EU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Irregular migrants staying in the territory of the Member States and waiting for return to their home country – whether refused asylum seekers, overstayers or other third-country nationals who do not (or no longer) fulfil the conditions of entry and stay – remain in legal limbo: not having an authorisation to stay, they do not have the right to work legally, and thus do not benefit from the rights and legal protection available to legal migrants having access to employment. They cause high costs for Member States in terms of housing, food, medical expenses and related expenses, as well as administrative costs. When return is not immediately possible, certain basic rights are provided under the Return Directive, such as emergency healthcare and access to education for children. Many Member States go beyond the basic requirements and continue to provide housing, healthcare, as well as adult education even after a return decision has been taken, to reduce the likelihood of absconding. Irregular migrants can easily become prey of human traffickers, as well as be subject to exploitation.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Irregular migrants who pose a risk of absconding can be detained by the EU Member States pending preparation of return for up to 18 months. Detention of irregular migrants is not only a serious restriction of freedom for the migrants themselves, but also very costly for the Member States. Due to high judicial requirements and the limited detention capacity in the Member States, the threshold for detention of irregular migrants is set very high. Alternatives to detention, such as reporting obligations, seizing travel documents and/or valuables, requirement to reside at a specified location, are known to be inefficient in preventing absconding.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increases the risk of secondary movements of irregular migrants and abuse of Member States' immigration systems.  Secondary movements increase the administrative burden of Member States in terms of identification of apprehended irregular migrants, administrative and/or judicial proceedings necessary to reach a decision on the right to stay in a given Member State, appeal procedures, possible detention, preparation of return etc. </w:t>
      </w:r>
    </w:p>
    <w:p>
      <w:pPr>
        <w:jc w:val="both"/>
        <w:rPr>
          <w:rFonts w:ascii="Times New Roman" w:hAnsi="Times New Roman" w:cs="Times New Roman"/>
          <w:noProof/>
          <w:sz w:val="24"/>
          <w:szCs w:val="24"/>
        </w:rPr>
      </w:pPr>
      <w:r>
        <w:rPr>
          <w:rFonts w:ascii="Times New Roman" w:hAnsi="Times New Roman" w:cs="Times New Roman"/>
          <w:noProof/>
          <w:sz w:val="24"/>
          <w:szCs w:val="24"/>
        </w:rPr>
        <w:t>Finally the failure to efficiently return migrants to their home country is also an incentive for further irregular migration. The dangers along the road to Europe are often disregarded by irregular migrants because they know that the risk of being returned once in Europe is rather low. Migrants would reconsider whether it is worthwhile to invest their own and/or family savings to enter Europe if the likelihood of being returned was significant.</w:t>
      </w:r>
    </w:p>
    <w:p>
      <w:pPr>
        <w:pStyle w:val="Heading2"/>
        <w:tabs>
          <w:tab w:val="clear" w:pos="1200"/>
          <w:tab w:val="num" w:pos="720"/>
        </w:tabs>
        <w:ind w:left="0" w:firstLine="0"/>
        <w:rPr>
          <w:noProof/>
          <w:u w:val="single"/>
        </w:rPr>
      </w:pPr>
      <w:bookmarkStart w:id="16" w:name="_Toc507148463"/>
      <w:r>
        <w:rPr>
          <w:noProof/>
          <w:u w:val="single"/>
        </w:rPr>
        <w:t>What are the problem drivers?</w:t>
      </w:r>
      <w:bookmarkEnd w:id="16"/>
    </w:p>
    <w:p>
      <w:pPr>
        <w:pStyle w:val="Heading3"/>
        <w:tabs>
          <w:tab w:val="num" w:pos="720"/>
        </w:tabs>
        <w:ind w:left="0" w:firstLine="0"/>
        <w:rPr>
          <w:b/>
          <w:i w:val="0"/>
          <w:noProof/>
        </w:rPr>
      </w:pPr>
      <w:bookmarkStart w:id="17" w:name="_Toc507148464"/>
      <w:r>
        <w:rPr>
          <w:b/>
          <w:i w:val="0"/>
          <w:noProof/>
        </w:rPr>
        <w:t>Insufficient financial resources</w:t>
      </w:r>
      <w:bookmarkEnd w:id="17"/>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main drivers for the insufficient financial resources for the purpose of visa processing is that the </w:t>
      </w:r>
      <w:r>
        <w:rPr>
          <w:rFonts w:ascii="Times New Roman" w:hAnsi="Times New Roman" w:cs="Times New Roman"/>
          <w:b/>
          <w:noProof/>
          <w:sz w:val="24"/>
          <w:szCs w:val="24"/>
        </w:rPr>
        <w:t>standard visa fee</w:t>
      </w:r>
      <w:r>
        <w:rPr>
          <w:rStyle w:val="FootnoteReference"/>
          <w:rFonts w:ascii="Times New Roman" w:hAnsi="Times New Roman" w:cs="Times New Roman"/>
          <w:b/>
          <w:noProof/>
          <w:sz w:val="24"/>
          <w:szCs w:val="24"/>
        </w:rPr>
        <w:footnoteReference w:id="30"/>
      </w:r>
      <w:r>
        <w:rPr>
          <w:rFonts w:ascii="Times New Roman" w:hAnsi="Times New Roman" w:cs="Times New Roman"/>
          <w:b/>
          <w:noProof/>
          <w:sz w:val="24"/>
          <w:szCs w:val="24"/>
        </w:rPr>
        <w:t xml:space="preserve"> of EUR 60 has not changed since 2006</w:t>
      </w:r>
      <w:r>
        <w:rPr>
          <w:rFonts w:ascii="Times New Roman" w:hAnsi="Times New Roman" w:cs="Times New Roman"/>
          <w:noProof/>
          <w:sz w:val="24"/>
          <w:szCs w:val="24"/>
        </w:rPr>
        <w:t xml:space="preserve">, i.e. even before the entry into force of the Visa Code in 2009. While the Visa Code provides that it "shall be revised regularly in order to reflect the administrative costs", it does not define a specific procedure for revising the fee. Currently the only possibility to change it is to amend the Visa Code.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negotiations on the Visa Code recast proposal several Member States were in favour of reviewing urgently the visa fee. </w:t>
      </w:r>
      <w:r>
        <w:rPr>
          <w:rFonts w:ascii="Times New Roman" w:hAnsi="Times New Roman"/>
          <w:noProof/>
          <w:sz w:val="24"/>
          <w:szCs w:val="24"/>
        </w:rPr>
        <w:t>This issue was brought up to Coreper in September 2015, which invited the Commission to carry out an assessment of administrative costs of the processing of visa applications.  Following up this request</w:t>
      </w:r>
      <w:r>
        <w:rPr>
          <w:rFonts w:ascii="Times New Roman" w:hAnsi="Times New Roman" w:cs="Times New Roman"/>
          <w:noProof/>
          <w:sz w:val="24"/>
          <w:szCs w:val="24"/>
        </w:rPr>
        <w:t>, the Commission carried out a survey among Member States to assess the cost of processing a visa application and what methodology should be followed to make such a calculation.</w:t>
      </w:r>
      <w:r>
        <w:rPr>
          <w:rStyle w:val="FootnoteReference"/>
          <w:rFonts w:ascii="Times New Roman" w:hAnsi="Times New Roman" w:cs="Times New Roman"/>
          <w:noProof/>
          <w:sz w:val="24"/>
          <w:szCs w:val="24"/>
        </w:rPr>
        <w:footnoteReference w:id="31"/>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stakeholder consultation, almost all Member States were of the view that the cost of processing a visa application exceeds the amount of the fee and that the visa fee should be increased. However, they differed on the precise amount and whether it should be differentiated by location or validity of the issued visa. </w:t>
      </w:r>
      <w:r>
        <w:rPr>
          <w:rFonts w:ascii="Times New Roman" w:eastAsia="Calibri" w:hAnsi="Times New Roman" w:cs="Times New Roman"/>
          <w:noProof/>
          <w:sz w:val="24"/>
          <w:szCs w:val="24"/>
        </w:rPr>
        <w:t>Some argued that rather than linking the visa fee to the administrative costs, a political decision should be taken to set it at a certain level. A few Member States, however, recalled that travellers' spending during their stay compensates for low revenues from the visa fee. This point of view is shared by stakeholders in the tourism and travel business, who argue that the visa fee should be seen as a marketing cost that is overcompensated not only indirectly by the economic benefit of travel and tourism to the Schengen area, but directly by the additional tax revenue that Member States derive from visitors' spending in the Schengen area.</w:t>
      </w:r>
    </w:p>
    <w:p>
      <w:pPr>
        <w:jc w:val="both"/>
        <w:rPr>
          <w:rFonts w:ascii="Times New Roman" w:hAnsi="Times New Roman" w:cs="Times New Roman"/>
          <w:noProof/>
          <w:sz w:val="24"/>
          <w:szCs w:val="24"/>
        </w:rPr>
      </w:pPr>
      <w:r>
        <w:rPr>
          <w:rFonts w:ascii="Times New Roman" w:hAnsi="Times New Roman" w:cs="Times New Roman"/>
          <w:noProof/>
          <w:sz w:val="24"/>
          <w:szCs w:val="24"/>
        </w:rPr>
        <w:t>In comparison with many other countries' fees for comparable visitor visas, the EU visa fee is rather low.</w:t>
      </w:r>
      <w:r>
        <w:rPr>
          <w:rStyle w:val="FootnoteReference"/>
          <w:rFonts w:ascii="Times New Roman" w:hAnsi="Times New Roman" w:cs="Times New Roman"/>
          <w:noProof/>
          <w:sz w:val="24"/>
          <w:szCs w:val="24"/>
        </w:rPr>
        <w:footnoteReference w:id="32"/>
      </w:r>
    </w:p>
    <w:p>
      <w:pPr>
        <w:pStyle w:val="Heading3"/>
        <w:tabs>
          <w:tab w:val="num" w:pos="720"/>
        </w:tabs>
        <w:ind w:left="0" w:firstLine="0"/>
        <w:rPr>
          <w:b/>
          <w:i w:val="0"/>
          <w:noProof/>
        </w:rPr>
      </w:pPr>
      <w:bookmarkStart w:id="18" w:name="_Toc507148465"/>
      <w:r>
        <w:rPr>
          <w:b/>
          <w:i w:val="0"/>
          <w:noProof/>
        </w:rPr>
        <w:t>Repeated visa procedures</w:t>
      </w:r>
      <w:bookmarkEnd w:id="18"/>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main driver for and underlying cause of the repetitive visa procedures for frequent travellers and the low share of long-validity MEV is the </w:t>
      </w:r>
      <w:r>
        <w:rPr>
          <w:rFonts w:ascii="Times New Roman" w:hAnsi="Times New Roman" w:cs="Times New Roman"/>
          <w:b/>
          <w:noProof/>
          <w:sz w:val="24"/>
          <w:szCs w:val="24"/>
        </w:rPr>
        <w:t>unclear legal basis for issuing such MEVs</w:t>
      </w:r>
      <w:r>
        <w:rPr>
          <w:rFonts w:ascii="Times New Roman" w:hAnsi="Times New Roman" w:cs="Times New Roman"/>
          <w:noProof/>
          <w:sz w:val="24"/>
          <w:szCs w:val="24"/>
        </w:rPr>
        <w:t xml:space="preserve"> and Member States' diverging interpretation of it. Some Member States require their consulates to consult central authorities before granting long-validity MEVs, which represents an additional burden and thus a disincentive for consulates to do so.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the Visa Code provides for the – in principle mandatory – issuing of MEV with long validity between six months and five years to </w:t>
      </w:r>
      <w:r>
        <w:rPr>
          <w:rFonts w:ascii="Times New Roman" w:hAnsi="Times New Roman" w:cs="Times New Roman"/>
          <w:i/>
          <w:noProof/>
          <w:sz w:val="24"/>
          <w:szCs w:val="24"/>
        </w:rPr>
        <w:t>bona fide</w:t>
      </w:r>
      <w:r>
        <w:rPr>
          <w:rFonts w:ascii="Times New Roman" w:hAnsi="Times New Roman" w:cs="Times New Roman"/>
          <w:noProof/>
          <w:sz w:val="24"/>
          <w:szCs w:val="24"/>
        </w:rPr>
        <w:t xml:space="preserve"> regular travellers who have proven their integrity and reliability by lawfully using previous visas, this formulation of the provision allows for different interpretations. The legal basis is not very clear with regard to the conditions for issuing of long-validity MEV, the personal scope of the provision and the precise length of validity MEVs to be issued.</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For instance there are diverging views on how applicants are to prove the need to travel frequently or regularly (which in theory implies concrete planning and evidence of future trips), to what extent previous trips to other comparable countries (e.g. UK, US, Canada, Australia, New Zealand, Japan) can be taken into account and whether certain categories of travellers such as tourists can benefit from the provision, as they are not explicitly mentioned. </w:t>
      </w:r>
    </w:p>
    <w:p>
      <w:pPr>
        <w:jc w:val="both"/>
        <w:rPr>
          <w:rFonts w:ascii="Times New Roman" w:hAnsi="Times New Roman" w:cs="Times New Roman"/>
          <w:noProof/>
          <w:sz w:val="24"/>
          <w:szCs w:val="24"/>
        </w:rPr>
      </w:pPr>
      <w:r>
        <w:rPr>
          <w:rFonts w:ascii="Times New Roman" w:hAnsi="Times New Roman" w:cs="Times New Roman"/>
          <w:noProof/>
          <w:sz w:val="24"/>
          <w:szCs w:val="24"/>
        </w:rPr>
        <w:t>Moreover there are no rules on the number of previous visas/trips that would entitle the applicant to a long-validity MEV and how fast the length of validity for each subsequent visa would increase (so called "MEV cascade"). Some Member States at central level or in individual consulates have developed such cascades (e.g. the so-called "decision protocols" of one Member State's Ministry of Foreign Affairs) leading to individual practices which only aggravate the lack of harmonisation. Additionally, it has been observed in Schengen evaluations that Member States do not always take account of visas issued by other Member States for the purpose of considering applicants as frequent travellers. The guidance provided by legislation to consulates on the issuing of MEV with long validity is therefore insufficient in several aspects.</w:t>
      </w:r>
    </w:p>
    <w:p>
      <w:pPr>
        <w:pStyle w:val="Heading3"/>
        <w:tabs>
          <w:tab w:val="num" w:pos="720"/>
        </w:tabs>
        <w:ind w:left="0" w:firstLine="0"/>
        <w:rPr>
          <w:b/>
          <w:i w:val="0"/>
          <w:noProof/>
        </w:rPr>
      </w:pPr>
      <w:bookmarkStart w:id="19" w:name="_Toc507148466"/>
      <w:r>
        <w:rPr>
          <w:b/>
          <w:i w:val="0"/>
          <w:noProof/>
        </w:rPr>
        <w:t>Return of irregular migrants</w:t>
      </w:r>
      <w:bookmarkEnd w:id="19"/>
      <w:r>
        <w:rPr>
          <w:b/>
          <w:i w:val="0"/>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Readmission of own nationals is an obligation under international customary law, hence cooperation on return is not something that is at the will of a government. Nevertheless many </w:t>
      </w:r>
      <w:r>
        <w:rPr>
          <w:rFonts w:ascii="Times New Roman" w:hAnsi="Times New Roman" w:cs="Times New Roman"/>
          <w:b/>
          <w:noProof/>
          <w:sz w:val="24"/>
          <w:szCs w:val="24"/>
        </w:rPr>
        <w:t>third country governments are</w:t>
      </w:r>
      <w:r>
        <w:rPr>
          <w:rFonts w:ascii="Times New Roman" w:hAnsi="Times New Roman" w:cs="Times New Roman"/>
          <w:noProof/>
          <w:sz w:val="24"/>
          <w:szCs w:val="24"/>
        </w:rPr>
        <w:t xml:space="preserve"> </w:t>
      </w:r>
      <w:r>
        <w:rPr>
          <w:rFonts w:ascii="Times New Roman" w:hAnsi="Times New Roman" w:cs="Times New Roman"/>
          <w:b/>
          <w:noProof/>
          <w:sz w:val="24"/>
          <w:szCs w:val="24"/>
        </w:rPr>
        <w:t>reluctant to readmit their own nationals</w:t>
      </w:r>
      <w:r>
        <w:rPr>
          <w:rFonts w:ascii="Times New Roman" w:hAnsi="Times New Roman" w:cs="Times New Roman"/>
          <w:noProof/>
          <w:sz w:val="24"/>
          <w:szCs w:val="24"/>
        </w:rPr>
        <w:t>. In the case of 80 third countries the return rates (i.e. the share of persons return to their country out of those ordered to leave EU territory) fall below the EU average return rate (46.4% in 2016). Around 700 000 persons of those found to be illegally present in the territory of EU Member States in 2016 and nearly 300 000 persons of those ordered to leave originated from countries that lie below that average return rate. The return rate as such does not fully reflect the level of cooperation with third countries, as the discrepancy between the number of persons ordered to leave and those effectively returned can also be attributed to Member States' own legal or administrative obstacles to return. Nevertheless, a comparison between the return rates to various third countries is a solid indicator of the differences in the level of cooperation on return and readmission.</w:t>
      </w:r>
    </w:p>
    <w:p>
      <w:pPr>
        <w:jc w:val="both"/>
        <w:rPr>
          <w:rFonts w:ascii="Times New Roman" w:hAnsi="Times New Roman" w:cs="Times New Roman"/>
          <w:noProof/>
          <w:sz w:val="24"/>
          <w:szCs w:val="24"/>
        </w:rPr>
      </w:pPr>
      <w:r>
        <w:rPr>
          <w:rFonts w:ascii="Times New Roman" w:hAnsi="Times New Roman" w:cs="Times New Roman"/>
          <w:noProof/>
          <w:sz w:val="24"/>
          <w:szCs w:val="24"/>
        </w:rPr>
        <w:t>Return of an irregular migrant can only be enforced on condition of possession of a valid travel document. If such a document is available, no formalities or procedures with authorities of the third country of origin are necessary. A third country's cooperation is necessary, however, when no valid travel document is available to Member State's authorities and consequently the nationality of the irregular migrant has to be confirmed and a travel document issued by third country authorities. This is a widespread situation as many irregular migrants conceal or destroy their passport to prevent their return.</w:t>
      </w:r>
    </w:p>
    <w:p>
      <w:pPr>
        <w:jc w:val="both"/>
        <w:rPr>
          <w:rFonts w:ascii="Times New Roman" w:hAnsi="Times New Roman" w:cs="Times New Roman"/>
          <w:noProof/>
          <w:sz w:val="24"/>
          <w:szCs w:val="24"/>
        </w:rPr>
      </w:pPr>
      <w:r>
        <w:rPr>
          <w:rFonts w:ascii="Times New Roman" w:hAnsi="Times New Roman" w:cs="Times New Roman"/>
          <w:noProof/>
          <w:sz w:val="24"/>
          <w:szCs w:val="24"/>
        </w:rPr>
        <w:t>In general, based on Member States' reports, cooperation in the return process is difficult with most third countries of origin. The authorities in the third countries concerned are not willing to cooperate efficiently in this process, hence procedures are delayed, obstacles are created, and eventually removal is postponed or avoided. The most recurrent obstacles reported were:</w:t>
      </w:r>
    </w:p>
    <w:p>
      <w:pPr>
        <w:pStyle w:val="ListParagraph"/>
        <w:numPr>
          <w:ilvl w:val="0"/>
          <w:numId w:val="8"/>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requiring additional information, such as criminal records or identification documents;</w:t>
      </w:r>
    </w:p>
    <w:p>
      <w:pPr>
        <w:pStyle w:val="ListParagraph"/>
        <w:numPr>
          <w:ilvl w:val="0"/>
          <w:numId w:val="8"/>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requests to identify the person, as opposed to establishing his/her nationality;</w:t>
      </w:r>
    </w:p>
    <w:p>
      <w:pPr>
        <w:pStyle w:val="ListParagraph"/>
        <w:numPr>
          <w:ilvl w:val="0"/>
          <w:numId w:val="8"/>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failure to accept the return decision as the outcome of national procedures, and the request to reconsider the grounds for stay of the third-country nationals concerned;</w:t>
      </w:r>
    </w:p>
    <w:p>
      <w:pPr>
        <w:pStyle w:val="ListParagraph"/>
        <w:numPr>
          <w:ilvl w:val="0"/>
          <w:numId w:val="8"/>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lack of competence of the embassies to establish nationality and identity;</w:t>
      </w:r>
    </w:p>
    <w:p>
      <w:pPr>
        <w:pStyle w:val="ListParagraph"/>
        <w:numPr>
          <w:ilvl w:val="0"/>
          <w:numId w:val="8"/>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lack of capacity/willingness at the consular sections of embassies to conduct interviews with alleged nationals;</w:t>
      </w:r>
    </w:p>
    <w:p>
      <w:pPr>
        <w:pStyle w:val="ListParagraph"/>
        <w:numPr>
          <w:ilvl w:val="0"/>
          <w:numId w:val="8"/>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refusal to issue travel documents;</w:t>
      </w:r>
    </w:p>
    <w:p>
      <w:pPr>
        <w:pStyle w:val="ListParagraph"/>
        <w:numPr>
          <w:ilvl w:val="0"/>
          <w:numId w:val="8"/>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refusal to accept return flights, in particular charter flights.</w:t>
      </w:r>
    </w:p>
    <w:p>
      <w:pPr>
        <w:jc w:val="both"/>
        <w:rPr>
          <w:rFonts w:ascii="Times New Roman" w:hAnsi="Times New Roman" w:cs="Times New Roman"/>
          <w:noProof/>
          <w:sz w:val="24"/>
          <w:szCs w:val="24"/>
        </w:rPr>
      </w:pPr>
      <w:r>
        <w:rPr>
          <w:rFonts w:ascii="Times New Roman" w:hAnsi="Times New Roman" w:cs="Times New Roman"/>
          <w:noProof/>
          <w:sz w:val="24"/>
          <w:szCs w:val="24"/>
        </w:rPr>
        <w:t>As regards the reasons for the lack of third countries' cooperation on return, most third countries do not provide formal/public justification, given the sensitivity of the topic. However the experience in negotiations with third countries on readmission, at EU and Member States level identified these main reasons:</w:t>
      </w:r>
    </w:p>
    <w:p>
      <w:pPr>
        <w:pStyle w:val="ListParagraph"/>
        <w:numPr>
          <w:ilvl w:val="0"/>
          <w:numId w:val="8"/>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public opinion in third countries remaining very hostile to cooperation on readmission with the EU;</w:t>
      </w:r>
    </w:p>
    <w:p>
      <w:pPr>
        <w:pStyle w:val="ListParagraph"/>
        <w:numPr>
          <w:ilvl w:val="0"/>
          <w:numId w:val="8"/>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protecting the interests of own nationals who have migrated to Member States, whether they had done so regularly or irregularly;</w:t>
      </w:r>
    </w:p>
    <w:p>
      <w:pPr>
        <w:pStyle w:val="ListParagraph"/>
        <w:numPr>
          <w:ilvl w:val="0"/>
          <w:numId w:val="8"/>
        </w:num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pressure from the diaspora – in some cases embassies/consulates have been reported to become subject to pressures, bribes or even threats by the migrants' families urging them to prevent return;</w:t>
      </w:r>
    </w:p>
    <w:p>
      <w:pPr>
        <w:pStyle w:val="ListParagraph"/>
        <w:numPr>
          <w:ilvl w:val="0"/>
          <w:numId w:val="8"/>
        </w:numPr>
        <w:autoSpaceDE w:val="0"/>
        <w:autoSpaceDN w:val="0"/>
        <w:adjustRightInd w:val="0"/>
        <w:spacing w:after="240"/>
        <w:jc w:val="both"/>
        <w:rPr>
          <w:rFonts w:ascii="Times New Roman" w:hAnsi="Times New Roman"/>
          <w:noProof/>
          <w:sz w:val="24"/>
          <w:szCs w:val="24"/>
        </w:rPr>
      </w:pPr>
      <w:r>
        <w:rPr>
          <w:rFonts w:ascii="Times New Roman" w:hAnsi="Times New Roman"/>
          <w:noProof/>
          <w:sz w:val="24"/>
          <w:szCs w:val="24"/>
        </w:rPr>
        <w:t xml:space="preserve">fear of the loss of remittances from migrants, which in many third countries constitute a substantial share of the GDP (even though irregular migrants represent only a fraction of the diaspora and are unlikely to be able to send significant amounts given their precarious status). </w:t>
      </w:r>
    </w:p>
    <w:p>
      <w:pPr>
        <w:pStyle w:val="Heading2"/>
        <w:tabs>
          <w:tab w:val="clear" w:pos="1200"/>
          <w:tab w:val="num" w:pos="720"/>
        </w:tabs>
        <w:ind w:left="0" w:firstLine="0"/>
        <w:rPr>
          <w:noProof/>
          <w:u w:val="single"/>
        </w:rPr>
      </w:pPr>
      <w:bookmarkStart w:id="20" w:name="_Toc507148467"/>
      <w:r>
        <w:rPr>
          <w:noProof/>
          <w:u w:val="single"/>
        </w:rPr>
        <w:t>How will the problem evolve?</w:t>
      </w:r>
      <w:bookmarkEnd w:id="20"/>
    </w:p>
    <w:p>
      <w:pPr>
        <w:pStyle w:val="Heading3"/>
        <w:tabs>
          <w:tab w:val="num" w:pos="720"/>
        </w:tabs>
        <w:ind w:left="0" w:firstLine="0"/>
        <w:rPr>
          <w:b/>
          <w:i w:val="0"/>
          <w:noProof/>
        </w:rPr>
      </w:pPr>
      <w:bookmarkStart w:id="21" w:name="_Toc507148468"/>
      <w:r>
        <w:rPr>
          <w:b/>
          <w:i w:val="0"/>
          <w:noProof/>
        </w:rPr>
        <w:t>Insufficient financial resources</w:t>
      </w:r>
      <w:bookmarkEnd w:id="21"/>
    </w:p>
    <w:p>
      <w:pPr>
        <w:jc w:val="both"/>
        <w:rPr>
          <w:rFonts w:ascii="Times New Roman" w:hAnsi="Times New Roman" w:cs="Times New Roman"/>
          <w:noProof/>
          <w:sz w:val="24"/>
          <w:szCs w:val="24"/>
        </w:rPr>
      </w:pPr>
      <w:r>
        <w:rPr>
          <w:rFonts w:ascii="Times New Roman" w:hAnsi="Times New Roman" w:cs="Times New Roman"/>
          <w:noProof/>
          <w:sz w:val="24"/>
          <w:szCs w:val="24"/>
        </w:rPr>
        <w:t>Without any change to the current visa fee, it is very likely that the lack of financial resources will lead to further cuts to Member States' budgets for visa processing, resulting in staff shortages and the closing of visa sections. The consequences of these tendencies have been described in section 2.1.1.</w:t>
      </w:r>
    </w:p>
    <w:p>
      <w:pPr>
        <w:pStyle w:val="Heading3"/>
        <w:tabs>
          <w:tab w:val="num" w:pos="720"/>
        </w:tabs>
        <w:ind w:left="0" w:firstLine="0"/>
        <w:rPr>
          <w:b/>
          <w:i w:val="0"/>
          <w:noProof/>
        </w:rPr>
      </w:pPr>
      <w:bookmarkStart w:id="22" w:name="_Toc507148469"/>
      <w:r>
        <w:rPr>
          <w:b/>
          <w:i w:val="0"/>
          <w:noProof/>
        </w:rPr>
        <w:t>Repeated visa procedures</w:t>
      </w:r>
      <w:bookmarkEnd w:id="22"/>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some Member States have recognised the problem and have started taking action (mostly at central level) to encourage consulates to issue more long-validity visas, the awareness and the perceived need for action is not shared equally among Member States. In the absence of clear harmonised rules on the issuing of visas to regular travellers, Member States and their consulates are likely to continue to determining their own approach.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Many are likely to continue to be reluctant to issue MEV with long validity, while others might continue to adopt a more open approach, depending either on economic interests and general relations with the host country or on consuls' individual assessments.  Especially consulates of smaller Member States with no capacity problems because of limited numbers of applications or those who do not attract tourists do not feel the same level of pressure from central authorities, host countries, applicants, the tourism industry and business in general to issue more long-validity MEV, first because the volume of visa applications in their consulates is lower and secondly because they are less likely to be the main destination of repeated trips of the same applicant. It is therefore likely that the gap between the practices of more forthcoming and more restrictive Member States will further increase.  </w:t>
      </w:r>
    </w:p>
    <w:p>
      <w:pPr>
        <w:pStyle w:val="Heading3"/>
        <w:tabs>
          <w:tab w:val="num" w:pos="720"/>
        </w:tabs>
        <w:ind w:left="0" w:firstLine="0"/>
        <w:rPr>
          <w:b/>
          <w:i w:val="0"/>
          <w:noProof/>
        </w:rPr>
      </w:pPr>
      <w:bookmarkStart w:id="23" w:name="_Toc507148470"/>
      <w:r>
        <w:rPr>
          <w:b/>
          <w:i w:val="0"/>
          <w:noProof/>
        </w:rPr>
        <w:t>Return of irregular migrants</w:t>
      </w:r>
      <w:bookmarkEnd w:id="23"/>
      <w:r>
        <w:rPr>
          <w:b/>
          <w:i w:val="0"/>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Given the peak in asylum applications in 2015 and 2016 and the length of asylum and appeal procedures, it can be assumed with certainty that the number of migrants expected to return to their countries (and thus the scope of the problem) will grow in the coming years. On the basis of Eurostat figures it can be extrapolated that about 1.2 million refused asylum seekers will be progressively receiving enforceable return decisions in 2018-2019</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Out of the 2 583 735 asylum applications made in 2015-2016, 884 655 were still pending in 2017 and could result in a high number of return decisions. The political pressure to enforce return decisions in practice will grow accordingly. </w:t>
      </w:r>
    </w:p>
    <w:p>
      <w:pPr>
        <w:pStyle w:val="Heading1"/>
        <w:tabs>
          <w:tab w:val="clear" w:pos="480"/>
        </w:tabs>
        <w:ind w:left="0" w:firstLine="0"/>
        <w:rPr>
          <w:noProof/>
        </w:rPr>
      </w:pPr>
      <w:bookmarkStart w:id="24" w:name="_Toc507148471"/>
      <w:r>
        <w:rPr>
          <w:noProof/>
        </w:rPr>
        <w:t>Why should the EU act?</w:t>
      </w:r>
      <w:bookmarkEnd w:id="24"/>
    </w:p>
    <w:p>
      <w:pPr>
        <w:pStyle w:val="Heading2"/>
        <w:tabs>
          <w:tab w:val="clear" w:pos="1200"/>
          <w:tab w:val="num" w:pos="720"/>
        </w:tabs>
        <w:ind w:left="0" w:firstLine="0"/>
        <w:rPr>
          <w:noProof/>
        </w:rPr>
      </w:pPr>
      <w:bookmarkStart w:id="25" w:name="_Toc507148472"/>
      <w:r>
        <w:rPr>
          <w:noProof/>
        </w:rPr>
        <w:t>Legal basis</w:t>
      </w:r>
      <w:bookmarkEnd w:id="2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legal basis for the common visa policy is Article 77(2)(a) TFEU. This Article empowers the Union to adopt measures concerning "the common policy on visas and other short stay residence permits". The existing Visa Code and other legislation in the field of the common visa policy have been adopted on that legal basis. </w:t>
      </w:r>
    </w:p>
    <w:p>
      <w:pPr>
        <w:pStyle w:val="Heading2"/>
        <w:tabs>
          <w:tab w:val="clear" w:pos="1200"/>
          <w:tab w:val="num" w:pos="720"/>
        </w:tabs>
        <w:ind w:left="0" w:firstLine="0"/>
        <w:rPr>
          <w:noProof/>
        </w:rPr>
      </w:pPr>
      <w:bookmarkStart w:id="26" w:name="_Toc507148473"/>
      <w:r>
        <w:rPr>
          <w:noProof/>
        </w:rPr>
        <w:t>Subsidiarity: Necessity of EU action</w:t>
      </w:r>
      <w:bookmarkEnd w:id="26"/>
    </w:p>
    <w:p>
      <w:pPr>
        <w:autoSpaceDE w:val="0"/>
        <w:autoSpaceDN w:val="0"/>
        <w:adjustRightInd w:val="0"/>
        <w:spacing w:after="120"/>
        <w:jc w:val="both"/>
        <w:rPr>
          <w:rFonts w:ascii="Times New Roman" w:hAnsi="Times New Roman"/>
          <w:noProof/>
          <w:sz w:val="24"/>
          <w:szCs w:val="24"/>
          <w:lang w:eastAsia="de-DE"/>
        </w:rPr>
      </w:pPr>
      <w:r>
        <w:rPr>
          <w:rFonts w:ascii="Times New Roman" w:hAnsi="Times New Roman"/>
          <w:noProof/>
          <w:sz w:val="24"/>
          <w:szCs w:val="24"/>
          <w:lang w:eastAsia="de-DE"/>
        </w:rPr>
        <w:t>The abolition of checks at internal borders in the Schengen area requires, among other measures, a common policy on visas. The common visa lists (of countries whose nationals require visas and of those whose nationals are exempted from the visa requirement), and uniform conditions and harmonised procedures for issuing visas are pre-conditions for enabling mutual recognition of visas which allows third-country nationals legally present in one Schengen State to travel to the other Schengen State without requiring checks at internal borders. No stakeholders have so far called in question this principle.</w:t>
      </w:r>
    </w:p>
    <w:p>
      <w:pPr>
        <w:spacing w:after="120"/>
        <w:jc w:val="both"/>
        <w:rPr>
          <w:rFonts w:ascii="Times New Roman" w:hAnsi="Times New Roman"/>
          <w:noProof/>
          <w:sz w:val="24"/>
          <w:szCs w:val="24"/>
        </w:rPr>
      </w:pPr>
      <w:r>
        <w:rPr>
          <w:rFonts w:ascii="Times New Roman" w:hAnsi="Times New Roman"/>
          <w:noProof/>
          <w:sz w:val="24"/>
          <w:szCs w:val="24"/>
          <w:lang w:eastAsia="en-GB"/>
        </w:rPr>
        <w:t xml:space="preserve">The conditions and procedures for issuing short-stay visas are established by a regulation that is directly applicable in all Member States, namely the Visa Code. </w:t>
      </w:r>
      <w:r>
        <w:rPr>
          <w:rFonts w:ascii="Times New Roman" w:hAnsi="Times New Roman"/>
          <w:noProof/>
          <w:sz w:val="24"/>
          <w:szCs w:val="24"/>
        </w:rPr>
        <w:t xml:space="preserve">The problems elaborated in the previous sections are unlikely to disappear in the near future and they are directly related to the current provisions of the Visa Code. Amendments of the Visa Code are only possible at EU level. </w:t>
      </w:r>
    </w:p>
    <w:p>
      <w:pPr>
        <w:jc w:val="both"/>
        <w:rPr>
          <w:rFonts w:ascii="Times New Roman" w:hAnsi="Times New Roman" w:cs="Times New Roman"/>
          <w:noProof/>
          <w:sz w:val="24"/>
          <w:szCs w:val="24"/>
        </w:rPr>
      </w:pPr>
      <w:r>
        <w:rPr>
          <w:rFonts w:ascii="Times New Roman" w:hAnsi="Times New Roman" w:cs="Times New Roman"/>
          <w:noProof/>
          <w:sz w:val="24"/>
          <w:szCs w:val="24"/>
        </w:rPr>
        <w:t>The initiative will further develop and improve the rules in the Visa Code. The short-stay visa in principle allows its holder to circulate freely in the Schengen area, which implies the highest degree of harmonised rules that cannot be solved by Member States acting alone and can only be addressed at EU level.</w:t>
      </w:r>
    </w:p>
    <w:p>
      <w:pPr>
        <w:pStyle w:val="Heading2"/>
        <w:tabs>
          <w:tab w:val="clear" w:pos="1200"/>
          <w:tab w:val="num" w:pos="720"/>
        </w:tabs>
        <w:ind w:left="0" w:firstLine="0"/>
        <w:rPr>
          <w:noProof/>
        </w:rPr>
      </w:pPr>
      <w:bookmarkStart w:id="27" w:name="_Toc507148474"/>
      <w:r>
        <w:rPr>
          <w:noProof/>
        </w:rPr>
        <w:t>Subsidiarity: Added value of EU action</w:t>
      </w:r>
      <w:bookmarkEnd w:id="27"/>
    </w:p>
    <w:p>
      <w:pPr>
        <w:autoSpaceDE w:val="0"/>
        <w:autoSpaceDN w:val="0"/>
        <w:adjustRightInd w:val="0"/>
        <w:spacing w:after="120"/>
        <w:jc w:val="both"/>
        <w:rPr>
          <w:rFonts w:ascii="Times New Roman" w:hAnsi="Times New Roman"/>
          <w:b/>
          <w:caps/>
          <w:noProof/>
          <w:sz w:val="24"/>
          <w:szCs w:val="24"/>
        </w:rPr>
      </w:pPr>
      <w:r>
        <w:rPr>
          <w:rFonts w:ascii="Times New Roman" w:hAnsi="Times New Roman"/>
          <w:noProof/>
          <w:sz w:val="24"/>
          <w:szCs w:val="24"/>
        </w:rPr>
        <w:t>As described in the baseline scenario below, the continued application of the current legal framework is not going to lead to resolving these problems.</w:t>
      </w:r>
    </w:p>
    <w:p>
      <w:pPr>
        <w:spacing w:after="120"/>
        <w:jc w:val="both"/>
        <w:rPr>
          <w:rFonts w:ascii="Times New Roman" w:hAnsi="Times New Roman"/>
          <w:noProof/>
          <w:sz w:val="24"/>
          <w:szCs w:val="24"/>
        </w:rPr>
      </w:pPr>
      <w:r>
        <w:rPr>
          <w:rFonts w:ascii="Times New Roman" w:hAnsi="Times New Roman"/>
          <w:noProof/>
          <w:sz w:val="24"/>
          <w:szCs w:val="24"/>
        </w:rPr>
        <w:t xml:space="preserve">As regards the </w:t>
      </w:r>
      <w:r>
        <w:rPr>
          <w:rFonts w:ascii="Times New Roman" w:hAnsi="Times New Roman"/>
          <w:noProof/>
          <w:sz w:val="24"/>
          <w:szCs w:val="24"/>
          <w:u w:val="single"/>
        </w:rPr>
        <w:t>financing of visa processing</w:t>
      </w:r>
      <w:r>
        <w:rPr>
          <w:rFonts w:ascii="Times New Roman" w:hAnsi="Times New Roman"/>
          <w:noProof/>
          <w:sz w:val="24"/>
          <w:szCs w:val="24"/>
        </w:rPr>
        <w:t xml:space="preserve">, it is possible for Member States to increase their national budget for consulates and central visa authorities; however that possibility is considerably limited by national budget constraints which exist in most Member States. Moreover, the Visa Code stipulates that the visa fee should reflect the administrative costs of visa issuing. Furthermore, it is legally not possible for Member States to charge additional or higher fees from visa applicants for visa processing; such action can only be taken at EU level. </w:t>
      </w:r>
    </w:p>
    <w:p>
      <w:pPr>
        <w:spacing w:after="120"/>
        <w:jc w:val="both"/>
        <w:rPr>
          <w:rFonts w:ascii="Times New Roman" w:hAnsi="Times New Roman"/>
          <w:noProof/>
          <w:sz w:val="24"/>
          <w:szCs w:val="24"/>
        </w:rPr>
      </w:pPr>
      <w:r>
        <w:rPr>
          <w:rFonts w:ascii="Times New Roman" w:hAnsi="Times New Roman"/>
          <w:noProof/>
          <w:sz w:val="24"/>
          <w:szCs w:val="24"/>
        </w:rPr>
        <w:t xml:space="preserve">As regards the </w:t>
      </w:r>
      <w:r>
        <w:rPr>
          <w:rFonts w:ascii="Times New Roman" w:hAnsi="Times New Roman"/>
          <w:noProof/>
          <w:sz w:val="24"/>
          <w:szCs w:val="24"/>
          <w:u w:val="single"/>
        </w:rPr>
        <w:t>issuing of long-validity MEVs for regular travellers</w:t>
      </w:r>
      <w:r>
        <w:rPr>
          <w:rFonts w:ascii="Times New Roman" w:hAnsi="Times New Roman"/>
          <w:noProof/>
          <w:sz w:val="24"/>
          <w:szCs w:val="24"/>
        </w:rPr>
        <w:t xml:space="preserve">, the Visa Code currently leaves rather broad discretion to Member States. However, as argued above, national action in this field is likely to be very uneven and therefore to aggravate the problem, as it can lead to visa shopping as well as complaints by some Member States and mutual accusations. EU action is therefore warranted to achieve a more harmonised development and implementation of current rules. </w:t>
      </w:r>
    </w:p>
    <w:p>
      <w:pPr>
        <w:spacing w:after="120"/>
        <w:jc w:val="both"/>
        <w:rPr>
          <w:rFonts w:ascii="Times New Roman" w:hAnsi="Times New Roman"/>
          <w:noProof/>
          <w:sz w:val="24"/>
          <w:szCs w:val="24"/>
        </w:rPr>
      </w:pPr>
      <w:r>
        <w:rPr>
          <w:rFonts w:ascii="Times New Roman" w:hAnsi="Times New Roman"/>
          <w:noProof/>
          <w:sz w:val="24"/>
          <w:szCs w:val="24"/>
        </w:rPr>
        <w:t xml:space="preserve">National action is possible and desirable to try to obtain </w:t>
      </w:r>
      <w:r>
        <w:rPr>
          <w:rFonts w:ascii="Times New Roman" w:hAnsi="Times New Roman"/>
          <w:noProof/>
          <w:sz w:val="24"/>
          <w:szCs w:val="24"/>
          <w:u w:val="single"/>
        </w:rPr>
        <w:t>better cooperation of third countries on matters of return of irregular migrants</w:t>
      </w:r>
      <w:r>
        <w:rPr>
          <w:rFonts w:ascii="Times New Roman" w:hAnsi="Times New Roman"/>
          <w:noProof/>
          <w:sz w:val="24"/>
          <w:szCs w:val="24"/>
        </w:rPr>
        <w:t xml:space="preserve">. Many Member States have developed activities in that field, with varying success. However, it is unlikely that any of such activities will achieve the same leverage towards reluctant third countries to cooperate as concerted action by all Member States, e.g. in the framework of the common visa policy. </w:t>
      </w:r>
    </w:p>
    <w:p>
      <w:pPr>
        <w:pStyle w:val="Heading1"/>
        <w:tabs>
          <w:tab w:val="clear" w:pos="480"/>
        </w:tabs>
        <w:ind w:left="0" w:firstLine="0"/>
        <w:rPr>
          <w:noProof/>
        </w:rPr>
      </w:pPr>
      <w:bookmarkStart w:id="28" w:name="_Toc507148475"/>
      <w:r>
        <w:rPr>
          <w:noProof/>
        </w:rPr>
        <w:t>Objectives: What is to be achieved?</w:t>
      </w:r>
      <w:bookmarkEnd w:id="28"/>
    </w:p>
    <w:p>
      <w:pPr>
        <w:spacing w:after="120"/>
        <w:jc w:val="both"/>
        <w:rPr>
          <w:rFonts w:ascii="Times New Roman" w:hAnsi="Times New Roman"/>
          <w:noProof/>
          <w:sz w:val="24"/>
          <w:szCs w:val="24"/>
        </w:rPr>
      </w:pPr>
      <w:r>
        <w:rPr>
          <w:rFonts w:ascii="Times New Roman" w:hAnsi="Times New Roman"/>
          <w:noProof/>
          <w:sz w:val="24"/>
          <w:szCs w:val="24"/>
        </w:rPr>
        <w:t xml:space="preserve">This section lists the general and specific objectives any initiative should have to address the above-mentioned problems faced by Member States and visa applicants. </w:t>
      </w:r>
    </w:p>
    <w:p>
      <w:pPr>
        <w:pStyle w:val="Heading2"/>
        <w:tabs>
          <w:tab w:val="clear" w:pos="1200"/>
          <w:tab w:val="num" w:pos="720"/>
        </w:tabs>
        <w:ind w:left="0" w:firstLine="0"/>
        <w:rPr>
          <w:noProof/>
        </w:rPr>
      </w:pPr>
      <w:bookmarkStart w:id="29" w:name="_Toc507148476"/>
      <w:r>
        <w:rPr>
          <w:noProof/>
        </w:rPr>
        <w:t>General objectives</w:t>
      </w:r>
      <w:bookmarkEnd w:id="29"/>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general objective of the initiative is to strengthen the common visa policy while addressing migration and security concerns on one hand and taking into account economic considerations and general external relations on the other hand. </w:t>
      </w:r>
    </w:p>
    <w:p>
      <w:pPr>
        <w:pStyle w:val="Heading2"/>
        <w:tabs>
          <w:tab w:val="clear" w:pos="1200"/>
          <w:tab w:val="num" w:pos="720"/>
        </w:tabs>
        <w:ind w:left="0" w:firstLine="0"/>
        <w:rPr>
          <w:noProof/>
        </w:rPr>
      </w:pPr>
      <w:bookmarkStart w:id="30" w:name="_Toc507148477"/>
      <w:r>
        <w:rPr>
          <w:noProof/>
        </w:rPr>
        <w:t>Specific objectives</w:t>
      </w:r>
      <w:bookmarkEnd w:id="30"/>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general objective, the following specific objectives should be addressed: </w:t>
      </w:r>
    </w:p>
    <w:p>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 xml:space="preserve">ensure sufficient financial resources to Member States in order to safeguard the quality and integrity of visa processing; </w:t>
      </w:r>
    </w:p>
    <w:p>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 xml:space="preserve">ensure more systematic and harmonised issuing of multiple-entry visas with long validity to </w:t>
      </w:r>
      <w:r>
        <w:rPr>
          <w:rFonts w:ascii="Times New Roman" w:hAnsi="Times New Roman" w:cs="Times New Roman"/>
          <w:i/>
          <w:noProof/>
          <w:sz w:val="24"/>
          <w:szCs w:val="24"/>
        </w:rPr>
        <w:t>bona fide</w:t>
      </w:r>
      <w:r>
        <w:rPr>
          <w:rFonts w:ascii="Times New Roman" w:hAnsi="Times New Roman" w:cs="Times New Roman"/>
          <w:noProof/>
          <w:sz w:val="24"/>
          <w:szCs w:val="24"/>
        </w:rPr>
        <w:t xml:space="preserve"> regular travellers;</w:t>
      </w:r>
    </w:p>
    <w:p>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t xml:space="preserve">advance the EU's interests in the area of return and readmission by increasing leverage </w:t>
      </w:r>
      <w:r>
        <w:rPr>
          <w:rFonts w:ascii="Times New Roman" w:hAnsi="Times New Roman" w:cs="Times New Roman"/>
          <w:i/>
          <w:noProof/>
          <w:sz w:val="24"/>
          <w:szCs w:val="24"/>
        </w:rPr>
        <w:t>vis-à-vis</w:t>
      </w:r>
      <w:r>
        <w:rPr>
          <w:rFonts w:ascii="Times New Roman" w:hAnsi="Times New Roman" w:cs="Times New Roman"/>
          <w:noProof/>
          <w:sz w:val="24"/>
          <w:szCs w:val="24"/>
        </w:rPr>
        <w:t xml:space="preserve"> non-cooperative third countries in the area of visa policy.</w:t>
      </w:r>
    </w:p>
    <w:p>
      <w:pPr>
        <w:pStyle w:val="Heading1"/>
        <w:tabs>
          <w:tab w:val="clear" w:pos="480"/>
        </w:tabs>
        <w:ind w:left="0" w:firstLine="0"/>
        <w:rPr>
          <w:noProof/>
        </w:rPr>
      </w:pPr>
      <w:bookmarkStart w:id="31" w:name="_Toc507148478"/>
      <w:r>
        <w:rPr>
          <w:noProof/>
        </w:rPr>
        <w:t>What are the available policy options?</w:t>
      </w:r>
      <w:bookmarkEnd w:id="31"/>
    </w:p>
    <w:p>
      <w:pPr>
        <w:pStyle w:val="Heading2"/>
        <w:tabs>
          <w:tab w:val="clear" w:pos="1200"/>
          <w:tab w:val="num" w:pos="720"/>
        </w:tabs>
        <w:ind w:left="0" w:firstLine="0"/>
        <w:rPr>
          <w:noProof/>
          <w:u w:val="single"/>
        </w:rPr>
      </w:pPr>
      <w:bookmarkStart w:id="32" w:name="_Toc507148479"/>
      <w:r>
        <w:rPr>
          <w:noProof/>
          <w:u w:val="single"/>
        </w:rPr>
        <w:t>What is the baseline from which options are assessed?</w:t>
      </w:r>
      <w:bookmarkEnd w:id="32"/>
    </w:p>
    <w:p>
      <w:pPr>
        <w:pStyle w:val="Heading3"/>
        <w:tabs>
          <w:tab w:val="num" w:pos="720"/>
        </w:tabs>
        <w:ind w:left="0" w:firstLine="0"/>
        <w:rPr>
          <w:b/>
          <w:i w:val="0"/>
          <w:noProof/>
        </w:rPr>
      </w:pPr>
      <w:bookmarkStart w:id="33" w:name="_Toc507148480"/>
      <w:r>
        <w:rPr>
          <w:b/>
          <w:i w:val="0"/>
          <w:noProof/>
        </w:rPr>
        <w:t>Insufficient financial resources</w:t>
      </w:r>
      <w:bookmarkEnd w:id="33"/>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standard visa fee will remain unchanged at EUR 60 (and EUR 35 for children between 6 and 12 years of age) despite the Visa Code provision requiring its regular revision. Member States' visa authorities will continue to experience the same difficulties in obtaining sufficient financial resources to fund visa processing in consulates, leading possibly to further closings of visa sections and staff shortages, which affect the level of service provided to visa applicants and may put at risk the integrity of the visa examination procedure. </w:t>
      </w:r>
    </w:p>
    <w:p>
      <w:pPr>
        <w:pStyle w:val="Heading3"/>
        <w:tabs>
          <w:tab w:val="num" w:pos="720"/>
        </w:tabs>
        <w:ind w:left="0" w:firstLine="0"/>
        <w:rPr>
          <w:b/>
          <w:i w:val="0"/>
          <w:noProof/>
        </w:rPr>
      </w:pPr>
      <w:bookmarkStart w:id="34" w:name="_Toc507148481"/>
      <w:r>
        <w:rPr>
          <w:b/>
          <w:i w:val="0"/>
          <w:noProof/>
        </w:rPr>
        <w:t>Repeated visa procedures</w:t>
      </w:r>
      <w:bookmarkEnd w:id="34"/>
    </w:p>
    <w:p>
      <w:pPr>
        <w:jc w:val="both"/>
        <w:rPr>
          <w:rFonts w:ascii="Times New Roman" w:hAnsi="Times New Roman" w:cs="Times New Roman"/>
          <w:noProof/>
          <w:sz w:val="24"/>
          <w:szCs w:val="24"/>
        </w:rPr>
      </w:pPr>
      <w:r>
        <w:rPr>
          <w:rFonts w:ascii="Times New Roman" w:hAnsi="Times New Roman" w:cs="Times New Roman"/>
          <w:noProof/>
          <w:sz w:val="24"/>
          <w:szCs w:val="24"/>
        </w:rPr>
        <w:t>The existing provision on issuing MEV with long validity (Article 24(2) Visa Code) will continue to apply and will be interpreted and implemented very differently. Many consulates will continue to be rather restrictive in issuing such MEV, thereby requiring frequent travellers to go through repeated visa procedures resulting in increased costs and administrative burden for applicants and a high workload for applicants. The potential for additional unplanned trips to the Member States by holders of MEV will not be exploited.</w:t>
      </w:r>
    </w:p>
    <w:p>
      <w:pPr>
        <w:pStyle w:val="Heading3"/>
        <w:tabs>
          <w:tab w:val="num" w:pos="720"/>
        </w:tabs>
        <w:ind w:left="0" w:firstLine="0"/>
        <w:rPr>
          <w:b/>
          <w:i w:val="0"/>
          <w:noProof/>
        </w:rPr>
      </w:pPr>
      <w:bookmarkStart w:id="35" w:name="_Toc507148482"/>
      <w:r>
        <w:rPr>
          <w:b/>
          <w:i w:val="0"/>
          <w:noProof/>
        </w:rPr>
        <w:t>Return of irregular migrants</w:t>
      </w:r>
      <w:bookmarkEnd w:id="35"/>
      <w:r>
        <w:rPr>
          <w:b/>
          <w:i w:val="0"/>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Currently there is no legal basis for making visa procedures conditional on a third country's willingness to cooperate with Member States on return and readmission of irregular migrants. However, in  parallel to Council's proposed amendments to the Visa Code recast proposal to provide for a legal framework for using visa policy as leverage for enhancing cooperation on readmission, Council decided in June 2017 to develop a Coreper-led coordination mechanism ("visa policy toolbox").</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This mechanism would be applied on an </w:t>
      </w:r>
      <w:r>
        <w:rPr>
          <w:rFonts w:ascii="Times New Roman" w:hAnsi="Times New Roman" w:cs="Times New Roman"/>
          <w:i/>
          <w:noProof/>
          <w:sz w:val="24"/>
          <w:szCs w:val="24"/>
        </w:rPr>
        <w:t>ad-hoc</w:t>
      </w:r>
      <w:r>
        <w:rPr>
          <w:rFonts w:ascii="Times New Roman" w:hAnsi="Times New Roman" w:cs="Times New Roman"/>
          <w:noProof/>
          <w:sz w:val="24"/>
          <w:szCs w:val="24"/>
        </w:rPr>
        <w:t xml:space="preserve"> basis within the existing legal framework, using the limited margin of manoeuvre given to Member States in the Visa Code. On the basis of a set of agreed indicators measuring the level of cooperation of a given third country, Coreper would give guidance, on a case-by-case basis and using an incremental approach, and recommend the coordinated application by Member States of a series of measures related to the visa procedure. The measures are to be coordinated by Local Schengen Coordination and regularly monitored by Coreper.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supported this "toolbox" approach as "pragmatic and efficiency-oriented" and not affecting the Commission's institutional role and responsibilities, as the measures covered fell within Member States' margins of manoeuvre with regard to the implementation of the Visa Code.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 date a decision leading to a set of measures being agreed on has been made with regard to only one third country in September 2017. The mere launch of the process proved successful in negotiations on a return arrangement and it was decided not to implement the agreed measures pending signals of improvement of cooperation on readmission. </w:t>
      </w:r>
    </w:p>
    <w:p>
      <w:pPr>
        <w:jc w:val="both"/>
        <w:rPr>
          <w:rFonts w:ascii="Times New Roman" w:hAnsi="Times New Roman" w:cs="Times New Roman"/>
          <w:noProof/>
          <w:sz w:val="24"/>
          <w:szCs w:val="24"/>
        </w:rPr>
      </w:pPr>
      <w:r>
        <w:rPr>
          <w:rFonts w:ascii="Times New Roman" w:hAnsi="Times New Roman" w:cs="Times New Roman"/>
          <w:noProof/>
          <w:sz w:val="24"/>
          <w:szCs w:val="24"/>
        </w:rPr>
        <w:t>Therefore the baseline therefore has to be considered as a dynamic one, as no experiences in the effective implementation of the "toolbox approach" and its impact have been gathered yet.</w:t>
      </w:r>
    </w:p>
    <w:p>
      <w:pPr>
        <w:pStyle w:val="Heading2"/>
        <w:tabs>
          <w:tab w:val="clear" w:pos="1200"/>
          <w:tab w:val="num" w:pos="720"/>
        </w:tabs>
        <w:ind w:left="0" w:firstLine="0"/>
        <w:rPr>
          <w:noProof/>
          <w:u w:val="single"/>
        </w:rPr>
      </w:pPr>
      <w:r>
        <w:rPr>
          <w:noProof/>
          <w:szCs w:val="24"/>
        </w:rPr>
        <w:t xml:space="preserve"> </w:t>
      </w:r>
      <w:bookmarkStart w:id="36" w:name="_Toc507148483"/>
      <w:r>
        <w:rPr>
          <w:noProof/>
          <w:u w:val="single"/>
        </w:rPr>
        <w:t>Description of the policy options</w:t>
      </w:r>
      <w:bookmarkEnd w:id="36"/>
    </w:p>
    <w:p>
      <w:pPr>
        <w:pStyle w:val="Heading3"/>
        <w:tabs>
          <w:tab w:val="num" w:pos="720"/>
        </w:tabs>
        <w:ind w:left="0" w:firstLine="0"/>
        <w:rPr>
          <w:b/>
          <w:i w:val="0"/>
          <w:noProof/>
        </w:rPr>
      </w:pPr>
      <w:bookmarkStart w:id="37" w:name="_Toc507148484"/>
      <w:r>
        <w:rPr>
          <w:b/>
          <w:i w:val="0"/>
          <w:noProof/>
        </w:rPr>
        <w:t>Insufficient financial resources</w:t>
      </w:r>
      <w:bookmarkEnd w:id="37"/>
    </w:p>
    <w:p>
      <w:pPr>
        <w:jc w:val="both"/>
        <w:rPr>
          <w:rFonts w:ascii="Times New Roman" w:hAnsi="Times New Roman" w:cs="Times New Roman"/>
          <w:noProof/>
          <w:sz w:val="24"/>
          <w:szCs w:val="24"/>
        </w:rPr>
      </w:pPr>
      <w:r>
        <w:rPr>
          <w:rFonts w:ascii="Times New Roman" w:hAnsi="Times New Roman" w:cs="Times New Roman"/>
          <w:noProof/>
          <w:sz w:val="24"/>
          <w:szCs w:val="24"/>
        </w:rPr>
        <w:t>There is wide consensus that the visa fee paid by applicants should cover the costs of Member States in processing visa applications, as far as possible. The principle that the visa fee should reflect the administrative costs is set in the Visa Code itself (Article 16(3)). It is fully in line with Member States' administrative rules providing that their own citizens have to cover the costs of certain administrative activities, such as the issuing of passports, ID cards and driving licences.</w:t>
      </w:r>
    </w:p>
    <w:p>
      <w:pPr>
        <w:jc w:val="both"/>
        <w:rPr>
          <w:rFonts w:ascii="Times New Roman" w:hAnsi="Times New Roman" w:cs="Times New Roman"/>
          <w:noProof/>
          <w:sz w:val="24"/>
          <w:szCs w:val="24"/>
        </w:rPr>
      </w:pPr>
      <w:r>
        <w:rPr>
          <w:rFonts w:ascii="Times New Roman" w:hAnsi="Times New Roman" w:cs="Times New Roman"/>
          <w:noProof/>
          <w:sz w:val="24"/>
          <w:szCs w:val="24"/>
        </w:rPr>
        <w:t>In 2016 the Commission conducted a questionnaire survey among Member States on administrative costs and the calculation of the visa fee.</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It emerged in the survey and the subsequent discussions in the Visa Committee that it is virtually impossible to calculate the level of a common visa fee on the basis of national administrative costs. On the one hand, costs levels (in particular for staff) are very different among Member States. On the other hand, there were different views on factors that should be taken into account. There was also no agreement on whether the fee should remain a "flat rate" or whether there should be differentiated fees, depending on the length of validity of the visa or on the place of application. </w:t>
      </w:r>
    </w:p>
    <w:p>
      <w:pPr>
        <w:jc w:val="both"/>
        <w:rPr>
          <w:rFonts w:ascii="Times New Roman" w:hAnsi="Times New Roman" w:cs="Times New Roman"/>
          <w:noProof/>
          <w:sz w:val="24"/>
          <w:szCs w:val="24"/>
        </w:rPr>
      </w:pPr>
      <w:r>
        <w:rPr>
          <w:rFonts w:ascii="Times New Roman" w:hAnsi="Times New Roman" w:cs="Times New Roman"/>
          <w:noProof/>
          <w:sz w:val="24"/>
          <w:szCs w:val="24"/>
        </w:rPr>
        <w:t>In the survey some Member States presented their own calculations of costs and/or came up with suggestions what the visa fee should be, as shown in this table:</w:t>
      </w:r>
    </w:p>
    <w:tbl>
      <w:tblPr>
        <w:tblStyle w:val="TableGrid"/>
        <w:tblW w:w="0" w:type="auto"/>
        <w:tblLook w:val="04A0" w:firstRow="1" w:lastRow="0" w:firstColumn="1" w:lastColumn="0" w:noHBand="0" w:noVBand="1"/>
      </w:tblPr>
      <w:tblGrid>
        <w:gridCol w:w="2028"/>
        <w:gridCol w:w="3861"/>
        <w:gridCol w:w="2739"/>
      </w:tblGrid>
      <w:tr>
        <w:tc>
          <w:tcPr>
            <w:tcW w:w="2028" w:type="dxa"/>
          </w:tcPr>
          <w:p>
            <w:pPr>
              <w:jc w:val="both"/>
              <w:rPr>
                <w:b/>
                <w:noProof/>
              </w:rPr>
            </w:pPr>
            <w:r>
              <w:rPr>
                <w:b/>
                <w:noProof/>
              </w:rPr>
              <w:t>Member State</w:t>
            </w:r>
          </w:p>
        </w:tc>
        <w:tc>
          <w:tcPr>
            <w:tcW w:w="3861" w:type="dxa"/>
          </w:tcPr>
          <w:p>
            <w:pPr>
              <w:jc w:val="both"/>
              <w:rPr>
                <w:b/>
                <w:noProof/>
              </w:rPr>
            </w:pPr>
            <w:r>
              <w:rPr>
                <w:b/>
                <w:noProof/>
              </w:rPr>
              <w:t>Calculation of administrative costs per visa application (in €)</w:t>
            </w:r>
          </w:p>
        </w:tc>
        <w:tc>
          <w:tcPr>
            <w:tcW w:w="2739" w:type="dxa"/>
          </w:tcPr>
          <w:p>
            <w:pPr>
              <w:jc w:val="both"/>
              <w:rPr>
                <w:b/>
                <w:noProof/>
              </w:rPr>
            </w:pPr>
            <w:r>
              <w:rPr>
                <w:b/>
                <w:noProof/>
              </w:rPr>
              <w:t>Suggested visa fee (in €)</w:t>
            </w:r>
          </w:p>
        </w:tc>
      </w:tr>
      <w:tr>
        <w:tc>
          <w:tcPr>
            <w:tcW w:w="2028" w:type="dxa"/>
          </w:tcPr>
          <w:p>
            <w:pPr>
              <w:jc w:val="both"/>
              <w:rPr>
                <w:noProof/>
              </w:rPr>
            </w:pPr>
            <w:r>
              <w:rPr>
                <w:noProof/>
              </w:rPr>
              <w:t>Austria</w:t>
            </w:r>
          </w:p>
        </w:tc>
        <w:tc>
          <w:tcPr>
            <w:tcW w:w="3861" w:type="dxa"/>
          </w:tcPr>
          <w:p>
            <w:pPr>
              <w:jc w:val="both"/>
              <w:rPr>
                <w:noProof/>
              </w:rPr>
            </w:pPr>
          </w:p>
        </w:tc>
        <w:tc>
          <w:tcPr>
            <w:tcW w:w="2739" w:type="dxa"/>
          </w:tcPr>
          <w:p>
            <w:pPr>
              <w:jc w:val="both"/>
              <w:rPr>
                <w:noProof/>
              </w:rPr>
            </w:pPr>
            <w:r>
              <w:rPr>
                <w:noProof/>
              </w:rPr>
              <w:t>120</w:t>
            </w:r>
          </w:p>
        </w:tc>
      </w:tr>
      <w:tr>
        <w:tc>
          <w:tcPr>
            <w:tcW w:w="2028" w:type="dxa"/>
          </w:tcPr>
          <w:p>
            <w:pPr>
              <w:jc w:val="both"/>
              <w:rPr>
                <w:noProof/>
              </w:rPr>
            </w:pPr>
            <w:r>
              <w:rPr>
                <w:noProof/>
              </w:rPr>
              <w:t>Belgium</w:t>
            </w:r>
          </w:p>
        </w:tc>
        <w:tc>
          <w:tcPr>
            <w:tcW w:w="3861" w:type="dxa"/>
          </w:tcPr>
          <w:p>
            <w:pPr>
              <w:jc w:val="both"/>
              <w:rPr>
                <w:noProof/>
              </w:rPr>
            </w:pPr>
            <w:r>
              <w:rPr>
                <w:noProof/>
              </w:rPr>
              <w:t xml:space="preserve">80-90 </w:t>
            </w:r>
          </w:p>
        </w:tc>
        <w:tc>
          <w:tcPr>
            <w:tcW w:w="2739" w:type="dxa"/>
          </w:tcPr>
          <w:p>
            <w:pPr>
              <w:jc w:val="both"/>
              <w:rPr>
                <w:noProof/>
              </w:rPr>
            </w:pPr>
          </w:p>
        </w:tc>
      </w:tr>
      <w:tr>
        <w:tc>
          <w:tcPr>
            <w:tcW w:w="2028" w:type="dxa"/>
          </w:tcPr>
          <w:p>
            <w:pPr>
              <w:jc w:val="both"/>
              <w:rPr>
                <w:noProof/>
              </w:rPr>
            </w:pPr>
            <w:r>
              <w:rPr>
                <w:noProof/>
              </w:rPr>
              <w:t>Denmark</w:t>
            </w:r>
          </w:p>
        </w:tc>
        <w:tc>
          <w:tcPr>
            <w:tcW w:w="3861" w:type="dxa"/>
          </w:tcPr>
          <w:p>
            <w:pPr>
              <w:jc w:val="both"/>
              <w:rPr>
                <w:noProof/>
              </w:rPr>
            </w:pPr>
            <w:r>
              <w:rPr>
                <w:noProof/>
              </w:rPr>
              <w:t>143 (at consulates)</w:t>
            </w:r>
          </w:p>
        </w:tc>
        <w:tc>
          <w:tcPr>
            <w:tcW w:w="2739" w:type="dxa"/>
          </w:tcPr>
          <w:p>
            <w:pPr>
              <w:jc w:val="both"/>
              <w:rPr>
                <w:noProof/>
              </w:rPr>
            </w:pPr>
          </w:p>
        </w:tc>
      </w:tr>
      <w:tr>
        <w:tc>
          <w:tcPr>
            <w:tcW w:w="2028" w:type="dxa"/>
          </w:tcPr>
          <w:p>
            <w:pPr>
              <w:jc w:val="both"/>
              <w:rPr>
                <w:noProof/>
              </w:rPr>
            </w:pPr>
            <w:r>
              <w:rPr>
                <w:noProof/>
              </w:rPr>
              <w:t xml:space="preserve">Latvia </w:t>
            </w:r>
          </w:p>
        </w:tc>
        <w:tc>
          <w:tcPr>
            <w:tcW w:w="3861" w:type="dxa"/>
          </w:tcPr>
          <w:p>
            <w:pPr>
              <w:jc w:val="both"/>
              <w:rPr>
                <w:noProof/>
              </w:rPr>
            </w:pPr>
            <w:r>
              <w:rPr>
                <w:noProof/>
              </w:rPr>
              <w:t>69.92 (at consulates)</w:t>
            </w:r>
          </w:p>
        </w:tc>
        <w:tc>
          <w:tcPr>
            <w:tcW w:w="2739" w:type="dxa"/>
          </w:tcPr>
          <w:p>
            <w:pPr>
              <w:jc w:val="both"/>
              <w:rPr>
                <w:noProof/>
              </w:rPr>
            </w:pPr>
          </w:p>
        </w:tc>
      </w:tr>
      <w:tr>
        <w:tc>
          <w:tcPr>
            <w:tcW w:w="2028" w:type="dxa"/>
          </w:tcPr>
          <w:p>
            <w:pPr>
              <w:jc w:val="both"/>
              <w:rPr>
                <w:noProof/>
              </w:rPr>
            </w:pPr>
            <w:r>
              <w:rPr>
                <w:noProof/>
              </w:rPr>
              <w:t>Luxembourg</w:t>
            </w:r>
          </w:p>
        </w:tc>
        <w:tc>
          <w:tcPr>
            <w:tcW w:w="3861" w:type="dxa"/>
          </w:tcPr>
          <w:p>
            <w:pPr>
              <w:jc w:val="both"/>
              <w:rPr>
                <w:noProof/>
              </w:rPr>
            </w:pPr>
            <w:r>
              <w:rPr>
                <w:noProof/>
              </w:rPr>
              <w:t>99.06</w:t>
            </w:r>
          </w:p>
        </w:tc>
        <w:tc>
          <w:tcPr>
            <w:tcW w:w="2739" w:type="dxa"/>
          </w:tcPr>
          <w:p>
            <w:pPr>
              <w:jc w:val="both"/>
              <w:rPr>
                <w:noProof/>
              </w:rPr>
            </w:pPr>
          </w:p>
        </w:tc>
      </w:tr>
      <w:tr>
        <w:tc>
          <w:tcPr>
            <w:tcW w:w="2028" w:type="dxa"/>
          </w:tcPr>
          <w:p>
            <w:pPr>
              <w:jc w:val="both"/>
              <w:rPr>
                <w:noProof/>
              </w:rPr>
            </w:pPr>
            <w:r>
              <w:rPr>
                <w:noProof/>
              </w:rPr>
              <w:t>Malta</w:t>
            </w:r>
          </w:p>
        </w:tc>
        <w:tc>
          <w:tcPr>
            <w:tcW w:w="3861" w:type="dxa"/>
          </w:tcPr>
          <w:p>
            <w:pPr>
              <w:jc w:val="both"/>
              <w:rPr>
                <w:noProof/>
              </w:rPr>
            </w:pPr>
          </w:p>
        </w:tc>
        <w:tc>
          <w:tcPr>
            <w:tcW w:w="2739" w:type="dxa"/>
          </w:tcPr>
          <w:p>
            <w:pPr>
              <w:jc w:val="both"/>
              <w:rPr>
                <w:noProof/>
              </w:rPr>
            </w:pPr>
            <w:r>
              <w:rPr>
                <w:noProof/>
              </w:rPr>
              <w:t>65</w:t>
            </w:r>
          </w:p>
        </w:tc>
      </w:tr>
      <w:tr>
        <w:tc>
          <w:tcPr>
            <w:tcW w:w="2028" w:type="dxa"/>
          </w:tcPr>
          <w:p>
            <w:pPr>
              <w:jc w:val="both"/>
              <w:rPr>
                <w:noProof/>
              </w:rPr>
            </w:pPr>
            <w:r>
              <w:rPr>
                <w:noProof/>
              </w:rPr>
              <w:t xml:space="preserve">The Netherlands </w:t>
            </w:r>
          </w:p>
        </w:tc>
        <w:tc>
          <w:tcPr>
            <w:tcW w:w="3861" w:type="dxa"/>
          </w:tcPr>
          <w:p>
            <w:pPr>
              <w:jc w:val="both"/>
              <w:rPr>
                <w:noProof/>
              </w:rPr>
            </w:pPr>
            <w:r>
              <w:rPr>
                <w:noProof/>
              </w:rPr>
              <w:t>120 (not counting VFAs)</w:t>
            </w:r>
          </w:p>
        </w:tc>
        <w:tc>
          <w:tcPr>
            <w:tcW w:w="2739" w:type="dxa"/>
          </w:tcPr>
          <w:p>
            <w:pPr>
              <w:jc w:val="both"/>
              <w:rPr>
                <w:noProof/>
              </w:rPr>
            </w:pPr>
          </w:p>
        </w:tc>
      </w:tr>
      <w:tr>
        <w:tc>
          <w:tcPr>
            <w:tcW w:w="2028" w:type="dxa"/>
          </w:tcPr>
          <w:p>
            <w:pPr>
              <w:jc w:val="both"/>
              <w:rPr>
                <w:noProof/>
              </w:rPr>
            </w:pPr>
            <w:r>
              <w:rPr>
                <w:noProof/>
              </w:rPr>
              <w:t>Slovenia</w:t>
            </w:r>
          </w:p>
        </w:tc>
        <w:tc>
          <w:tcPr>
            <w:tcW w:w="3861" w:type="dxa"/>
          </w:tcPr>
          <w:p>
            <w:pPr>
              <w:jc w:val="both"/>
              <w:rPr>
                <w:noProof/>
              </w:rPr>
            </w:pPr>
          </w:p>
        </w:tc>
        <w:tc>
          <w:tcPr>
            <w:tcW w:w="2739" w:type="dxa"/>
          </w:tcPr>
          <w:p>
            <w:pPr>
              <w:jc w:val="both"/>
              <w:rPr>
                <w:noProof/>
              </w:rPr>
            </w:pPr>
            <w:r>
              <w:rPr>
                <w:noProof/>
              </w:rPr>
              <w:t>100</w:t>
            </w:r>
          </w:p>
        </w:tc>
      </w:tr>
      <w:tr>
        <w:tc>
          <w:tcPr>
            <w:tcW w:w="2028" w:type="dxa"/>
          </w:tcPr>
          <w:p>
            <w:pPr>
              <w:jc w:val="both"/>
              <w:rPr>
                <w:noProof/>
              </w:rPr>
            </w:pPr>
            <w:r>
              <w:rPr>
                <w:noProof/>
              </w:rPr>
              <w:t>Sweden</w:t>
            </w:r>
          </w:p>
        </w:tc>
        <w:tc>
          <w:tcPr>
            <w:tcW w:w="3861" w:type="dxa"/>
          </w:tcPr>
          <w:p>
            <w:pPr>
              <w:jc w:val="both"/>
              <w:rPr>
                <w:noProof/>
              </w:rPr>
            </w:pPr>
            <w:r>
              <w:rPr>
                <w:noProof/>
              </w:rPr>
              <w:t xml:space="preserve">90-100 </w:t>
            </w:r>
          </w:p>
        </w:tc>
        <w:tc>
          <w:tcPr>
            <w:tcW w:w="2739" w:type="dxa"/>
          </w:tcPr>
          <w:p>
            <w:pPr>
              <w:jc w:val="both"/>
              <w:rPr>
                <w:noProof/>
              </w:rPr>
            </w:pP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stakeholder consultation, the tourism industry associations favoured decoupling the visa fee from administrative costs and proposed setting it with regard to the practice of 'competing' countries. While stakeholders cautioned against raising the visa fee, several conceded that the indirect costs of a visa application (travelling to the consulate/ESP, obtaining the travel medical insurance and all supporting documents, legalisations, etc.) can be equally or more important than the visa fee.  </w:t>
      </w:r>
    </w:p>
    <w:p>
      <w:pPr>
        <w:jc w:val="both"/>
        <w:rPr>
          <w:rFonts w:ascii="Times New Roman" w:hAnsi="Times New Roman" w:cs="Times New Roman"/>
          <w:noProof/>
          <w:sz w:val="24"/>
          <w:szCs w:val="24"/>
        </w:rPr>
      </w:pPr>
      <w:r>
        <w:rPr>
          <w:rFonts w:ascii="Times New Roman" w:hAnsi="Times New Roman" w:cs="Times New Roman"/>
          <w:noProof/>
          <w:sz w:val="24"/>
          <w:szCs w:val="24"/>
        </w:rPr>
        <w:t>On this basis the following options will be examined:</w:t>
      </w:r>
    </w:p>
    <w:p>
      <w:pPr>
        <w:pStyle w:val="Heading4"/>
        <w:numPr>
          <w:ilvl w:val="0"/>
          <w:numId w:val="0"/>
        </w:numPr>
        <w:rPr>
          <w:noProof/>
          <w:u w:val="single"/>
        </w:rPr>
      </w:pPr>
      <w:r>
        <w:rPr>
          <w:noProof/>
          <w:u w:val="single"/>
        </w:rPr>
        <w:t>Policy option 1A: Status quo</w:t>
      </w:r>
    </w:p>
    <w:p>
      <w:pPr>
        <w:jc w:val="both"/>
        <w:rPr>
          <w:rFonts w:ascii="Times New Roman" w:hAnsi="Times New Roman" w:cs="Times New Roman"/>
          <w:noProof/>
          <w:sz w:val="24"/>
          <w:szCs w:val="24"/>
        </w:rPr>
      </w:pPr>
      <w:r>
        <w:rPr>
          <w:rFonts w:ascii="Times New Roman" w:hAnsi="Times New Roman" w:cs="Times New Roman"/>
          <w:noProof/>
          <w:sz w:val="24"/>
          <w:szCs w:val="24"/>
        </w:rPr>
        <w:t>Unchanged common visa fee (EUR 60, children aged 6-11: EUR 35).</w:t>
      </w:r>
    </w:p>
    <w:p>
      <w:pPr>
        <w:pStyle w:val="Heading4"/>
        <w:numPr>
          <w:ilvl w:val="0"/>
          <w:numId w:val="0"/>
        </w:numPr>
        <w:rPr>
          <w:noProof/>
          <w:u w:val="single"/>
        </w:rPr>
      </w:pPr>
      <w:r>
        <w:rPr>
          <w:noProof/>
          <w:u w:val="single"/>
        </w:rPr>
        <w:t>Policy option 1B: National visa fees based on administrative costs</w:t>
      </w:r>
    </w:p>
    <w:p>
      <w:pPr>
        <w:jc w:val="both"/>
        <w:rPr>
          <w:rFonts w:ascii="Times New Roman" w:hAnsi="Times New Roman" w:cs="Times New Roman"/>
          <w:noProof/>
          <w:sz w:val="24"/>
          <w:szCs w:val="24"/>
        </w:rPr>
      </w:pPr>
      <w:r>
        <w:rPr>
          <w:rFonts w:ascii="Times New Roman" w:hAnsi="Times New Roman" w:cs="Times New Roman"/>
          <w:noProof/>
          <w:sz w:val="24"/>
          <w:szCs w:val="24"/>
        </w:rPr>
        <w:t>Abolish the EU visa fee and allow Member States to set their visa fee nationally, based on real administrative costs (and a common calculation model defining the administrative costs that should be taken into account and the calculation method).</w:t>
      </w:r>
    </w:p>
    <w:p>
      <w:pPr>
        <w:pStyle w:val="Heading4"/>
        <w:numPr>
          <w:ilvl w:val="0"/>
          <w:numId w:val="0"/>
        </w:numPr>
        <w:rPr>
          <w:noProof/>
          <w:u w:val="single"/>
        </w:rPr>
      </w:pPr>
      <w:r>
        <w:rPr>
          <w:noProof/>
          <w:u w:val="single"/>
        </w:rPr>
        <w:t>Policy option 1C: Increase of common visa fee</w:t>
      </w:r>
    </w:p>
    <w:p>
      <w:pPr>
        <w:jc w:val="both"/>
        <w:rPr>
          <w:rFonts w:ascii="Times New Roman" w:hAnsi="Times New Roman" w:cs="Times New Roman"/>
          <w:noProof/>
          <w:sz w:val="24"/>
          <w:szCs w:val="24"/>
        </w:rPr>
      </w:pPr>
      <w:r>
        <w:rPr>
          <w:rFonts w:ascii="Times New Roman" w:hAnsi="Times New Roman" w:cs="Times New Roman"/>
          <w:noProof/>
          <w:sz w:val="24"/>
          <w:szCs w:val="24"/>
        </w:rPr>
        <w:t>Increase the common visa fee and establish a mechanism to adjust it periodically (e.g. every two years, most probably through delegated acts, on the basis of criteria defined in the regulation).</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u w:val="single"/>
        </w:rPr>
        <w:t>Sub-option 1C1</w:t>
      </w:r>
      <w:r>
        <w:rPr>
          <w:rFonts w:ascii="Times New Roman" w:hAnsi="Times New Roman" w:cs="Times New Roman"/>
          <w:noProof/>
          <w:sz w:val="24"/>
          <w:szCs w:val="24"/>
        </w:rPr>
        <w:t>: EUR 80 (children aged 6-11: EUR 40).</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u w:val="single"/>
        </w:rPr>
        <w:t>Sub-option 1C2</w:t>
      </w:r>
      <w:r>
        <w:rPr>
          <w:rFonts w:ascii="Times New Roman" w:hAnsi="Times New Roman" w:cs="Times New Roman"/>
          <w:noProof/>
          <w:sz w:val="24"/>
          <w:szCs w:val="24"/>
        </w:rPr>
        <w:t>: EUR 100 (children aged 6-11: EUR 50).</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u w:val="single"/>
        </w:rPr>
        <w:t>Sub-option 1C3</w:t>
      </w:r>
      <w:r>
        <w:rPr>
          <w:rFonts w:ascii="Times New Roman" w:hAnsi="Times New Roman" w:cs="Times New Roman"/>
          <w:noProof/>
          <w:sz w:val="24"/>
          <w:szCs w:val="24"/>
        </w:rPr>
        <w:t>: EUR 120 (children aged 6-11: EUR 60).</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u w:val="single"/>
        </w:rPr>
        <w:t>Sub-option 1C4</w:t>
      </w:r>
      <w:r>
        <w:rPr>
          <w:rFonts w:ascii="Times New Roman" w:hAnsi="Times New Roman" w:cs="Times New Roman"/>
          <w:noProof/>
          <w:sz w:val="24"/>
          <w:szCs w:val="24"/>
        </w:rPr>
        <w:t xml:space="preserve">: SEV/MEV up to 6 months: EUR 80, MEV 1-5 years: EUR 120. </w:t>
      </w:r>
    </w:p>
    <w:p>
      <w:pPr>
        <w:pStyle w:val="Heading3"/>
        <w:tabs>
          <w:tab w:val="num" w:pos="720"/>
        </w:tabs>
        <w:ind w:left="0" w:firstLine="0"/>
        <w:rPr>
          <w:b/>
          <w:i w:val="0"/>
          <w:noProof/>
        </w:rPr>
      </w:pPr>
      <w:bookmarkStart w:id="38" w:name="_Toc507148485"/>
      <w:r>
        <w:rPr>
          <w:b/>
          <w:i w:val="0"/>
          <w:noProof/>
        </w:rPr>
        <w:t>Repeated visa procedures</w:t>
      </w:r>
      <w:bookmarkEnd w:id="38"/>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Policy options to address this problem area should ensure more systematic and harmonised issuing of MEV with long validity to </w:t>
      </w:r>
      <w:r>
        <w:rPr>
          <w:rFonts w:ascii="Times New Roman" w:hAnsi="Times New Roman" w:cs="Times New Roman"/>
          <w:i/>
          <w:noProof/>
          <w:sz w:val="24"/>
          <w:szCs w:val="24"/>
        </w:rPr>
        <w:t>bona fide</w:t>
      </w:r>
      <w:r>
        <w:rPr>
          <w:rFonts w:ascii="Times New Roman" w:hAnsi="Times New Roman" w:cs="Times New Roman"/>
          <w:noProof/>
          <w:sz w:val="24"/>
          <w:szCs w:val="24"/>
        </w:rPr>
        <w:t xml:space="preserve"> regular travellers, to avoid repeated and unnecessary visa procedures both for applicants and consulates. The following options will be examined:</w:t>
      </w:r>
    </w:p>
    <w:p>
      <w:pPr>
        <w:pStyle w:val="Heading4"/>
        <w:numPr>
          <w:ilvl w:val="0"/>
          <w:numId w:val="0"/>
        </w:numPr>
        <w:rPr>
          <w:noProof/>
          <w:u w:val="single"/>
        </w:rPr>
      </w:pPr>
      <w:r>
        <w:rPr>
          <w:noProof/>
          <w:u w:val="single"/>
        </w:rPr>
        <w:t>Policy option 2A: Status quo</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Leave Member States / individual consulates to determine their general approach to issuing MEV with long validity (based on the current provision in the Visa Code). </w:t>
      </w:r>
    </w:p>
    <w:p>
      <w:pPr>
        <w:pStyle w:val="Heading4"/>
        <w:numPr>
          <w:ilvl w:val="0"/>
          <w:numId w:val="0"/>
        </w:numPr>
        <w:rPr>
          <w:noProof/>
          <w:u w:val="single"/>
        </w:rPr>
      </w:pPr>
      <w:r>
        <w:rPr>
          <w:noProof/>
          <w:u w:val="single"/>
        </w:rPr>
        <w:t>Policy option 2B: Recommended best practice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Suggest a non-binding approach to issuing MEV with long validity in the Visa Code Handbook, including a general MEV cascade. </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t>Policy option 2C: Common MEV cascades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Define (legally binding) MEV cascade(s) in the Visa Code and/or Commission implementing decisions. </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u w:val="single"/>
        </w:rPr>
        <w:t>Sub-option 2C1 (general MEV cascade)</w:t>
      </w:r>
      <w:r>
        <w:rPr>
          <w:rFonts w:ascii="Times New Roman" w:hAnsi="Times New Roman" w:cs="Times New Roman"/>
          <w:noProof/>
          <w:sz w:val="24"/>
          <w:szCs w:val="24"/>
        </w:rPr>
        <w:t>: Visa Code defines a "one-size-fits-all" MEV cascade: after 2 visas in last 12 months, applicant obtains 3-year MEV, then 5-year MEV (based on Visa Code recast proposal).</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u w:val="single"/>
        </w:rPr>
        <w:t>Sub-option 2C2 (general and country MEV cascades)</w:t>
      </w:r>
      <w:r>
        <w:rPr>
          <w:rFonts w:ascii="Times New Roman" w:hAnsi="Times New Roman" w:cs="Times New Roman"/>
          <w:noProof/>
          <w:sz w:val="24"/>
          <w:szCs w:val="24"/>
        </w:rPr>
        <w:t xml:space="preserve">: Visa Code defines a less generous "one-size-fits-all" MEV cascade: after 3 visas in last 2 years, applicant obtains 1-year MEV, then 2-year MEV, then 5-year MEV; </w:t>
      </w:r>
      <w:r>
        <w:rPr>
          <w:rFonts w:ascii="Times New Roman" w:hAnsi="Times New Roman" w:cs="Times New Roman"/>
          <w:noProof/>
          <w:sz w:val="24"/>
          <w:szCs w:val="24"/>
          <w:u w:val="single"/>
        </w:rPr>
        <w:t>and</w:t>
      </w:r>
      <w:r>
        <w:rPr>
          <w:rFonts w:ascii="Times New Roman" w:hAnsi="Times New Roman" w:cs="Times New Roman"/>
          <w:noProof/>
          <w:sz w:val="24"/>
          <w:szCs w:val="24"/>
        </w:rPr>
        <w:t xml:space="preserve"> provides for the possibility of more favourable cascades for specific countries (based on assessment in LSC and limited to countries cooperating on readmission).</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u w:val="single"/>
        </w:rPr>
        <w:t>Sub-option 2C3 (country MEV cascades)</w:t>
      </w:r>
      <w:r>
        <w:rPr>
          <w:rFonts w:ascii="Times New Roman" w:hAnsi="Times New Roman" w:cs="Times New Roman"/>
          <w:noProof/>
          <w:sz w:val="24"/>
          <w:szCs w:val="24"/>
        </w:rPr>
        <w:t>: Visa Code provides for possibility to adopt MEV cascades for specific countries, based on assessment in LSC.</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t>Policy option 2D: Standard MEV with 2- or 5-year validity</w:t>
      </w:r>
    </w:p>
    <w:p>
      <w:pPr>
        <w:jc w:val="both"/>
        <w:rPr>
          <w:rFonts w:ascii="Times New Roman" w:hAnsi="Times New Roman" w:cs="Times New Roman"/>
          <w:noProof/>
          <w:sz w:val="24"/>
          <w:szCs w:val="24"/>
        </w:rPr>
      </w:pPr>
      <w:r>
        <w:rPr>
          <w:rFonts w:ascii="Times New Roman" w:hAnsi="Times New Roman" w:cs="Times New Roman"/>
          <w:noProof/>
          <w:sz w:val="24"/>
          <w:szCs w:val="24"/>
        </w:rPr>
        <w:t>Define MEV with long validity (e.g. 2 or 5 years) as the new standard visa in the Visa Code, while allowing  Member States to derogate from the rule and issue visas with shorter validity in individual cases.</w:t>
      </w:r>
    </w:p>
    <w:p>
      <w:pPr>
        <w:pStyle w:val="Heading3"/>
        <w:tabs>
          <w:tab w:val="num" w:pos="720"/>
        </w:tabs>
        <w:ind w:left="0" w:firstLine="0"/>
        <w:rPr>
          <w:b/>
          <w:i w:val="0"/>
          <w:noProof/>
        </w:rPr>
      </w:pPr>
      <w:bookmarkStart w:id="39" w:name="_Toc507148486"/>
      <w:r>
        <w:rPr>
          <w:b/>
          <w:i w:val="0"/>
          <w:noProof/>
        </w:rPr>
        <w:t>Return of irregular migrants</w:t>
      </w:r>
      <w:bookmarkEnd w:id="39"/>
      <w:r>
        <w:rPr>
          <w:b/>
          <w:i w:val="0"/>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Visa policy can play an important role to obtain better leverage vis-à-vis third countries on readmission of irregular migrants. However, it is also clear that better cooperation on readmission with reluctant third countries cannot be obtained through visa policy measures alone. Instead a policy mix of positive and negative incentives in various areas (in particular development cooperation, trade, investments, education) would be necessary to sway a country's attitude. Measures in the visa policy area would therefore be </w:t>
      </w:r>
      <w:r>
        <w:rPr>
          <w:rFonts w:ascii="Times New Roman" w:hAnsi="Times New Roman"/>
          <w:noProof/>
          <w:sz w:val="24"/>
          <w:szCs w:val="24"/>
        </w:rPr>
        <w:t>one tool among others in the EU's hands to achieve better cooperation. All other tools (as coordinated notably in the Partnership Framework) will remain equally important.</w:t>
      </w:r>
      <w:r>
        <w:rPr>
          <w:rFonts w:ascii="Times New Roman" w:hAnsi="Times New Roman" w:cs="Times New Roman"/>
          <w:noProof/>
          <w:sz w:val="24"/>
          <w:szCs w:val="24"/>
        </w:rPr>
        <w:t xml:space="preserve"> For the purpose of this report, however, </w:t>
      </w:r>
      <w:r>
        <w:rPr>
          <w:rFonts w:ascii="Times New Roman" w:hAnsi="Times New Roman" w:cs="Times New Roman"/>
          <w:b/>
          <w:noProof/>
          <w:sz w:val="24"/>
          <w:szCs w:val="24"/>
        </w:rPr>
        <w:t>only policy options in the area of visa policy</w:t>
      </w:r>
      <w:r>
        <w:rPr>
          <w:rFonts w:ascii="Times New Roman" w:hAnsi="Times New Roman" w:cs="Times New Roman"/>
          <w:noProof/>
          <w:sz w:val="24"/>
          <w:szCs w:val="24"/>
        </w:rPr>
        <w:t xml:space="preserve"> will be considered:</w:t>
      </w:r>
    </w:p>
    <w:p>
      <w:pPr>
        <w:pStyle w:val="Heading4"/>
        <w:numPr>
          <w:ilvl w:val="0"/>
          <w:numId w:val="0"/>
        </w:numPr>
        <w:rPr>
          <w:noProof/>
          <w:u w:val="single"/>
        </w:rPr>
      </w:pPr>
      <w:r>
        <w:rPr>
          <w:noProof/>
          <w:u w:val="single"/>
        </w:rPr>
        <w:t>Policy option 3A: Status quo</w:t>
      </w:r>
    </w:p>
    <w:p>
      <w:pPr>
        <w:jc w:val="both"/>
        <w:rPr>
          <w:rFonts w:ascii="Times New Roman" w:hAnsi="Times New Roman" w:cs="Times New Roman"/>
          <w:noProof/>
          <w:sz w:val="24"/>
          <w:szCs w:val="24"/>
        </w:rPr>
      </w:pPr>
      <w:r>
        <w:rPr>
          <w:rFonts w:ascii="Times New Roman" w:hAnsi="Times New Roman" w:cs="Times New Roman"/>
          <w:noProof/>
          <w:sz w:val="24"/>
          <w:szCs w:val="24"/>
        </w:rPr>
        <w:t>Continue the Coreper-led "toolbox approach" (using the existing flexibility of Visa Code) to put pressure on third countries not cooperating on readmission of irregular migrants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No legislative amendments.</w:t>
      </w:r>
    </w:p>
    <w:p>
      <w:pPr>
        <w:pStyle w:val="Heading4"/>
        <w:numPr>
          <w:ilvl w:val="0"/>
          <w:numId w:val="0"/>
        </w:numPr>
        <w:rPr>
          <w:noProof/>
          <w:u w:val="single"/>
        </w:rPr>
      </w:pPr>
      <w:r>
        <w:rPr>
          <w:noProof/>
          <w:u w:val="single"/>
        </w:rPr>
        <w:t>Policy option 3B: Positive incentives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Amend the Visa Code to create a legal basis for positive incentives for cooperation on readmission, such as lower visa fees and a favourable MEV cascade, to be applied in countries that cooperate or improve their cooperation with Member States. </w:t>
      </w:r>
    </w:p>
    <w:p>
      <w:pPr>
        <w:pStyle w:val="Heading4"/>
        <w:numPr>
          <w:ilvl w:val="0"/>
          <w:numId w:val="0"/>
        </w:numPr>
        <w:rPr>
          <w:noProof/>
          <w:u w:val="single"/>
        </w:rPr>
      </w:pPr>
      <w:r>
        <w:rPr>
          <w:noProof/>
          <w:u w:val="single"/>
        </w:rPr>
        <w:t>Policy option 3C: Negative incentives</w:t>
      </w:r>
    </w:p>
    <w:p>
      <w:pPr>
        <w:jc w:val="both"/>
        <w:rPr>
          <w:rFonts w:ascii="Times New Roman" w:hAnsi="Times New Roman" w:cs="Times New Roman"/>
          <w:noProof/>
          <w:sz w:val="24"/>
          <w:szCs w:val="24"/>
        </w:rPr>
      </w:pPr>
      <w:r>
        <w:rPr>
          <w:rFonts w:ascii="Times New Roman" w:hAnsi="Times New Roman" w:cs="Times New Roman"/>
          <w:noProof/>
          <w:sz w:val="24"/>
          <w:szCs w:val="24"/>
        </w:rPr>
        <w:t>Amend the Visa Code to create a legal basis for negative incentives for cooperation on readmission.</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u w:val="single"/>
        </w:rPr>
        <w:t>Sub-option 3C1 (maximum approach)</w:t>
      </w:r>
      <w:r>
        <w:rPr>
          <w:rFonts w:ascii="Times New Roman" w:hAnsi="Times New Roman" w:cs="Times New Roman"/>
          <w:noProof/>
          <w:sz w:val="24"/>
          <w:szCs w:val="24"/>
        </w:rPr>
        <w:t>: negative incentives on various aspects of the visa procedure, to be defined in the regulation (e.g. higher visa fee, more supporting documents, maximum processing time, limited length of MEVs), applicable to all holders of passports.</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u w:val="single"/>
        </w:rPr>
        <w:t>Sub-option 3C2 (targeted approach)</w:t>
      </w:r>
      <w:r>
        <w:rPr>
          <w:rFonts w:ascii="Times New Roman" w:hAnsi="Times New Roman" w:cs="Times New Roman"/>
          <w:noProof/>
          <w:sz w:val="24"/>
          <w:szCs w:val="24"/>
        </w:rPr>
        <w:t>: negative incentives as above, applicable in two separate phases: 1) holders of diplomatic and service passports, 2) holders of ordinary passports.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would also be possible to conceive of a </w:t>
      </w:r>
      <w:r>
        <w:rPr>
          <w:rFonts w:ascii="Times New Roman" w:hAnsi="Times New Roman" w:cs="Times New Roman"/>
          <w:noProof/>
          <w:sz w:val="24"/>
          <w:szCs w:val="24"/>
          <w:u w:val="single"/>
        </w:rPr>
        <w:t>combination of both positive and negative incentives</w:t>
      </w:r>
      <w:r>
        <w:rPr>
          <w:rFonts w:ascii="Times New Roman" w:hAnsi="Times New Roman" w:cs="Times New Roman"/>
          <w:noProof/>
          <w:sz w:val="24"/>
          <w:szCs w:val="24"/>
        </w:rPr>
        <w:t>. While this possibility should not be discarded outright and should be considered seriously on the basis of the options proposed, its impacts will not need to be assessed separately.</w:t>
      </w:r>
    </w:p>
    <w:p>
      <w:pPr>
        <w:pStyle w:val="Heading2"/>
        <w:tabs>
          <w:tab w:val="clear" w:pos="1200"/>
          <w:tab w:val="num" w:pos="720"/>
        </w:tabs>
        <w:ind w:left="0" w:firstLine="0"/>
        <w:rPr>
          <w:noProof/>
          <w:u w:val="single"/>
        </w:rPr>
      </w:pPr>
      <w:bookmarkStart w:id="40" w:name="_Toc507148487"/>
      <w:r>
        <w:rPr>
          <w:noProof/>
          <w:u w:val="single"/>
        </w:rPr>
        <w:t>Options discarded at an early stage</w:t>
      </w:r>
      <w:bookmarkEnd w:id="40"/>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the first problem area (financial resources), the </w:t>
      </w:r>
      <w:r>
        <w:rPr>
          <w:rFonts w:ascii="Times New Roman" w:hAnsi="Times New Roman" w:cs="Times New Roman"/>
          <w:noProof/>
          <w:sz w:val="24"/>
          <w:szCs w:val="24"/>
          <w:u w:val="single"/>
        </w:rPr>
        <w:t>lowering or even abolition of common visa fee</w:t>
      </w:r>
      <w:r>
        <w:rPr>
          <w:rFonts w:ascii="Times New Roman" w:hAnsi="Times New Roman" w:cs="Times New Roman"/>
          <w:noProof/>
          <w:sz w:val="24"/>
          <w:szCs w:val="24"/>
        </w:rPr>
        <w:t xml:space="preserve"> could be a possible option, but will be discarded at this stage as it would not contribute to reaching the objective. Some stakeholders in the tourism industry argue that a reduction in the visa fee should be seen as a marketing cost and would be recovered indirectly through additional income in the national economy and the resulting tax revenue. However, it is not clear where the necessary financial resources would come from: Member States are not ready to subsidise visa issuing even further, and a tax on the tourism industry to fund visa issuing would encounter strong opposition and seem disproportionate. Moreover, reducing or abolishing the visa fee would also carry certain risks, as it could encourage potential irregular migrants to just "try their luck" lodging a visa application without any or at low cost.</w:t>
      </w:r>
    </w:p>
    <w:p>
      <w:pPr>
        <w:pStyle w:val="Heading1"/>
        <w:tabs>
          <w:tab w:val="clear" w:pos="480"/>
        </w:tabs>
        <w:ind w:left="0" w:firstLine="0"/>
        <w:rPr>
          <w:noProof/>
        </w:rPr>
      </w:pPr>
      <w:bookmarkStart w:id="41" w:name="_Toc507148488"/>
      <w:r>
        <w:rPr>
          <w:noProof/>
        </w:rPr>
        <w:t>What are the impacts of the policy options?</w:t>
      </w:r>
      <w:bookmarkEnd w:id="41"/>
    </w:p>
    <w:p>
      <w:pPr>
        <w:pStyle w:val="Heading2"/>
        <w:tabs>
          <w:tab w:val="clear" w:pos="1200"/>
          <w:tab w:val="num" w:pos="720"/>
        </w:tabs>
        <w:ind w:left="0" w:firstLine="0"/>
        <w:rPr>
          <w:noProof/>
          <w:u w:val="single"/>
        </w:rPr>
      </w:pPr>
      <w:bookmarkStart w:id="42" w:name="_Toc507148489"/>
      <w:r>
        <w:rPr>
          <w:noProof/>
          <w:u w:val="single"/>
        </w:rPr>
        <w:t>Methodology</w:t>
      </w:r>
      <w:bookmarkEnd w:id="42"/>
    </w:p>
    <w:p>
      <w:pPr>
        <w:pStyle w:val="Heading3"/>
        <w:tabs>
          <w:tab w:val="left" w:pos="720"/>
        </w:tabs>
        <w:ind w:left="0" w:firstLine="0"/>
        <w:rPr>
          <w:b/>
          <w:i w:val="0"/>
          <w:noProof/>
        </w:rPr>
      </w:pPr>
      <w:bookmarkStart w:id="43" w:name="_Toc507148490"/>
      <w:r>
        <w:rPr>
          <w:b/>
          <w:i w:val="0"/>
          <w:noProof/>
        </w:rPr>
        <w:t>Possible impacts</w:t>
      </w:r>
      <w:bookmarkEnd w:id="43"/>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EU's visa procedures concern most directly two types of actors: visa applicants and Member States' authorities. Any options modifying the common visa policy will have the most immediate impact on those two groups. Other groups of (mostly economic) actors will be affected indirectly by changes of behaviour of the directly affected groups. These impacts in turn can have broader consequences for the societies of EU Member States and the EU's external relations.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first group which is directly affected are </w:t>
      </w:r>
      <w:r>
        <w:rPr>
          <w:rFonts w:ascii="Times New Roman" w:hAnsi="Times New Roman" w:cs="Times New Roman"/>
          <w:b/>
          <w:noProof/>
          <w:sz w:val="24"/>
          <w:szCs w:val="24"/>
        </w:rPr>
        <w:t>visa applicants</w:t>
      </w:r>
      <w:r>
        <w:rPr>
          <w:rFonts w:ascii="Times New Roman" w:hAnsi="Times New Roman" w:cs="Times New Roman"/>
          <w:noProof/>
          <w:sz w:val="24"/>
          <w:szCs w:val="24"/>
        </w:rPr>
        <w:t xml:space="preserve">, i.e. third-country nationals who are under the visa requirement and who apply for a short-stay visa at one of the Schengen consulates. Applicants will directly experience any change in the visa fees, as it will affect the costs involved in the visa procedure and might influence their </w:t>
      </w:r>
      <w:r>
        <w:rPr>
          <w:rFonts w:ascii="Times New Roman" w:hAnsi="Times New Roman" w:cs="Times New Roman"/>
          <w:b/>
          <w:noProof/>
          <w:sz w:val="24"/>
          <w:szCs w:val="24"/>
        </w:rPr>
        <w:t>travel plans</w:t>
      </w:r>
      <w:r>
        <w:rPr>
          <w:rFonts w:ascii="Times New Roman" w:hAnsi="Times New Roman" w:cs="Times New Roman"/>
          <w:noProof/>
          <w:sz w:val="24"/>
          <w:szCs w:val="24"/>
        </w:rPr>
        <w:t xml:space="preserve">, particularly for tourism purposes. Any change in the issuing of MEV with long validity will also affect visa applicants, as it might reduce the number of times they have to apply for a visa and thus their financial and "hassle" costs, and increase their flexibility to travel spontaneously. Finally, if any (positive and negative) change of the visa procedure is applied in order to obtain a third country's cooperation on readmission, this change will also positively or negatively affect visa applicants and their travel behaviour.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second group directly affected are </w:t>
      </w:r>
      <w:r>
        <w:rPr>
          <w:rFonts w:ascii="Times New Roman" w:hAnsi="Times New Roman" w:cs="Times New Roman"/>
          <w:b/>
          <w:noProof/>
          <w:sz w:val="24"/>
          <w:szCs w:val="24"/>
        </w:rPr>
        <w:t>Member States' authorities</w:t>
      </w:r>
      <w:r>
        <w:rPr>
          <w:rFonts w:ascii="Times New Roman" w:hAnsi="Times New Roman" w:cs="Times New Roman"/>
          <w:noProof/>
          <w:sz w:val="24"/>
          <w:szCs w:val="24"/>
        </w:rPr>
        <w:t xml:space="preserve">, first and foremost </w:t>
      </w:r>
      <w:r>
        <w:rPr>
          <w:rFonts w:ascii="Times New Roman" w:hAnsi="Times New Roman" w:cs="Times New Roman"/>
          <w:b/>
          <w:noProof/>
          <w:sz w:val="24"/>
          <w:szCs w:val="24"/>
        </w:rPr>
        <w:t>consulates</w:t>
      </w:r>
      <w:r>
        <w:rPr>
          <w:rFonts w:ascii="Times New Roman" w:hAnsi="Times New Roman" w:cs="Times New Roman"/>
          <w:noProof/>
          <w:sz w:val="24"/>
          <w:szCs w:val="24"/>
        </w:rPr>
        <w:t xml:space="preserve"> in third countries as the visa-issuing authorities. They will be directly concerned by any change in the visa fee which will influence the financial resources available for visa processing. Changes in the approach to issuing MEV will affect the number of visa applications to be processed. Any increased leverage on third countries' cooperation on readmission will impact on the public authorities dealing with refused asylum applicants and irregular migrants, namely </w:t>
      </w:r>
      <w:r>
        <w:rPr>
          <w:rFonts w:ascii="Times New Roman" w:hAnsi="Times New Roman" w:cs="Times New Roman"/>
          <w:b/>
          <w:noProof/>
          <w:sz w:val="24"/>
          <w:szCs w:val="24"/>
        </w:rPr>
        <w:t>migration, asylum and police authorities</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Groups indirectly affected by the visa policy are </w:t>
      </w:r>
      <w:r>
        <w:rPr>
          <w:rFonts w:ascii="Times New Roman" w:hAnsi="Times New Roman" w:cs="Times New Roman"/>
          <w:b/>
          <w:noProof/>
          <w:sz w:val="24"/>
          <w:szCs w:val="24"/>
        </w:rPr>
        <w:t>economic actors</w:t>
      </w:r>
      <w:r>
        <w:rPr>
          <w:rFonts w:ascii="Times New Roman" w:hAnsi="Times New Roman" w:cs="Times New Roman"/>
          <w:noProof/>
          <w:sz w:val="24"/>
          <w:szCs w:val="24"/>
        </w:rPr>
        <w:t xml:space="preserve"> </w:t>
      </w:r>
      <w:r>
        <w:rPr>
          <w:rFonts w:ascii="Times New Roman" w:hAnsi="Times New Roman" w:cs="Times New Roman"/>
          <w:b/>
          <w:noProof/>
          <w:sz w:val="24"/>
          <w:szCs w:val="24"/>
        </w:rPr>
        <w:t>in the EU</w:t>
      </w:r>
      <w:r>
        <w:rPr>
          <w:rFonts w:ascii="Times New Roman" w:hAnsi="Times New Roman" w:cs="Times New Roman"/>
          <w:noProof/>
          <w:sz w:val="24"/>
          <w:szCs w:val="24"/>
        </w:rPr>
        <w:t xml:space="preserve"> </w:t>
      </w:r>
      <w:r>
        <w:rPr>
          <w:rFonts w:ascii="Times New Roman" w:hAnsi="Times New Roman" w:cs="Times New Roman"/>
          <w:b/>
          <w:noProof/>
          <w:sz w:val="24"/>
          <w:szCs w:val="24"/>
        </w:rPr>
        <w:t>having visa holders as clients or employees</w:t>
      </w:r>
      <w:r>
        <w:rPr>
          <w:rFonts w:ascii="Times New Roman" w:hAnsi="Times New Roman" w:cs="Times New Roman"/>
          <w:noProof/>
          <w:sz w:val="24"/>
          <w:szCs w:val="24"/>
        </w:rPr>
        <w:t xml:space="preserve">, such as the tourism industry (travel agencies, hotels, restaurants etc.), airlines and other transport companies, the retail sector, enterprises engaged in international trade (export/import, trade fairs), the health industry (clinics) and the shipping industry (employing seafarers). Any changes in travel behaviour by visa applicants/holders (caused by modifications to visa fees or MEV issuing rules) will indirectly affect these actors' revenues and competitiveness.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Member States' </w:t>
      </w:r>
      <w:r>
        <w:rPr>
          <w:rFonts w:ascii="Times New Roman" w:hAnsi="Times New Roman" w:cs="Times New Roman"/>
          <w:b/>
          <w:noProof/>
          <w:sz w:val="24"/>
          <w:szCs w:val="24"/>
        </w:rPr>
        <w:t>economies and</w:t>
      </w:r>
      <w:r>
        <w:rPr>
          <w:rFonts w:ascii="Times New Roman" w:hAnsi="Times New Roman" w:cs="Times New Roman"/>
          <w:noProof/>
          <w:sz w:val="24"/>
          <w:szCs w:val="24"/>
        </w:rPr>
        <w:t xml:space="preserve"> </w:t>
      </w:r>
      <w:r>
        <w:rPr>
          <w:rFonts w:ascii="Times New Roman" w:hAnsi="Times New Roman" w:cs="Times New Roman"/>
          <w:b/>
          <w:noProof/>
          <w:sz w:val="24"/>
          <w:szCs w:val="24"/>
        </w:rPr>
        <w:t>societies</w:t>
      </w:r>
      <w:r>
        <w:rPr>
          <w:rFonts w:ascii="Times New Roman" w:hAnsi="Times New Roman" w:cs="Times New Roman"/>
          <w:noProof/>
          <w:sz w:val="24"/>
          <w:szCs w:val="24"/>
        </w:rPr>
        <w:t xml:space="preserve"> will feel the impact of changes in visa policy. Economic activity in the above-mentioned sectors influences </w:t>
      </w:r>
      <w:r>
        <w:rPr>
          <w:rFonts w:ascii="Times New Roman" w:hAnsi="Times New Roman" w:cs="Times New Roman"/>
          <w:b/>
          <w:noProof/>
          <w:sz w:val="24"/>
          <w:szCs w:val="24"/>
        </w:rPr>
        <w:t>growth and employment rates</w:t>
      </w:r>
      <w:r>
        <w:rPr>
          <w:rFonts w:ascii="Times New Roman" w:hAnsi="Times New Roman" w:cs="Times New Roman"/>
          <w:noProof/>
          <w:sz w:val="24"/>
          <w:szCs w:val="24"/>
        </w:rPr>
        <w:t xml:space="preserve">. Visa policy is one of the tools for controlling irregular migration and preserving the Schengen area's integrity and security. Financial resources available to visa-issuing authorities will impact the quality of their work, the integrity of the visa processing and consequently the </w:t>
      </w:r>
      <w:r>
        <w:rPr>
          <w:rFonts w:ascii="Times New Roman" w:hAnsi="Times New Roman" w:cs="Times New Roman"/>
          <w:b/>
          <w:noProof/>
          <w:sz w:val="24"/>
          <w:szCs w:val="24"/>
        </w:rPr>
        <w:t>security of the Schengen area</w:t>
      </w:r>
      <w:r>
        <w:rPr>
          <w:rFonts w:ascii="Times New Roman" w:hAnsi="Times New Roman" w:cs="Times New Roman"/>
          <w:noProof/>
          <w:sz w:val="24"/>
          <w:szCs w:val="24"/>
        </w:rPr>
        <w:t xml:space="preserve">. Similarly, increased leverage for the EU readmission policy and better return rates will improve migration management, as well as people's </w:t>
      </w:r>
      <w:r>
        <w:rPr>
          <w:rFonts w:ascii="Times New Roman" w:hAnsi="Times New Roman" w:cs="Times New Roman"/>
          <w:b/>
          <w:noProof/>
          <w:sz w:val="24"/>
          <w:szCs w:val="24"/>
        </w:rPr>
        <w:t>acceptance of the EU's migration policy</w:t>
      </w:r>
      <w:r>
        <w:rPr>
          <w:rFonts w:ascii="Times New Roman" w:hAnsi="Times New Roman" w:cs="Times New Roman"/>
          <w:noProof/>
          <w:sz w:val="24"/>
          <w:szCs w:val="24"/>
        </w:rPr>
        <w:t xml:space="preserve">. Increased or reduced travel as a result of the changes in the EU's visa policy will influence </w:t>
      </w:r>
      <w:r>
        <w:rPr>
          <w:rFonts w:ascii="Times New Roman" w:hAnsi="Times New Roman" w:cs="Times New Roman"/>
          <w:b/>
          <w:noProof/>
          <w:sz w:val="24"/>
          <w:szCs w:val="24"/>
        </w:rPr>
        <w:t>people-to-people contacts</w:t>
      </w:r>
      <w:r>
        <w:rPr>
          <w:rFonts w:ascii="Times New Roman" w:hAnsi="Times New Roman" w:cs="Times New Roman"/>
          <w:noProof/>
          <w:sz w:val="24"/>
          <w:szCs w:val="24"/>
        </w:rPr>
        <w:t xml:space="preserve"> </w:t>
      </w:r>
      <w:r>
        <w:rPr>
          <w:rFonts w:ascii="Times New Roman" w:hAnsi="Times New Roman" w:cs="Times New Roman"/>
          <w:b/>
          <w:noProof/>
          <w:sz w:val="24"/>
          <w:szCs w:val="24"/>
        </w:rPr>
        <w:t>and cultural exchange</w:t>
      </w:r>
      <w:r>
        <w:rPr>
          <w:rFonts w:ascii="Times New Roman" w:hAnsi="Times New Roman" w:cs="Times New Roman"/>
          <w:noProof/>
          <w:sz w:val="24"/>
          <w:szCs w:val="24"/>
        </w:rPr>
        <w:t xml:space="preserve"> between populations in Europe and other continents and it will have an effect on emission of greenhouse gases and thus </w:t>
      </w:r>
      <w:r>
        <w:rPr>
          <w:rFonts w:ascii="Times New Roman" w:hAnsi="Times New Roman" w:cs="Times New Roman"/>
          <w:b/>
          <w:noProof/>
          <w:sz w:val="24"/>
          <w:szCs w:val="24"/>
        </w:rPr>
        <w:t>climate change</w:t>
      </w:r>
      <w:r>
        <w:rPr>
          <w:rFonts w:ascii="Times New Roman" w:hAnsi="Times New Roman" w:cs="Times New Roman"/>
          <w:noProof/>
          <w:sz w:val="24"/>
          <w:szCs w:val="24"/>
        </w:rPr>
        <w:t xml:space="preserve">. As many people travel to the EU to visit their family members, the </w:t>
      </w:r>
      <w:r>
        <w:rPr>
          <w:rFonts w:ascii="Times New Roman" w:hAnsi="Times New Roman" w:cs="Times New Roman"/>
          <w:b/>
          <w:noProof/>
          <w:sz w:val="24"/>
          <w:szCs w:val="24"/>
        </w:rPr>
        <w:t>protection of family life</w:t>
      </w:r>
      <w:r>
        <w:rPr>
          <w:rStyle w:val="FootnoteReference"/>
          <w:rFonts w:ascii="Times New Roman" w:hAnsi="Times New Roman" w:cs="Times New Roman"/>
          <w:b/>
          <w:noProof/>
          <w:sz w:val="24"/>
          <w:szCs w:val="24"/>
        </w:rPr>
        <w:footnoteReference w:id="38"/>
      </w:r>
      <w:r>
        <w:rPr>
          <w:rFonts w:ascii="Times New Roman" w:hAnsi="Times New Roman" w:cs="Times New Roman"/>
          <w:noProof/>
          <w:sz w:val="24"/>
          <w:szCs w:val="24"/>
        </w:rPr>
        <w:t xml:space="preserve"> will also be indirectly affected by increased or reduced possibilities for travel.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changes in the visa policy, through their effect on third country nationals' opportunities, will have direct positive or negative impact on the EU's </w:t>
      </w:r>
      <w:r>
        <w:rPr>
          <w:rFonts w:ascii="Times New Roman" w:hAnsi="Times New Roman" w:cs="Times New Roman"/>
          <w:b/>
          <w:noProof/>
          <w:sz w:val="24"/>
          <w:szCs w:val="24"/>
        </w:rPr>
        <w:t>relations with third countries</w:t>
      </w:r>
      <w:r>
        <w:rPr>
          <w:rFonts w:ascii="Times New Roman" w:hAnsi="Times New Roman" w:cs="Times New Roman"/>
          <w:noProof/>
          <w:sz w:val="24"/>
          <w:szCs w:val="24"/>
        </w:rPr>
        <w:t xml:space="preserve"> and the EU's </w:t>
      </w:r>
      <w:r>
        <w:rPr>
          <w:rFonts w:ascii="Times New Roman" w:hAnsi="Times New Roman" w:cs="Times New Roman"/>
          <w:b/>
          <w:noProof/>
          <w:sz w:val="24"/>
          <w:szCs w:val="24"/>
        </w:rPr>
        <w:t>image in the world</w:t>
      </w:r>
      <w:r>
        <w:rPr>
          <w:rFonts w:ascii="Times New Roman" w:hAnsi="Times New Roman" w:cs="Times New Roman"/>
          <w:noProof/>
          <w:sz w:val="24"/>
          <w:szCs w:val="24"/>
        </w:rPr>
        <w:t>. This is particularly relevant regarding the link between visa policy and readmission policy.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table summarises the possible impacts of the policy options: </w:t>
      </w:r>
    </w:p>
    <w:tbl>
      <w:tblPr>
        <w:tblStyle w:val="TableGrid"/>
        <w:tblW w:w="0" w:type="auto"/>
        <w:tblLook w:val="04A0" w:firstRow="1" w:lastRow="0" w:firstColumn="1" w:lastColumn="0" w:noHBand="0" w:noVBand="1"/>
      </w:tblPr>
      <w:tblGrid>
        <w:gridCol w:w="2148"/>
        <w:gridCol w:w="6686"/>
      </w:tblGrid>
      <w:tr>
        <w:tc>
          <w:tcPr>
            <w:tcW w:w="2148" w:type="dxa"/>
            <w:shd w:val="clear" w:color="auto" w:fill="BFBFBF" w:themeFill="background1" w:themeFillShade="BF"/>
          </w:tcPr>
          <w:p>
            <w:pPr>
              <w:jc w:val="both"/>
              <w:rPr>
                <w:b/>
                <w:noProof/>
                <w:sz w:val="24"/>
                <w:szCs w:val="24"/>
              </w:rPr>
            </w:pPr>
            <w:r>
              <w:rPr>
                <w:b/>
                <w:noProof/>
                <w:sz w:val="24"/>
                <w:szCs w:val="24"/>
              </w:rPr>
              <w:t>Economic impacts</w:t>
            </w:r>
          </w:p>
        </w:tc>
        <w:tc>
          <w:tcPr>
            <w:tcW w:w="6686" w:type="dxa"/>
          </w:tcPr>
          <w:p>
            <w:pPr>
              <w:pStyle w:val="ListParagraph"/>
              <w:numPr>
                <w:ilvl w:val="0"/>
                <w:numId w:val="18"/>
              </w:numPr>
              <w:ind w:left="492"/>
              <w:rPr>
                <w:noProof/>
                <w:sz w:val="24"/>
                <w:szCs w:val="24"/>
              </w:rPr>
            </w:pPr>
            <w:r>
              <w:rPr>
                <w:noProof/>
                <w:sz w:val="24"/>
                <w:szCs w:val="24"/>
              </w:rPr>
              <w:t xml:space="preserve">costs for public authorities (visa authorities/consulates): </w:t>
            </w:r>
          </w:p>
          <w:p>
            <w:pPr>
              <w:pStyle w:val="ListParagraph"/>
              <w:numPr>
                <w:ilvl w:val="0"/>
                <w:numId w:val="19"/>
              </w:numPr>
              <w:ind w:left="492" w:firstLine="0"/>
              <w:rPr>
                <w:noProof/>
                <w:sz w:val="24"/>
                <w:szCs w:val="24"/>
              </w:rPr>
            </w:pPr>
            <w:r>
              <w:rPr>
                <w:noProof/>
                <w:sz w:val="24"/>
                <w:szCs w:val="24"/>
              </w:rPr>
              <w:t>direct (staff, premises, equipment etc.)</w:t>
            </w:r>
          </w:p>
          <w:p>
            <w:pPr>
              <w:pStyle w:val="ListParagraph"/>
              <w:numPr>
                <w:ilvl w:val="0"/>
                <w:numId w:val="19"/>
              </w:numPr>
              <w:ind w:left="492" w:firstLine="0"/>
              <w:rPr>
                <w:noProof/>
                <w:sz w:val="24"/>
                <w:szCs w:val="24"/>
              </w:rPr>
            </w:pPr>
            <w:r>
              <w:rPr>
                <w:noProof/>
                <w:sz w:val="24"/>
                <w:szCs w:val="24"/>
              </w:rPr>
              <w:t>indirect (enforcement costs)</w:t>
            </w:r>
          </w:p>
          <w:p>
            <w:pPr>
              <w:pStyle w:val="ListParagraph"/>
              <w:numPr>
                <w:ilvl w:val="0"/>
                <w:numId w:val="18"/>
              </w:numPr>
              <w:ind w:left="492"/>
              <w:rPr>
                <w:noProof/>
                <w:sz w:val="24"/>
                <w:szCs w:val="24"/>
              </w:rPr>
            </w:pPr>
            <w:r>
              <w:rPr>
                <w:noProof/>
                <w:sz w:val="24"/>
                <w:szCs w:val="24"/>
              </w:rPr>
              <w:t xml:space="preserve">benefits for public authorities (visa/asylum/police authorities): </w:t>
            </w:r>
          </w:p>
          <w:p>
            <w:pPr>
              <w:pStyle w:val="ListParagraph"/>
              <w:numPr>
                <w:ilvl w:val="0"/>
                <w:numId w:val="19"/>
              </w:numPr>
              <w:ind w:left="492" w:firstLine="0"/>
              <w:rPr>
                <w:noProof/>
                <w:sz w:val="24"/>
                <w:szCs w:val="24"/>
              </w:rPr>
            </w:pPr>
            <w:r>
              <w:rPr>
                <w:noProof/>
                <w:sz w:val="24"/>
                <w:szCs w:val="24"/>
              </w:rPr>
              <w:t>income</w:t>
            </w:r>
          </w:p>
          <w:p>
            <w:pPr>
              <w:pStyle w:val="ListParagraph"/>
              <w:numPr>
                <w:ilvl w:val="0"/>
                <w:numId w:val="19"/>
              </w:numPr>
              <w:ind w:left="492" w:firstLine="0"/>
              <w:rPr>
                <w:noProof/>
                <w:sz w:val="24"/>
                <w:szCs w:val="24"/>
              </w:rPr>
            </w:pPr>
            <w:r>
              <w:rPr>
                <w:noProof/>
                <w:sz w:val="24"/>
                <w:szCs w:val="24"/>
              </w:rPr>
              <w:t>cost savings</w:t>
            </w:r>
          </w:p>
          <w:p>
            <w:pPr>
              <w:pStyle w:val="ListParagraph"/>
              <w:numPr>
                <w:ilvl w:val="0"/>
                <w:numId w:val="18"/>
              </w:numPr>
              <w:ind w:left="492"/>
              <w:rPr>
                <w:noProof/>
                <w:sz w:val="24"/>
                <w:szCs w:val="24"/>
              </w:rPr>
            </w:pPr>
            <w:r>
              <w:rPr>
                <w:noProof/>
                <w:sz w:val="24"/>
                <w:szCs w:val="24"/>
              </w:rPr>
              <w:t xml:space="preserve">costs for third country citizens (applicants): </w:t>
            </w:r>
          </w:p>
          <w:p>
            <w:pPr>
              <w:pStyle w:val="ListParagraph"/>
              <w:numPr>
                <w:ilvl w:val="0"/>
                <w:numId w:val="19"/>
              </w:numPr>
              <w:ind w:left="492" w:firstLine="0"/>
              <w:rPr>
                <w:noProof/>
                <w:sz w:val="24"/>
                <w:szCs w:val="24"/>
              </w:rPr>
            </w:pPr>
            <w:r>
              <w:rPr>
                <w:noProof/>
                <w:sz w:val="24"/>
                <w:szCs w:val="24"/>
              </w:rPr>
              <w:t>direct (fees)</w:t>
            </w:r>
          </w:p>
          <w:p>
            <w:pPr>
              <w:pStyle w:val="ListParagraph"/>
              <w:numPr>
                <w:ilvl w:val="0"/>
                <w:numId w:val="19"/>
              </w:numPr>
              <w:ind w:left="492" w:firstLine="0"/>
              <w:rPr>
                <w:noProof/>
                <w:sz w:val="24"/>
                <w:szCs w:val="24"/>
              </w:rPr>
            </w:pPr>
            <w:r>
              <w:rPr>
                <w:noProof/>
                <w:sz w:val="24"/>
                <w:szCs w:val="24"/>
              </w:rPr>
              <w:t>indirect (non-monetisable, such as "hassle costs")</w:t>
            </w:r>
          </w:p>
          <w:p>
            <w:pPr>
              <w:pStyle w:val="ListParagraph"/>
              <w:numPr>
                <w:ilvl w:val="0"/>
                <w:numId w:val="18"/>
              </w:numPr>
              <w:ind w:left="492"/>
              <w:rPr>
                <w:noProof/>
                <w:sz w:val="24"/>
                <w:szCs w:val="24"/>
              </w:rPr>
            </w:pPr>
            <w:r>
              <w:rPr>
                <w:noProof/>
                <w:sz w:val="24"/>
                <w:szCs w:val="24"/>
              </w:rPr>
              <w:t xml:space="preserve">benefits for third country citizens (applicants): </w:t>
            </w:r>
          </w:p>
          <w:p>
            <w:pPr>
              <w:pStyle w:val="ListParagraph"/>
              <w:numPr>
                <w:ilvl w:val="0"/>
                <w:numId w:val="19"/>
              </w:numPr>
              <w:ind w:left="492" w:firstLine="0"/>
              <w:rPr>
                <w:noProof/>
                <w:sz w:val="24"/>
                <w:szCs w:val="24"/>
              </w:rPr>
            </w:pPr>
            <w:r>
              <w:rPr>
                <w:noProof/>
                <w:sz w:val="24"/>
                <w:szCs w:val="24"/>
              </w:rPr>
              <w:t>direct (cost savings)</w:t>
            </w:r>
          </w:p>
          <w:p>
            <w:pPr>
              <w:pStyle w:val="ListParagraph"/>
              <w:numPr>
                <w:ilvl w:val="0"/>
                <w:numId w:val="19"/>
              </w:numPr>
              <w:ind w:left="492" w:firstLine="0"/>
              <w:rPr>
                <w:noProof/>
                <w:sz w:val="24"/>
                <w:szCs w:val="24"/>
              </w:rPr>
            </w:pPr>
            <w:r>
              <w:rPr>
                <w:noProof/>
                <w:sz w:val="24"/>
                <w:szCs w:val="24"/>
              </w:rPr>
              <w:t>indirect (non-monetisable, such as more flexible travel)</w:t>
            </w:r>
          </w:p>
          <w:p>
            <w:pPr>
              <w:pStyle w:val="ListParagraph"/>
              <w:numPr>
                <w:ilvl w:val="0"/>
                <w:numId w:val="18"/>
              </w:numPr>
              <w:ind w:left="492"/>
              <w:rPr>
                <w:noProof/>
                <w:sz w:val="24"/>
                <w:szCs w:val="24"/>
              </w:rPr>
            </w:pPr>
            <w:r>
              <w:rPr>
                <w:noProof/>
                <w:sz w:val="24"/>
                <w:szCs w:val="24"/>
              </w:rPr>
              <w:t>competitiveness of EU tourism industry and trade sector</w:t>
            </w:r>
          </w:p>
        </w:tc>
      </w:tr>
      <w:tr>
        <w:trPr>
          <w:trHeight w:val="1130"/>
        </w:trPr>
        <w:tc>
          <w:tcPr>
            <w:tcW w:w="2148" w:type="dxa"/>
            <w:shd w:val="clear" w:color="auto" w:fill="BFBFBF" w:themeFill="background1" w:themeFillShade="BF"/>
          </w:tcPr>
          <w:p>
            <w:pPr>
              <w:jc w:val="both"/>
              <w:rPr>
                <w:b/>
                <w:noProof/>
                <w:sz w:val="24"/>
                <w:szCs w:val="24"/>
              </w:rPr>
            </w:pPr>
            <w:r>
              <w:rPr>
                <w:b/>
                <w:noProof/>
                <w:sz w:val="24"/>
                <w:szCs w:val="24"/>
              </w:rPr>
              <w:t>Social impacts</w:t>
            </w:r>
          </w:p>
        </w:tc>
        <w:tc>
          <w:tcPr>
            <w:tcW w:w="6686" w:type="dxa"/>
          </w:tcPr>
          <w:p>
            <w:pPr>
              <w:pStyle w:val="ListParagraph"/>
              <w:numPr>
                <w:ilvl w:val="0"/>
                <w:numId w:val="18"/>
              </w:numPr>
              <w:ind w:left="492"/>
              <w:rPr>
                <w:noProof/>
                <w:sz w:val="24"/>
                <w:szCs w:val="24"/>
              </w:rPr>
            </w:pPr>
            <w:r>
              <w:rPr>
                <w:noProof/>
                <w:sz w:val="24"/>
                <w:szCs w:val="24"/>
              </w:rPr>
              <w:t>employment in EU (tourism/trade sectors)</w:t>
            </w:r>
          </w:p>
          <w:p>
            <w:pPr>
              <w:pStyle w:val="ListParagraph"/>
              <w:numPr>
                <w:ilvl w:val="0"/>
                <w:numId w:val="18"/>
              </w:numPr>
              <w:ind w:left="492"/>
              <w:rPr>
                <w:noProof/>
                <w:sz w:val="24"/>
                <w:szCs w:val="24"/>
              </w:rPr>
            </w:pPr>
            <w:r>
              <w:rPr>
                <w:noProof/>
                <w:sz w:val="24"/>
                <w:szCs w:val="24"/>
              </w:rPr>
              <w:t>integrity and security of Schengen area</w:t>
            </w:r>
          </w:p>
          <w:p>
            <w:pPr>
              <w:pStyle w:val="ListParagraph"/>
              <w:numPr>
                <w:ilvl w:val="0"/>
                <w:numId w:val="18"/>
              </w:numPr>
              <w:ind w:left="492"/>
              <w:rPr>
                <w:noProof/>
                <w:sz w:val="24"/>
                <w:szCs w:val="24"/>
              </w:rPr>
            </w:pPr>
            <w:r>
              <w:rPr>
                <w:noProof/>
                <w:sz w:val="24"/>
                <w:szCs w:val="24"/>
              </w:rPr>
              <w:t>people-to-people contacts</w:t>
            </w:r>
          </w:p>
          <w:p>
            <w:pPr>
              <w:pStyle w:val="ListParagraph"/>
              <w:numPr>
                <w:ilvl w:val="0"/>
                <w:numId w:val="18"/>
              </w:numPr>
              <w:ind w:left="492"/>
              <w:rPr>
                <w:noProof/>
                <w:sz w:val="24"/>
                <w:szCs w:val="24"/>
              </w:rPr>
            </w:pPr>
            <w:r>
              <w:rPr>
                <w:noProof/>
                <w:sz w:val="24"/>
                <w:szCs w:val="24"/>
              </w:rPr>
              <w:t>external relations/image of EU</w:t>
            </w:r>
          </w:p>
        </w:tc>
      </w:tr>
      <w:tr>
        <w:tc>
          <w:tcPr>
            <w:tcW w:w="2148" w:type="dxa"/>
            <w:shd w:val="clear" w:color="auto" w:fill="BFBFBF" w:themeFill="background1" w:themeFillShade="BF"/>
          </w:tcPr>
          <w:p>
            <w:pPr>
              <w:jc w:val="both"/>
              <w:rPr>
                <w:b/>
                <w:noProof/>
                <w:sz w:val="24"/>
                <w:szCs w:val="24"/>
              </w:rPr>
            </w:pPr>
            <w:r>
              <w:rPr>
                <w:b/>
                <w:noProof/>
                <w:sz w:val="24"/>
                <w:szCs w:val="24"/>
              </w:rPr>
              <w:t>Environmental impacts</w:t>
            </w:r>
          </w:p>
        </w:tc>
        <w:tc>
          <w:tcPr>
            <w:tcW w:w="6686" w:type="dxa"/>
          </w:tcPr>
          <w:p>
            <w:pPr>
              <w:pStyle w:val="ListParagraph"/>
              <w:numPr>
                <w:ilvl w:val="0"/>
                <w:numId w:val="18"/>
              </w:numPr>
              <w:ind w:left="492"/>
              <w:rPr>
                <w:noProof/>
                <w:sz w:val="24"/>
                <w:szCs w:val="24"/>
              </w:rPr>
            </w:pPr>
            <w:r>
              <w:rPr>
                <w:noProof/>
                <w:sz w:val="24"/>
                <w:szCs w:val="24"/>
              </w:rPr>
              <w:t>emission of greenhouse gases (as result of increased/reduced travel)</w:t>
            </w:r>
          </w:p>
        </w:tc>
      </w:tr>
      <w:tr>
        <w:tc>
          <w:tcPr>
            <w:tcW w:w="2148" w:type="dxa"/>
            <w:shd w:val="clear" w:color="auto" w:fill="BFBFBF" w:themeFill="background1" w:themeFillShade="BF"/>
          </w:tcPr>
          <w:p>
            <w:pPr>
              <w:jc w:val="both"/>
              <w:rPr>
                <w:b/>
                <w:noProof/>
                <w:sz w:val="24"/>
                <w:szCs w:val="24"/>
              </w:rPr>
            </w:pPr>
            <w:r>
              <w:rPr>
                <w:b/>
                <w:noProof/>
                <w:sz w:val="24"/>
                <w:szCs w:val="24"/>
              </w:rPr>
              <w:t>Fundamental rights impacts</w:t>
            </w:r>
          </w:p>
        </w:tc>
        <w:tc>
          <w:tcPr>
            <w:tcW w:w="6686" w:type="dxa"/>
          </w:tcPr>
          <w:p>
            <w:pPr>
              <w:pStyle w:val="ListParagraph"/>
              <w:numPr>
                <w:ilvl w:val="0"/>
                <w:numId w:val="18"/>
              </w:numPr>
              <w:ind w:left="492"/>
              <w:rPr>
                <w:noProof/>
                <w:sz w:val="24"/>
                <w:szCs w:val="24"/>
              </w:rPr>
            </w:pPr>
            <w:r>
              <w:rPr>
                <w:noProof/>
                <w:sz w:val="24"/>
                <w:szCs w:val="24"/>
              </w:rPr>
              <w:t>protection of the family</w:t>
            </w:r>
          </w:p>
          <w:p>
            <w:pPr>
              <w:ind w:left="492" w:hanging="360"/>
              <w:jc w:val="both"/>
              <w:rPr>
                <w:noProof/>
                <w:sz w:val="24"/>
                <w:szCs w:val="24"/>
              </w:rPr>
            </w:pP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different possible interventions in the three problem areas are not likely to all have noteworthy impacts in all of the above-mentioned areas. Therefore the assessment for each problem area is focused on the fields where the different policy options are likely to have </w:t>
      </w:r>
      <w:r>
        <w:rPr>
          <w:rFonts w:ascii="Times New Roman" w:hAnsi="Times New Roman" w:cs="Times New Roman"/>
          <w:b/>
          <w:noProof/>
          <w:sz w:val="24"/>
          <w:szCs w:val="24"/>
        </w:rPr>
        <w:t>significant impacts</w:t>
      </w:r>
      <w:r>
        <w:rPr>
          <w:rFonts w:ascii="Times New Roman" w:hAnsi="Times New Roman" w:cs="Times New Roman"/>
          <w:noProof/>
          <w:sz w:val="24"/>
          <w:szCs w:val="24"/>
        </w:rPr>
        <w:t>. A selection of the most relevant impacts will be established for each problem area.</w:t>
      </w:r>
    </w:p>
    <w:p>
      <w:pPr>
        <w:pStyle w:val="Heading3"/>
        <w:tabs>
          <w:tab w:val="left" w:pos="720"/>
        </w:tabs>
        <w:ind w:left="0" w:firstLine="0"/>
        <w:rPr>
          <w:b/>
          <w:i w:val="0"/>
          <w:noProof/>
        </w:rPr>
      </w:pPr>
      <w:bookmarkStart w:id="44" w:name="_Toc507148491"/>
      <w:r>
        <w:rPr>
          <w:b/>
          <w:i w:val="0"/>
          <w:noProof/>
        </w:rPr>
        <w:t>Available data</w:t>
      </w:r>
      <w:bookmarkEnd w:id="44"/>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collects yearly </w:t>
      </w:r>
      <w:r>
        <w:rPr>
          <w:rFonts w:ascii="Times New Roman" w:hAnsi="Times New Roman" w:cs="Times New Roman"/>
          <w:b/>
          <w:noProof/>
          <w:sz w:val="24"/>
          <w:szCs w:val="24"/>
        </w:rPr>
        <w:t>visa statistics</w:t>
      </w:r>
      <w:r>
        <w:rPr>
          <w:rFonts w:ascii="Times New Roman" w:hAnsi="Times New Roman" w:cs="Times New Roman"/>
          <w:noProof/>
          <w:sz w:val="24"/>
          <w:szCs w:val="24"/>
        </w:rPr>
        <w:t xml:space="preserve"> from Member States which include the number of visa applications by Member State and by location (i.e. consulate), the number of visas issued and the number of visas refused (with which the refusal rate can be calculated). These statistics also include the share of MEV issued, but not their length of validity. The Visa Code recast proposal included a more detailed collection of visa statistics, including the length of validity of visas issued, nationality of applicant, visas issued in representation and number of appeals. The current EU legislation does not provide the possibility for the statistics on visas to be produced centrally from information available in the VIS; however the upcoming revision of the VIS legal base will entrust eu-LISA with the task of producing such statistics. In the current absence of an entry/exit system, no data on the use of visas are available</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such as the number of trips to the EU by holders of MEV. In general there are only limited data on travellers to the EU (compared with other destinations), especially on details such as their nationality, the frequency of travel, costs and expenditure.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are no statistics on the </w:t>
      </w:r>
      <w:r>
        <w:rPr>
          <w:rFonts w:ascii="Times New Roman" w:hAnsi="Times New Roman" w:cs="Times New Roman"/>
          <w:b/>
          <w:noProof/>
          <w:sz w:val="24"/>
          <w:szCs w:val="24"/>
        </w:rPr>
        <w:t>costs of visa processing</w:t>
      </w:r>
      <w:r>
        <w:rPr>
          <w:rFonts w:ascii="Times New Roman" w:hAnsi="Times New Roman" w:cs="Times New Roman"/>
          <w:noProof/>
          <w:sz w:val="24"/>
          <w:szCs w:val="24"/>
        </w:rPr>
        <w:t xml:space="preserve"> or on budgetary resources available to Member States' foreign ministries / visa authorities for that purpose. The Commission services conducted a questionnaire survey among Member States in 2016 to collect information on the costs of visa processing and the methodology to calculate them. These costs cover a variety of items (human resources, premises, equipment, IT development and maintenance, printing and secure dispatch of visa stickers) of which many are not exclusively used for visas, but also other consular tasks (e.g. issuing of national passports). On the basis of the replies to the survey, it became clear that these costs are difficult to estimate. A few Member States shared their estimates of the costs of visa processing, but they were calculated differently and resulted in wide variations. This fragmentary evidence will be used where possible.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Little evidence is available as regards the costs and benefits of policy options for </w:t>
      </w:r>
      <w:r>
        <w:rPr>
          <w:rFonts w:ascii="Times New Roman" w:hAnsi="Times New Roman" w:cs="Times New Roman"/>
          <w:b/>
          <w:noProof/>
          <w:sz w:val="24"/>
          <w:szCs w:val="24"/>
        </w:rPr>
        <w:t>visa applicants/holders</w:t>
      </w:r>
      <w:r>
        <w:rPr>
          <w:rFonts w:ascii="Times New Roman" w:hAnsi="Times New Roman" w:cs="Times New Roman"/>
          <w:noProof/>
          <w:sz w:val="24"/>
          <w:szCs w:val="24"/>
        </w:rPr>
        <w:t xml:space="preserve">. There is no stakeholder organisation, such as an NGO or association directly representing visa applicants that could provide reliable data. In the public consultation evidence was gathered on third-country nationals' experience with the Schengen visa procedure, allowing for certain conclusions to be drawn on the costs and benefits in these individual cases. As respondents to the consultation are self-selected, however, these responses are not necessarily representative of all visa applicants.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absence of a survey of a statistically relevant number of visa applicants in a representative number of third countries, it is very difficult to assess the impact which changes in the visa fee or the issuing of MEV will have on third-country nationals' </w:t>
      </w:r>
      <w:r>
        <w:rPr>
          <w:rFonts w:ascii="Times New Roman" w:hAnsi="Times New Roman" w:cs="Times New Roman"/>
          <w:b/>
          <w:noProof/>
          <w:sz w:val="24"/>
          <w:szCs w:val="24"/>
        </w:rPr>
        <w:t>travel behaviour</w:t>
      </w:r>
      <w:r>
        <w:rPr>
          <w:rFonts w:ascii="Times New Roman" w:hAnsi="Times New Roman" w:cs="Times New Roman"/>
          <w:noProof/>
          <w:sz w:val="24"/>
          <w:szCs w:val="24"/>
        </w:rPr>
        <w:t xml:space="preserve">. This can only be estimated on the basis of anecdotal evidence or general assumptions. Consequently the same is true for the knock-on effects of changes in travel behaviour on </w:t>
      </w:r>
      <w:r>
        <w:rPr>
          <w:rFonts w:ascii="Times New Roman" w:hAnsi="Times New Roman" w:cs="Times New Roman"/>
          <w:b/>
          <w:noProof/>
          <w:sz w:val="24"/>
          <w:szCs w:val="24"/>
        </w:rPr>
        <w:t>economic or social outcomes</w:t>
      </w:r>
      <w:r>
        <w:rPr>
          <w:rFonts w:ascii="Times New Roman" w:hAnsi="Times New Roman" w:cs="Times New Roman"/>
          <w:noProof/>
          <w:sz w:val="24"/>
          <w:szCs w:val="24"/>
        </w:rPr>
        <w:t xml:space="preserve">. Therefore the existing data on </w:t>
      </w:r>
      <w:r>
        <w:rPr>
          <w:rFonts w:ascii="Times New Roman" w:hAnsi="Times New Roman" w:cs="Times New Roman"/>
          <w:b/>
          <w:noProof/>
          <w:sz w:val="24"/>
          <w:szCs w:val="24"/>
        </w:rPr>
        <w:t>inbound tourism</w:t>
      </w:r>
      <w:r>
        <w:rPr>
          <w:rFonts w:ascii="Times New Roman" w:hAnsi="Times New Roman" w:cs="Times New Roman"/>
          <w:noProof/>
          <w:sz w:val="24"/>
          <w:szCs w:val="24"/>
        </w:rPr>
        <w:t xml:space="preserve"> in the EU is of limited value for assessing impact of specific policy options.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Available data regarding </w:t>
      </w:r>
      <w:r>
        <w:rPr>
          <w:rFonts w:ascii="Times New Roman" w:hAnsi="Times New Roman" w:cs="Times New Roman"/>
          <w:b/>
          <w:noProof/>
          <w:sz w:val="24"/>
          <w:szCs w:val="24"/>
        </w:rPr>
        <w:t>readmission of irregular migrants</w:t>
      </w:r>
      <w:r>
        <w:rPr>
          <w:rFonts w:ascii="Times New Roman" w:hAnsi="Times New Roman" w:cs="Times New Roman"/>
          <w:noProof/>
          <w:sz w:val="24"/>
          <w:szCs w:val="24"/>
        </w:rPr>
        <w:t xml:space="preserve"> are limited to available Eurostat statistics (including by nationality) on the number of return decisions taken by Member States and the number of effective returns. With those two indicators, the return rate can be calculated. However, even those figures have to be taken with some caution as they do not reflect exclusively the willingness of third countries to cooperate on returns. Those statistical data need therefore to be complemented by more qualitative information, resulting from Member States' experience in cooperation with those third countries. Furthermore, implementation of the Return Directive</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varies between the Member States, which results in different interpretation of statistical indicators.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Member States either do not have or are reluctant to share data on the costs of lodging and detention of irregular migrants before they can be returned, nor on the costs of returns. Finally – apart from anecdotal experience in the EU with regard to one third country – there is no hard evidence on how visa leverage can translate into better cooperation of third countries on readmission.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ample experience gathered by the Commission services in monitoring Member States' implementation of the visa policy, notably through the </w:t>
      </w:r>
      <w:r>
        <w:rPr>
          <w:rFonts w:ascii="Times New Roman" w:hAnsi="Times New Roman" w:cs="Times New Roman"/>
          <w:b/>
          <w:noProof/>
          <w:sz w:val="24"/>
          <w:szCs w:val="24"/>
        </w:rPr>
        <w:t>Schengen evaluations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was exploited wherever possible.</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In this context the Commission services have visited, since the beginning of 2015, 32 consulates of 16 Schengen States all over the world, thus generating hands-on and in-depth knowledge of Member States' visa-issuing practices. </w:t>
      </w:r>
    </w:p>
    <w:p>
      <w:pPr>
        <w:pStyle w:val="Heading3"/>
        <w:tabs>
          <w:tab w:val="left" w:pos="720"/>
        </w:tabs>
        <w:ind w:left="0" w:firstLine="0"/>
        <w:rPr>
          <w:b/>
          <w:i w:val="0"/>
          <w:noProof/>
        </w:rPr>
      </w:pPr>
      <w:bookmarkStart w:id="45" w:name="_Toc507148492"/>
      <w:r>
        <w:rPr>
          <w:b/>
          <w:i w:val="0"/>
          <w:noProof/>
        </w:rPr>
        <w:t>Qualitative assessment method</w:t>
      </w:r>
      <w:bookmarkEnd w:id="4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scarcity of data</w:t>
      </w:r>
      <w:r>
        <w:rPr>
          <w:rFonts w:ascii="Times New Roman" w:hAnsi="Times New Roman" w:cs="Times New Roman"/>
          <w:noProof/>
          <w:sz w:val="24"/>
          <w:szCs w:val="24"/>
        </w:rPr>
        <w:t xml:space="preserve"> does not allow for a quantitative assessment of the different policy options, such as could be done in a cost-benefit analysis. Instead a </w:t>
      </w:r>
      <w:r>
        <w:rPr>
          <w:rFonts w:ascii="Times New Roman" w:hAnsi="Times New Roman" w:cs="Times New Roman"/>
          <w:b/>
          <w:noProof/>
          <w:sz w:val="24"/>
          <w:szCs w:val="24"/>
        </w:rPr>
        <w:t>qualitative method</w:t>
      </w:r>
      <w:r>
        <w:rPr>
          <w:rFonts w:ascii="Times New Roman" w:hAnsi="Times New Roman" w:cs="Times New Roman"/>
          <w:noProof/>
          <w:sz w:val="24"/>
          <w:szCs w:val="24"/>
        </w:rPr>
        <w:t xml:space="preserve"> will have to be used. Given the widely spread impacts that the policy options are likely to have, it seems most judicious to conduct a </w:t>
      </w:r>
      <w:r>
        <w:rPr>
          <w:rFonts w:ascii="Times New Roman" w:hAnsi="Times New Roman" w:cs="Times New Roman"/>
          <w:b/>
          <w:noProof/>
          <w:sz w:val="24"/>
          <w:szCs w:val="24"/>
        </w:rPr>
        <w:t>multi-criteria analysis (MCA)</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It is a technique to reach a judgment based on an explicit set of objectives and associated criteria and is particularly useful in case of complex interventions with diverse quantified and/or qualitative impacts (in particular factors which cannot be expressed in monetary terms). An MCA is used to assess and rank alternative options in an impact assessment.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This method will be applied as follows:</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 xml:space="preserve">For each problem area a number of </w:t>
      </w:r>
      <w:r>
        <w:rPr>
          <w:rFonts w:ascii="Times New Roman" w:hAnsi="Times New Roman" w:cs="Times New Roman"/>
          <w:b/>
          <w:noProof/>
          <w:sz w:val="24"/>
          <w:szCs w:val="24"/>
        </w:rPr>
        <w:t>impact criteria</w:t>
      </w:r>
      <w:r>
        <w:rPr>
          <w:rFonts w:ascii="Times New Roman" w:hAnsi="Times New Roman" w:cs="Times New Roman"/>
          <w:noProof/>
          <w:sz w:val="24"/>
          <w:szCs w:val="24"/>
        </w:rPr>
        <w:t xml:space="preserve"> are established, based on the selection of most relevant impacts (see above). </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weight</w:t>
      </w:r>
      <w:r>
        <w:rPr>
          <w:rFonts w:ascii="Times New Roman" w:hAnsi="Times New Roman" w:cs="Times New Roman"/>
          <w:noProof/>
          <w:sz w:val="24"/>
          <w:szCs w:val="24"/>
        </w:rPr>
        <w:t xml:space="preserve"> of each criterion (e.g. 20%) will have to be defined as a measure of its overall importance compared with other impacts. </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performance</w:t>
      </w:r>
      <w:r>
        <w:rPr>
          <w:rFonts w:ascii="Times New Roman" w:hAnsi="Times New Roman" w:cs="Times New Roman"/>
          <w:noProof/>
          <w:sz w:val="24"/>
          <w:szCs w:val="24"/>
        </w:rPr>
        <w:t xml:space="preserve"> of each policy option for each criterion will be ranked on a scale from 0 to 3, based on a qualitative assessment of the impacts (compared with the status quo option which by definition will be 0).</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 xml:space="preserve">This ranking will include the </w:t>
      </w:r>
      <w:r>
        <w:rPr>
          <w:rFonts w:ascii="Times New Roman" w:hAnsi="Times New Roman" w:cs="Times New Roman"/>
          <w:b/>
          <w:noProof/>
          <w:sz w:val="24"/>
          <w:szCs w:val="24"/>
        </w:rPr>
        <w:t>direction</w:t>
      </w:r>
      <w:r>
        <w:rPr>
          <w:rFonts w:ascii="Times New Roman" w:hAnsi="Times New Roman" w:cs="Times New Roman"/>
          <w:noProof/>
          <w:sz w:val="24"/>
          <w:szCs w:val="24"/>
        </w:rPr>
        <w:t xml:space="preserve">, i.e. whether it is positive or better than the status quo (+) or negative or worse than the status quo (-). </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performance score, including the direction (+ or -), will be multiplied by the weight factor and added to the performance scores of all other criteria, resulting in an </w:t>
      </w:r>
      <w:r>
        <w:rPr>
          <w:rFonts w:ascii="Times New Roman" w:hAnsi="Times New Roman" w:cs="Times New Roman"/>
          <w:b/>
          <w:noProof/>
          <w:sz w:val="24"/>
          <w:szCs w:val="24"/>
        </w:rPr>
        <w:t>aggregate impact score</w:t>
      </w:r>
      <w:r>
        <w:rPr>
          <w:rFonts w:ascii="Times New Roman" w:hAnsi="Times New Roman" w:cs="Times New Roman"/>
          <w:noProof/>
          <w:sz w:val="24"/>
          <w:szCs w:val="24"/>
        </w:rPr>
        <w:t xml:space="preserve"> for each policy option. These scores will already make it possible to compare and rank the policy options.</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 xml:space="preserve">However, as in the absence of hard data those scores will largely be based on estimations and assumptions, it is useful to assess and compare them on a number of </w:t>
      </w:r>
      <w:r>
        <w:rPr>
          <w:rFonts w:ascii="Times New Roman" w:hAnsi="Times New Roman" w:cs="Times New Roman"/>
          <w:b/>
          <w:noProof/>
          <w:sz w:val="24"/>
          <w:szCs w:val="24"/>
        </w:rPr>
        <w:t>general principles</w:t>
      </w:r>
      <w:r>
        <w:rPr>
          <w:rFonts w:ascii="Times New Roman" w:hAnsi="Times New Roman" w:cs="Times New Roman"/>
          <w:noProof/>
          <w:sz w:val="24"/>
          <w:szCs w:val="24"/>
        </w:rPr>
        <w:t xml:space="preserve"> (ranging from - - - for the most negative to + + + for the most positive):</w:t>
      </w:r>
    </w:p>
    <w:p>
      <w:pPr>
        <w:pStyle w:val="ListParagraph"/>
        <w:numPr>
          <w:ilvl w:val="0"/>
          <w:numId w:val="10"/>
        </w:numPr>
        <w:rPr>
          <w:rFonts w:ascii="Times New Roman" w:hAnsi="Times New Roman" w:cs="Times New Roman"/>
          <w:noProof/>
          <w:sz w:val="24"/>
          <w:szCs w:val="24"/>
        </w:rPr>
      </w:pPr>
      <w:r>
        <w:rPr>
          <w:rFonts w:ascii="Times New Roman" w:hAnsi="Times New Roman" w:cs="Times New Roman"/>
          <w:b/>
          <w:noProof/>
          <w:sz w:val="24"/>
          <w:szCs w:val="24"/>
        </w:rPr>
        <w:t>effectiveness</w:t>
      </w:r>
      <w:r>
        <w:rPr>
          <w:rFonts w:ascii="Times New Roman" w:hAnsi="Times New Roman" w:cs="Times New Roman"/>
          <w:noProof/>
          <w:sz w:val="24"/>
          <w:szCs w:val="24"/>
        </w:rPr>
        <w:t xml:space="preserve"> (with regard to policy objectives),</w:t>
      </w:r>
    </w:p>
    <w:p>
      <w:pPr>
        <w:pStyle w:val="ListParagraph"/>
        <w:numPr>
          <w:ilvl w:val="0"/>
          <w:numId w:val="10"/>
        </w:numPr>
        <w:rPr>
          <w:rFonts w:ascii="Times New Roman" w:hAnsi="Times New Roman" w:cs="Times New Roman"/>
          <w:noProof/>
          <w:sz w:val="24"/>
          <w:szCs w:val="24"/>
        </w:rPr>
      </w:pPr>
      <w:r>
        <w:rPr>
          <w:rFonts w:ascii="Times New Roman" w:hAnsi="Times New Roman" w:cs="Times New Roman"/>
          <w:b/>
          <w:noProof/>
          <w:sz w:val="24"/>
          <w:szCs w:val="24"/>
        </w:rPr>
        <w:t>proportionality</w:t>
      </w:r>
      <w:r>
        <w:rPr>
          <w:rFonts w:ascii="Times New Roman" w:hAnsi="Times New Roman" w:cs="Times New Roman"/>
          <w:noProof/>
          <w:sz w:val="24"/>
          <w:szCs w:val="24"/>
        </w:rPr>
        <w:t>,</w:t>
      </w:r>
    </w:p>
    <w:p>
      <w:pPr>
        <w:pStyle w:val="ListParagraph"/>
        <w:numPr>
          <w:ilvl w:val="0"/>
          <w:numId w:val="10"/>
        </w:numPr>
        <w:rPr>
          <w:rFonts w:ascii="Times New Roman" w:hAnsi="Times New Roman" w:cs="Times New Roman"/>
          <w:noProof/>
          <w:sz w:val="24"/>
          <w:szCs w:val="24"/>
        </w:rPr>
      </w:pPr>
      <w:r>
        <w:rPr>
          <w:rFonts w:ascii="Times New Roman" w:hAnsi="Times New Roman" w:cs="Times New Roman"/>
          <w:b/>
          <w:noProof/>
          <w:sz w:val="24"/>
          <w:szCs w:val="24"/>
        </w:rPr>
        <w:t>feasibility</w:t>
      </w:r>
      <w:r>
        <w:rPr>
          <w:rFonts w:ascii="Times New Roman" w:hAnsi="Times New Roman" w:cs="Times New Roman"/>
          <w:noProof/>
          <w:sz w:val="24"/>
          <w:szCs w:val="24"/>
        </w:rPr>
        <w:t xml:space="preserve"> (legal and practical) and </w:t>
      </w:r>
      <w:r>
        <w:rPr>
          <w:rFonts w:ascii="Times New Roman" w:hAnsi="Times New Roman" w:cs="Times New Roman"/>
          <w:b/>
          <w:noProof/>
          <w:sz w:val="24"/>
          <w:szCs w:val="24"/>
        </w:rPr>
        <w:t>coherence</w:t>
      </w:r>
      <w:r>
        <w:rPr>
          <w:rFonts w:ascii="Times New Roman" w:hAnsi="Times New Roman" w:cs="Times New Roman"/>
          <w:noProof/>
          <w:sz w:val="24"/>
          <w:szCs w:val="24"/>
        </w:rPr>
        <w:t xml:space="preserve"> with other policies.</w:t>
      </w:r>
    </w:p>
    <w:p>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preferred option</w:t>
      </w:r>
      <w:r>
        <w:rPr>
          <w:rFonts w:ascii="Times New Roman" w:hAnsi="Times New Roman" w:cs="Times New Roman"/>
          <w:noProof/>
          <w:sz w:val="24"/>
          <w:szCs w:val="24"/>
        </w:rPr>
        <w:t xml:space="preserve"> will be determined through a comparison on the basis of the aggregate impact score and the other criteria.</w:t>
      </w:r>
    </w:p>
    <w:p>
      <w:pPr>
        <w:pStyle w:val="ListParagraph"/>
        <w:jc w:val="both"/>
        <w:rPr>
          <w:rFonts w:ascii="Times New Roman" w:hAnsi="Times New Roman" w:cs="Times New Roman"/>
          <w:noProof/>
          <w:sz w:val="24"/>
          <w:szCs w:val="24"/>
        </w:rPr>
      </w:pPr>
    </w:p>
    <w:p>
      <w:pPr>
        <w:pStyle w:val="Heading2"/>
        <w:tabs>
          <w:tab w:val="clear" w:pos="1200"/>
          <w:tab w:val="num" w:pos="720"/>
        </w:tabs>
        <w:ind w:left="0" w:firstLine="0"/>
        <w:rPr>
          <w:noProof/>
          <w:u w:val="single"/>
        </w:rPr>
      </w:pPr>
      <w:bookmarkStart w:id="46" w:name="_Toc507148493"/>
      <w:r>
        <w:rPr>
          <w:noProof/>
          <w:u w:val="single"/>
        </w:rPr>
        <w:t>Assessment of policy options</w:t>
      </w:r>
      <w:bookmarkEnd w:id="46"/>
    </w:p>
    <w:p>
      <w:pPr>
        <w:pStyle w:val="Heading3"/>
        <w:tabs>
          <w:tab w:val="num" w:pos="720"/>
        </w:tabs>
        <w:ind w:left="0" w:firstLine="0"/>
        <w:rPr>
          <w:b/>
          <w:i w:val="0"/>
          <w:noProof/>
        </w:rPr>
      </w:pPr>
      <w:bookmarkStart w:id="47" w:name="_Toc507148494"/>
      <w:r>
        <w:rPr>
          <w:b/>
          <w:i w:val="0"/>
          <w:noProof/>
        </w:rPr>
        <w:t>Insufficient financial resources</w:t>
      </w:r>
      <w:bookmarkEnd w:id="47"/>
    </w:p>
    <w:p>
      <w:pPr>
        <w:rPr>
          <w:rFonts w:ascii="Times New Roman" w:hAnsi="Times New Roman" w:cs="Times New Roman"/>
          <w:noProof/>
          <w:sz w:val="24"/>
          <w:szCs w:val="24"/>
          <w:u w:val="single"/>
        </w:rPr>
      </w:pPr>
      <w:r>
        <w:rPr>
          <w:rFonts w:ascii="Times New Roman" w:hAnsi="Times New Roman" w:cs="Times New Roman"/>
          <w:noProof/>
          <w:sz w:val="24"/>
          <w:szCs w:val="24"/>
          <w:u w:val="single"/>
        </w:rPr>
        <w:t>Relevant impacts, criteria and relative weight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Member States a change of the visa fee has direct impact on the </w:t>
      </w:r>
      <w:r>
        <w:rPr>
          <w:rFonts w:ascii="Times New Roman" w:hAnsi="Times New Roman" w:cs="Times New Roman"/>
          <w:b/>
          <w:noProof/>
          <w:sz w:val="24"/>
          <w:szCs w:val="24"/>
        </w:rPr>
        <w:t>financial resources</w:t>
      </w:r>
      <w:r>
        <w:rPr>
          <w:rFonts w:ascii="Times New Roman" w:hAnsi="Times New Roman" w:cs="Times New Roman"/>
          <w:noProof/>
          <w:sz w:val="24"/>
          <w:szCs w:val="24"/>
        </w:rPr>
        <w:t xml:space="preserve"> available for visa processing. Even in Member States where the visa fee income ends up in the general state budget, higher revenues give the visa authorities a stronger stand in their budget negotiations with the finance ministry. Sufficient financial resources are essential for the staffing of consulates, training and the quality of visa processing.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argued above, these factors have a bearing on the </w:t>
      </w:r>
      <w:r>
        <w:rPr>
          <w:rFonts w:ascii="Times New Roman" w:hAnsi="Times New Roman" w:cs="Times New Roman"/>
          <w:b/>
          <w:noProof/>
          <w:sz w:val="24"/>
          <w:szCs w:val="24"/>
        </w:rPr>
        <w:t>integrity and security of the Schengen area</w:t>
      </w:r>
      <w:r>
        <w:rPr>
          <w:rFonts w:ascii="Times New Roman" w:hAnsi="Times New Roman" w:cs="Times New Roman"/>
          <w:noProof/>
          <w:sz w:val="24"/>
          <w:szCs w:val="24"/>
        </w:rPr>
        <w:t>, which is influenced not only by the amount of the financial resources available, but also possibly by the fee model (common EU or national). Therefore this will have to be assessed separately.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reverse side of additional income for Member States through increased visa fees are additional direct costs for visa applicants. It will have to be assessed whether the different policy options are likely to influence their decisions to travel to the EU and how. </w:t>
      </w:r>
      <w:r>
        <w:rPr>
          <w:rFonts w:ascii="Times New Roman" w:hAnsi="Times New Roman" w:cs="Times New Roman"/>
          <w:b/>
          <w:noProof/>
          <w:sz w:val="24"/>
          <w:szCs w:val="24"/>
        </w:rPr>
        <w:t>Changes in travel behaviour</w:t>
      </w:r>
      <w:r>
        <w:rPr>
          <w:rFonts w:ascii="Times New Roman" w:hAnsi="Times New Roman" w:cs="Times New Roman"/>
          <w:noProof/>
          <w:sz w:val="24"/>
          <w:szCs w:val="24"/>
        </w:rPr>
        <w:t xml:space="preserve"> will – as argued above – have influence on certain economic sectors and therefore on employment and growth in the EU. It will also impact people-to-people contacts, the protection of the family and the EU's image worldwide, and it will have an effect on carbon emissions. As all these indirect impacts are a consequence of the travel behaviour, they will not be assessed separately. Overall reduced travel will be assessed as negative (despite the positive effects on climate gas emissions, which will however be outweighed by the other negative effects).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w:t>
      </w:r>
      <w:r>
        <w:rPr>
          <w:rFonts w:ascii="Times New Roman" w:hAnsi="Times New Roman" w:cs="Times New Roman"/>
          <w:b/>
          <w:noProof/>
          <w:sz w:val="24"/>
          <w:szCs w:val="24"/>
        </w:rPr>
        <w:t>weighting</w:t>
      </w:r>
      <w:r>
        <w:rPr>
          <w:rFonts w:ascii="Times New Roman" w:hAnsi="Times New Roman" w:cs="Times New Roman"/>
          <w:noProof/>
          <w:sz w:val="24"/>
          <w:szCs w:val="24"/>
        </w:rPr>
        <w:t xml:space="preserve"> will be attached to the three impact criteria. Changes in travel behaviour can affect the EU's economy and will therefore be weighted equally to increases in financial resources. As the integrity and security of the Schengen area is already influenced by the amount of financial resources available, the second criterion just rates the additional impact of the fee model chosen (national / common visa fee) and will therefore be weighted less. </w:t>
      </w:r>
    </w:p>
    <w:tbl>
      <w:tblPr>
        <w:tblStyle w:val="TableGrid"/>
        <w:tblW w:w="0" w:type="auto"/>
        <w:tblLook w:val="04A0" w:firstRow="1" w:lastRow="0" w:firstColumn="1" w:lastColumn="0" w:noHBand="0" w:noVBand="1"/>
      </w:tblPr>
      <w:tblGrid>
        <w:gridCol w:w="4417"/>
        <w:gridCol w:w="1211"/>
      </w:tblGrid>
      <w:tr>
        <w:tc>
          <w:tcPr>
            <w:tcW w:w="4417" w:type="dxa"/>
          </w:tcPr>
          <w:p>
            <w:pPr>
              <w:jc w:val="both"/>
              <w:rPr>
                <w:noProof/>
                <w:sz w:val="24"/>
                <w:szCs w:val="24"/>
              </w:rPr>
            </w:pPr>
            <w:r>
              <w:rPr>
                <w:noProof/>
                <w:sz w:val="24"/>
                <w:szCs w:val="24"/>
              </w:rPr>
              <w:t>Financial resources</w:t>
            </w:r>
          </w:p>
        </w:tc>
        <w:tc>
          <w:tcPr>
            <w:tcW w:w="1211" w:type="dxa"/>
          </w:tcPr>
          <w:p>
            <w:pPr>
              <w:jc w:val="both"/>
              <w:rPr>
                <w:noProof/>
                <w:sz w:val="24"/>
                <w:szCs w:val="24"/>
              </w:rPr>
            </w:pPr>
            <w:r>
              <w:rPr>
                <w:noProof/>
                <w:sz w:val="24"/>
                <w:szCs w:val="24"/>
              </w:rPr>
              <w:t>40%</w:t>
            </w:r>
          </w:p>
        </w:tc>
      </w:tr>
      <w:tr>
        <w:tc>
          <w:tcPr>
            <w:tcW w:w="4417" w:type="dxa"/>
          </w:tcPr>
          <w:p>
            <w:pPr>
              <w:jc w:val="both"/>
              <w:rPr>
                <w:noProof/>
                <w:sz w:val="24"/>
                <w:szCs w:val="24"/>
              </w:rPr>
            </w:pPr>
            <w:r>
              <w:rPr>
                <w:noProof/>
                <w:sz w:val="24"/>
                <w:szCs w:val="24"/>
              </w:rPr>
              <w:t>Integrity / security of Schengen area</w:t>
            </w:r>
          </w:p>
        </w:tc>
        <w:tc>
          <w:tcPr>
            <w:tcW w:w="1211" w:type="dxa"/>
          </w:tcPr>
          <w:p>
            <w:pPr>
              <w:jc w:val="both"/>
              <w:rPr>
                <w:noProof/>
                <w:sz w:val="24"/>
                <w:szCs w:val="24"/>
              </w:rPr>
            </w:pPr>
            <w:r>
              <w:rPr>
                <w:noProof/>
                <w:sz w:val="24"/>
                <w:szCs w:val="24"/>
              </w:rPr>
              <w:t>20%</w:t>
            </w:r>
          </w:p>
        </w:tc>
      </w:tr>
      <w:tr>
        <w:tc>
          <w:tcPr>
            <w:tcW w:w="4417" w:type="dxa"/>
          </w:tcPr>
          <w:p>
            <w:pPr>
              <w:jc w:val="both"/>
              <w:rPr>
                <w:noProof/>
                <w:sz w:val="24"/>
                <w:szCs w:val="24"/>
              </w:rPr>
            </w:pPr>
            <w:r>
              <w:rPr>
                <w:noProof/>
                <w:sz w:val="24"/>
                <w:szCs w:val="24"/>
              </w:rPr>
              <w:t>Changes in travel behaviour</w:t>
            </w:r>
          </w:p>
        </w:tc>
        <w:tc>
          <w:tcPr>
            <w:tcW w:w="1211" w:type="dxa"/>
          </w:tcPr>
          <w:p>
            <w:pPr>
              <w:jc w:val="both"/>
              <w:rPr>
                <w:noProof/>
                <w:sz w:val="24"/>
                <w:szCs w:val="24"/>
              </w:rPr>
            </w:pPr>
            <w:r>
              <w:rPr>
                <w:noProof/>
                <w:sz w:val="24"/>
                <w:szCs w:val="24"/>
              </w:rPr>
              <w:t>40%</w:t>
            </w:r>
          </w:p>
        </w:tc>
      </w:tr>
    </w:tbl>
    <w:p>
      <w:pPr>
        <w:rPr>
          <w:rFonts w:ascii="Times New Roman" w:hAnsi="Times New Roman" w:cs="Times New Roman"/>
          <w:noProof/>
          <w:sz w:val="24"/>
          <w:szCs w:val="24"/>
          <w:u w:val="single"/>
        </w:rPr>
      </w:pPr>
    </w:p>
    <w:p>
      <w:pPr>
        <w:rPr>
          <w:rFonts w:ascii="Times New Roman" w:hAnsi="Times New Roman" w:cs="Times New Roman"/>
          <w:noProof/>
          <w:sz w:val="24"/>
          <w:szCs w:val="24"/>
        </w:rPr>
      </w:pPr>
      <w:r>
        <w:rPr>
          <w:rFonts w:ascii="Times New Roman" w:hAnsi="Times New Roman" w:cs="Times New Roman"/>
          <w:noProof/>
          <w:sz w:val="24"/>
          <w:szCs w:val="24"/>
          <w:u w:val="single"/>
        </w:rPr>
        <w:t>Qualitative assessment of impacts</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b/>
          <w:noProof/>
          <w:sz w:val="24"/>
          <w:szCs w:val="24"/>
        </w:rPr>
        <w:t>Policy option 1A (status quo)</w:t>
      </w:r>
      <w:r>
        <w:rPr>
          <w:rFonts w:ascii="Times New Roman" w:hAnsi="Times New Roman" w:cs="Times New Roman"/>
          <w:noProof/>
          <w:sz w:val="24"/>
          <w:szCs w:val="24"/>
        </w:rPr>
        <w:t xml:space="preserve"> would not produce any change. The performance is therefore ranked +/-0 on all three criteria.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Impacts of </w:t>
      </w:r>
      <w:r>
        <w:rPr>
          <w:rFonts w:ascii="Times New Roman" w:hAnsi="Times New Roman" w:cs="Times New Roman"/>
          <w:b/>
          <w:noProof/>
          <w:sz w:val="24"/>
          <w:szCs w:val="24"/>
        </w:rPr>
        <w:t>policy option 1B (national visa fees based on administrative costs)</w:t>
      </w:r>
      <w:r>
        <w:rPr>
          <w:rFonts w:ascii="Times New Roman" w:hAnsi="Times New Roman" w:cs="Times New Roman"/>
          <w:noProof/>
          <w:sz w:val="24"/>
          <w:szCs w:val="24"/>
        </w:rPr>
        <w:t xml:space="preserve"> will depend on how Member States would adapt their visa fees. While evidence gathered in the survey suggests that most Member States have higher costs than the current EUR 60 per visa application, it is far from certain that all of them would raise the fees. Some with a strong interest to attract tourists might even be tempted to lower their fees in order to be more 'competitive' (similarly as has been witnessed with reduced processing time and other unilateral 'facilitations' in some locations). Others might be reluctant to raise the fee before other Member States do it. It can therefore be assumed that the increase in financial resources will be weak, if at all (+1). What can be expected is that the resulting divergence in visa fees would strongly encourage visa shopping and presentation of fraudulent documents to obtain a visa at low cost; combined with the risk of one or several Member States engaging in 'disloyal competition'. This would raise threats to the integrity and security of the Schengen area (-1). Overall travel behaviour is uncertain to predict, but would probably remain neutral (+/-0). </w:t>
      </w:r>
    </w:p>
    <w:p>
      <w:pPr>
        <w:jc w:val="both"/>
        <w:rPr>
          <w:rFonts w:ascii="Times New Roman" w:hAnsi="Times New Roman" w:cs="Times New Roman"/>
          <w:noProof/>
          <w:sz w:val="24"/>
          <w:szCs w:val="24"/>
        </w:rPr>
      </w:pPr>
      <w:r>
        <w:rPr>
          <w:rFonts w:ascii="Times New Roman" w:hAnsi="Times New Roman" w:cs="Times New Roman"/>
          <w:b/>
          <w:noProof/>
          <w:sz w:val="24"/>
          <w:szCs w:val="24"/>
        </w:rPr>
        <w:t>Policy options 1C1, 1C2, 1C3 and 1C4 (increase of the</w:t>
      </w:r>
      <w:r>
        <w:rPr>
          <w:rFonts w:ascii="Times New Roman" w:hAnsi="Times New Roman" w:cs="Times New Roman"/>
          <w:noProof/>
          <w:sz w:val="24"/>
          <w:szCs w:val="24"/>
        </w:rPr>
        <w:t xml:space="preserve"> </w:t>
      </w:r>
      <w:r>
        <w:rPr>
          <w:rFonts w:ascii="Times New Roman" w:hAnsi="Times New Roman" w:cs="Times New Roman"/>
          <w:b/>
          <w:noProof/>
          <w:sz w:val="24"/>
          <w:szCs w:val="24"/>
        </w:rPr>
        <w:t>common visa fee)</w:t>
      </w:r>
      <w:r>
        <w:rPr>
          <w:rFonts w:ascii="Times New Roman" w:hAnsi="Times New Roman" w:cs="Times New Roman"/>
          <w:noProof/>
          <w:sz w:val="24"/>
          <w:szCs w:val="24"/>
        </w:rPr>
        <w:t xml:space="preserve"> will have a direct positive impact on financial resources, depending on the scale of the increase under the various sub-options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w:t>
      </w:r>
    </w:p>
    <w:tbl>
      <w:tblPr>
        <w:tblStyle w:val="TableGrid"/>
        <w:tblW w:w="0" w:type="auto"/>
        <w:tblLook w:val="04A0" w:firstRow="1" w:lastRow="0" w:firstColumn="1" w:lastColumn="0" w:noHBand="0" w:noVBand="1"/>
      </w:tblPr>
      <w:tblGrid>
        <w:gridCol w:w="4668"/>
        <w:gridCol w:w="2040"/>
        <w:gridCol w:w="1200"/>
        <w:gridCol w:w="840"/>
      </w:tblGrid>
      <w:tr>
        <w:tc>
          <w:tcPr>
            <w:tcW w:w="4668" w:type="dxa"/>
          </w:tcPr>
          <w:p>
            <w:pPr>
              <w:jc w:val="both"/>
              <w:rPr>
                <w:b/>
                <w:noProof/>
              </w:rPr>
            </w:pPr>
          </w:p>
        </w:tc>
        <w:tc>
          <w:tcPr>
            <w:tcW w:w="2040" w:type="dxa"/>
          </w:tcPr>
          <w:p>
            <w:pPr>
              <w:jc w:val="both"/>
              <w:rPr>
                <w:b/>
                <w:noProof/>
              </w:rPr>
            </w:pPr>
            <w:r>
              <w:rPr>
                <w:b/>
                <w:noProof/>
              </w:rPr>
              <w:t>Visa fee revenue in €</w:t>
            </w:r>
          </w:p>
        </w:tc>
        <w:tc>
          <w:tcPr>
            <w:tcW w:w="1200" w:type="dxa"/>
          </w:tcPr>
          <w:p>
            <w:pPr>
              <w:jc w:val="both"/>
              <w:rPr>
                <w:b/>
                <w:noProof/>
              </w:rPr>
            </w:pPr>
            <w:r>
              <w:rPr>
                <w:b/>
                <w:noProof/>
              </w:rPr>
              <w:t>Increase by</w:t>
            </w:r>
          </w:p>
        </w:tc>
        <w:tc>
          <w:tcPr>
            <w:tcW w:w="840" w:type="dxa"/>
          </w:tcPr>
          <w:p>
            <w:pPr>
              <w:jc w:val="both"/>
              <w:rPr>
                <w:b/>
                <w:noProof/>
              </w:rPr>
            </w:pPr>
            <w:r>
              <w:rPr>
                <w:b/>
                <w:noProof/>
              </w:rPr>
              <w:t>Rating</w:t>
            </w:r>
          </w:p>
        </w:tc>
      </w:tr>
      <w:tr>
        <w:tc>
          <w:tcPr>
            <w:tcW w:w="4668" w:type="dxa"/>
          </w:tcPr>
          <w:p>
            <w:pPr>
              <w:jc w:val="both"/>
              <w:rPr>
                <w:noProof/>
              </w:rPr>
            </w:pPr>
            <w:r>
              <w:rPr>
                <w:noProof/>
              </w:rPr>
              <w:t>Current visa fee revenue all Member States worldwide</w:t>
            </w:r>
          </w:p>
        </w:tc>
        <w:tc>
          <w:tcPr>
            <w:tcW w:w="2040" w:type="dxa"/>
          </w:tcPr>
          <w:p>
            <w:pPr>
              <w:jc w:val="right"/>
              <w:rPr>
                <w:noProof/>
              </w:rPr>
            </w:pPr>
            <w:r>
              <w:rPr>
                <w:noProof/>
              </w:rPr>
              <w:t>792 million</w:t>
            </w:r>
          </w:p>
        </w:tc>
        <w:tc>
          <w:tcPr>
            <w:tcW w:w="1200" w:type="dxa"/>
          </w:tcPr>
          <w:p>
            <w:pPr>
              <w:jc w:val="right"/>
              <w:rPr>
                <w:noProof/>
              </w:rPr>
            </w:pPr>
          </w:p>
        </w:tc>
        <w:tc>
          <w:tcPr>
            <w:tcW w:w="840" w:type="dxa"/>
          </w:tcPr>
          <w:p>
            <w:pPr>
              <w:jc w:val="right"/>
              <w:rPr>
                <w:noProof/>
              </w:rPr>
            </w:pPr>
          </w:p>
        </w:tc>
      </w:tr>
      <w:tr>
        <w:tc>
          <w:tcPr>
            <w:tcW w:w="4668" w:type="dxa"/>
          </w:tcPr>
          <w:p>
            <w:pPr>
              <w:jc w:val="both"/>
              <w:rPr>
                <w:noProof/>
              </w:rPr>
            </w:pPr>
            <w:r>
              <w:rPr>
                <w:noProof/>
              </w:rPr>
              <w:t>Additional revenue for option 1C1 (EUR 80)</w:t>
            </w:r>
          </w:p>
        </w:tc>
        <w:tc>
          <w:tcPr>
            <w:tcW w:w="2040" w:type="dxa"/>
          </w:tcPr>
          <w:p>
            <w:pPr>
              <w:jc w:val="right"/>
              <w:rPr>
                <w:noProof/>
              </w:rPr>
            </w:pPr>
            <w:r>
              <w:rPr>
                <w:noProof/>
              </w:rPr>
              <w:t>205 million</w:t>
            </w:r>
          </w:p>
        </w:tc>
        <w:tc>
          <w:tcPr>
            <w:tcW w:w="1200" w:type="dxa"/>
          </w:tcPr>
          <w:p>
            <w:pPr>
              <w:jc w:val="right"/>
              <w:rPr>
                <w:noProof/>
              </w:rPr>
            </w:pPr>
            <w:r>
              <w:rPr>
                <w:noProof/>
              </w:rPr>
              <w:t>26%</w:t>
            </w:r>
          </w:p>
        </w:tc>
        <w:tc>
          <w:tcPr>
            <w:tcW w:w="840" w:type="dxa"/>
          </w:tcPr>
          <w:p>
            <w:pPr>
              <w:jc w:val="right"/>
              <w:rPr>
                <w:noProof/>
              </w:rPr>
            </w:pPr>
            <w:r>
              <w:rPr>
                <w:noProof/>
              </w:rPr>
              <w:t>+1</w:t>
            </w:r>
          </w:p>
        </w:tc>
      </w:tr>
      <w:tr>
        <w:tc>
          <w:tcPr>
            <w:tcW w:w="4668" w:type="dxa"/>
          </w:tcPr>
          <w:p>
            <w:pPr>
              <w:jc w:val="both"/>
              <w:rPr>
                <w:noProof/>
              </w:rPr>
            </w:pPr>
            <w:r>
              <w:rPr>
                <w:noProof/>
              </w:rPr>
              <w:t>Additional revenue for option 1C2 (EUR 100)</w:t>
            </w:r>
          </w:p>
        </w:tc>
        <w:tc>
          <w:tcPr>
            <w:tcW w:w="2040" w:type="dxa"/>
          </w:tcPr>
          <w:p>
            <w:pPr>
              <w:jc w:val="right"/>
              <w:rPr>
                <w:noProof/>
              </w:rPr>
            </w:pPr>
            <w:r>
              <w:rPr>
                <w:noProof/>
              </w:rPr>
              <w:t>412 million</w:t>
            </w:r>
          </w:p>
        </w:tc>
        <w:tc>
          <w:tcPr>
            <w:tcW w:w="1200" w:type="dxa"/>
          </w:tcPr>
          <w:p>
            <w:pPr>
              <w:jc w:val="right"/>
              <w:rPr>
                <w:noProof/>
              </w:rPr>
            </w:pPr>
            <w:r>
              <w:rPr>
                <w:noProof/>
              </w:rPr>
              <w:t>52%</w:t>
            </w:r>
          </w:p>
        </w:tc>
        <w:tc>
          <w:tcPr>
            <w:tcW w:w="840" w:type="dxa"/>
          </w:tcPr>
          <w:p>
            <w:pPr>
              <w:jc w:val="right"/>
              <w:rPr>
                <w:noProof/>
              </w:rPr>
            </w:pPr>
            <w:r>
              <w:rPr>
                <w:noProof/>
              </w:rPr>
              <w:t>+2</w:t>
            </w:r>
          </w:p>
        </w:tc>
      </w:tr>
      <w:tr>
        <w:tc>
          <w:tcPr>
            <w:tcW w:w="4668" w:type="dxa"/>
          </w:tcPr>
          <w:p>
            <w:pPr>
              <w:jc w:val="both"/>
              <w:rPr>
                <w:noProof/>
              </w:rPr>
            </w:pPr>
            <w:r>
              <w:rPr>
                <w:noProof/>
              </w:rPr>
              <w:t>Additional revenue for option 1C3 (EUR 120)</w:t>
            </w:r>
          </w:p>
        </w:tc>
        <w:tc>
          <w:tcPr>
            <w:tcW w:w="2040" w:type="dxa"/>
          </w:tcPr>
          <w:p>
            <w:pPr>
              <w:jc w:val="right"/>
              <w:rPr>
                <w:noProof/>
              </w:rPr>
            </w:pPr>
            <w:r>
              <w:rPr>
                <w:noProof/>
              </w:rPr>
              <w:t>619 million</w:t>
            </w:r>
          </w:p>
        </w:tc>
        <w:tc>
          <w:tcPr>
            <w:tcW w:w="1200" w:type="dxa"/>
          </w:tcPr>
          <w:p>
            <w:pPr>
              <w:jc w:val="right"/>
              <w:rPr>
                <w:noProof/>
              </w:rPr>
            </w:pPr>
            <w:r>
              <w:rPr>
                <w:noProof/>
              </w:rPr>
              <w:t>78%</w:t>
            </w:r>
          </w:p>
        </w:tc>
        <w:tc>
          <w:tcPr>
            <w:tcW w:w="840" w:type="dxa"/>
          </w:tcPr>
          <w:p>
            <w:pPr>
              <w:jc w:val="right"/>
              <w:rPr>
                <w:noProof/>
              </w:rPr>
            </w:pPr>
            <w:r>
              <w:rPr>
                <w:noProof/>
              </w:rPr>
              <w:t>+3</w:t>
            </w:r>
          </w:p>
        </w:tc>
      </w:tr>
      <w:tr>
        <w:tc>
          <w:tcPr>
            <w:tcW w:w="4668" w:type="dxa"/>
          </w:tcPr>
          <w:p>
            <w:pPr>
              <w:jc w:val="both"/>
              <w:rPr>
                <w:noProof/>
              </w:rPr>
            </w:pPr>
            <w:r>
              <w:rPr>
                <w:noProof/>
              </w:rPr>
              <w:t>Additional revenue for option 1C4 (EUR 80/120)</w:t>
            </w:r>
            <w:r>
              <w:rPr>
                <w:rStyle w:val="FootnoteReference"/>
                <w:noProof/>
              </w:rPr>
              <w:footnoteReference w:id="47"/>
            </w:r>
          </w:p>
        </w:tc>
        <w:tc>
          <w:tcPr>
            <w:tcW w:w="2040" w:type="dxa"/>
          </w:tcPr>
          <w:p>
            <w:pPr>
              <w:jc w:val="right"/>
              <w:rPr>
                <w:noProof/>
              </w:rPr>
            </w:pPr>
            <w:r>
              <w:rPr>
                <w:noProof/>
              </w:rPr>
              <w:t>267 million</w:t>
            </w:r>
          </w:p>
        </w:tc>
        <w:tc>
          <w:tcPr>
            <w:tcW w:w="1200" w:type="dxa"/>
          </w:tcPr>
          <w:p>
            <w:pPr>
              <w:jc w:val="right"/>
              <w:rPr>
                <w:noProof/>
              </w:rPr>
            </w:pPr>
            <w:r>
              <w:rPr>
                <w:noProof/>
              </w:rPr>
              <w:t>34%</w:t>
            </w:r>
          </w:p>
        </w:tc>
        <w:tc>
          <w:tcPr>
            <w:tcW w:w="840" w:type="dxa"/>
          </w:tcPr>
          <w:p>
            <w:pPr>
              <w:jc w:val="right"/>
              <w:rPr>
                <w:noProof/>
              </w:rPr>
            </w:pPr>
            <w:r>
              <w:rPr>
                <w:noProof/>
              </w:rPr>
              <w:t>+1</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Parallel positive effects can be expected as a result for the security of the Schengen area, provided the additional revenues are fully invested into additional staff for visa processing as well as IT tools and training and would therefore contribute to a more thorough examination of applications (same rating for options). As regards impact on travel behaviour, it can be assumed that an increase of the visa fee by EUR 20 will not yet cause noticeable changes, given the overall costs involved in visa procedures</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and in travelling to Europe from visa-required countries in Africa, Asia or Latin America</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(+/-0); the same is true if MEV of one year or more would be charged EUR 120, as this would be regarded as 'fair' by most visa applicants. Similarly an increase by EUR 40 would only cause a weak change in travel behaviour (-1). Given comparable countries' visa fees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and the lack of alternatives, even a visa fee of EUR 120 would very likely only lead to a moderate reduction of travel to the EU (</w:t>
      </w:r>
      <w:r>
        <w:rPr>
          <w:rFonts w:ascii="Calibri" w:hAnsi="Calibri" w:cs="Times New Roman"/>
          <w:noProof/>
          <w:sz w:val="24"/>
          <w:szCs w:val="24"/>
        </w:rPr>
        <w:t>-</w:t>
      </w:r>
      <w:r>
        <w:rPr>
          <w:rFonts w:ascii="Times New Roman" w:hAnsi="Times New Roman" w:cs="Times New Roman"/>
          <w:noProof/>
          <w:sz w:val="24"/>
          <w:szCs w:val="24"/>
        </w:rPr>
        <w:t>2).</w:t>
      </w:r>
    </w:p>
    <w:p>
      <w:pPr>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u w:val="single"/>
        </w:rPr>
        <w:t>Overview</w:t>
      </w:r>
      <w:r>
        <w:rPr>
          <w:rFonts w:ascii="Times New Roman" w:hAnsi="Times New Roman" w:cs="Times New Roman"/>
          <w:noProof/>
          <w:sz w:val="24"/>
          <w:szCs w:val="24"/>
        </w:rPr>
        <w:t xml:space="preserve"> </w:t>
      </w:r>
    </w:p>
    <w:tbl>
      <w:tblPr>
        <w:tblStyle w:val="TableGrid"/>
        <w:tblW w:w="8748" w:type="dxa"/>
        <w:tblLayout w:type="fixed"/>
        <w:tblLook w:val="04A0" w:firstRow="1" w:lastRow="0" w:firstColumn="1" w:lastColumn="0" w:noHBand="0" w:noVBand="1"/>
      </w:tblPr>
      <w:tblGrid>
        <w:gridCol w:w="2868"/>
        <w:gridCol w:w="1080"/>
        <w:gridCol w:w="840"/>
        <w:gridCol w:w="720"/>
        <w:gridCol w:w="840"/>
        <w:gridCol w:w="840"/>
        <w:gridCol w:w="720"/>
        <w:gridCol w:w="840"/>
      </w:tblGrid>
      <w:tr>
        <w:trPr>
          <w:trHeight w:val="144"/>
        </w:trPr>
        <w:tc>
          <w:tcPr>
            <w:tcW w:w="2868" w:type="dxa"/>
            <w:vMerge w:val="restart"/>
          </w:tcPr>
          <w:p>
            <w:pPr>
              <w:jc w:val="center"/>
              <w:rPr>
                <w:b/>
                <w:noProof/>
                <w:sz w:val="24"/>
                <w:szCs w:val="24"/>
              </w:rPr>
            </w:pPr>
            <w:r>
              <w:rPr>
                <w:b/>
                <w:noProof/>
                <w:sz w:val="24"/>
                <w:szCs w:val="24"/>
              </w:rPr>
              <w:t>Impact criteria</w:t>
            </w:r>
          </w:p>
        </w:tc>
        <w:tc>
          <w:tcPr>
            <w:tcW w:w="1080" w:type="dxa"/>
            <w:vMerge w:val="restart"/>
          </w:tcPr>
          <w:p>
            <w:pPr>
              <w:jc w:val="center"/>
              <w:rPr>
                <w:b/>
                <w:noProof/>
                <w:sz w:val="24"/>
                <w:szCs w:val="24"/>
              </w:rPr>
            </w:pPr>
            <w:r>
              <w:rPr>
                <w:b/>
                <w:noProof/>
                <w:sz w:val="24"/>
                <w:szCs w:val="24"/>
              </w:rPr>
              <w:t>Weight</w:t>
            </w:r>
          </w:p>
        </w:tc>
        <w:tc>
          <w:tcPr>
            <w:tcW w:w="4800" w:type="dxa"/>
            <w:gridSpan w:val="6"/>
          </w:tcPr>
          <w:p>
            <w:pPr>
              <w:jc w:val="center"/>
              <w:rPr>
                <w:b/>
                <w:noProof/>
                <w:sz w:val="24"/>
                <w:szCs w:val="24"/>
              </w:rPr>
            </w:pPr>
            <w:r>
              <w:rPr>
                <w:b/>
                <w:noProof/>
                <w:sz w:val="24"/>
                <w:szCs w:val="24"/>
              </w:rPr>
              <w:t>Options</w:t>
            </w:r>
          </w:p>
        </w:tc>
      </w:tr>
      <w:tr>
        <w:trPr>
          <w:trHeight w:val="144"/>
        </w:trPr>
        <w:tc>
          <w:tcPr>
            <w:tcW w:w="2868" w:type="dxa"/>
            <w:vMerge/>
          </w:tcPr>
          <w:p>
            <w:pPr>
              <w:jc w:val="center"/>
              <w:rPr>
                <w:b/>
                <w:noProof/>
                <w:sz w:val="24"/>
                <w:szCs w:val="24"/>
              </w:rPr>
            </w:pPr>
          </w:p>
        </w:tc>
        <w:tc>
          <w:tcPr>
            <w:tcW w:w="1080" w:type="dxa"/>
            <w:vMerge/>
          </w:tcPr>
          <w:p>
            <w:pPr>
              <w:jc w:val="center"/>
              <w:rPr>
                <w:b/>
                <w:i/>
                <w:noProof/>
                <w:sz w:val="24"/>
                <w:szCs w:val="24"/>
              </w:rPr>
            </w:pPr>
          </w:p>
        </w:tc>
        <w:tc>
          <w:tcPr>
            <w:tcW w:w="840" w:type="dxa"/>
          </w:tcPr>
          <w:p>
            <w:pPr>
              <w:jc w:val="center"/>
              <w:rPr>
                <w:b/>
                <w:noProof/>
                <w:sz w:val="24"/>
                <w:szCs w:val="24"/>
              </w:rPr>
            </w:pPr>
            <w:r>
              <w:rPr>
                <w:b/>
                <w:noProof/>
                <w:sz w:val="24"/>
                <w:szCs w:val="24"/>
              </w:rPr>
              <w:t>1A</w:t>
            </w:r>
          </w:p>
        </w:tc>
        <w:tc>
          <w:tcPr>
            <w:tcW w:w="720" w:type="dxa"/>
          </w:tcPr>
          <w:p>
            <w:pPr>
              <w:jc w:val="center"/>
              <w:rPr>
                <w:b/>
                <w:noProof/>
                <w:sz w:val="24"/>
                <w:szCs w:val="24"/>
              </w:rPr>
            </w:pPr>
            <w:r>
              <w:rPr>
                <w:b/>
                <w:noProof/>
                <w:sz w:val="24"/>
                <w:szCs w:val="24"/>
              </w:rPr>
              <w:t>1B</w:t>
            </w:r>
          </w:p>
        </w:tc>
        <w:tc>
          <w:tcPr>
            <w:tcW w:w="840" w:type="dxa"/>
          </w:tcPr>
          <w:p>
            <w:pPr>
              <w:jc w:val="center"/>
              <w:rPr>
                <w:b/>
                <w:noProof/>
                <w:sz w:val="24"/>
                <w:szCs w:val="24"/>
              </w:rPr>
            </w:pPr>
            <w:r>
              <w:rPr>
                <w:b/>
                <w:noProof/>
                <w:sz w:val="24"/>
                <w:szCs w:val="24"/>
              </w:rPr>
              <w:t>1C1</w:t>
            </w:r>
          </w:p>
        </w:tc>
        <w:tc>
          <w:tcPr>
            <w:tcW w:w="840" w:type="dxa"/>
          </w:tcPr>
          <w:p>
            <w:pPr>
              <w:jc w:val="center"/>
              <w:rPr>
                <w:b/>
                <w:noProof/>
                <w:sz w:val="24"/>
                <w:szCs w:val="24"/>
              </w:rPr>
            </w:pPr>
            <w:r>
              <w:rPr>
                <w:b/>
                <w:noProof/>
                <w:sz w:val="24"/>
                <w:szCs w:val="24"/>
              </w:rPr>
              <w:t>1C2</w:t>
            </w:r>
          </w:p>
        </w:tc>
        <w:tc>
          <w:tcPr>
            <w:tcW w:w="720" w:type="dxa"/>
          </w:tcPr>
          <w:p>
            <w:pPr>
              <w:jc w:val="center"/>
              <w:rPr>
                <w:b/>
                <w:noProof/>
                <w:sz w:val="24"/>
                <w:szCs w:val="24"/>
              </w:rPr>
            </w:pPr>
            <w:r>
              <w:rPr>
                <w:b/>
                <w:noProof/>
                <w:sz w:val="24"/>
                <w:szCs w:val="24"/>
              </w:rPr>
              <w:t>1C3</w:t>
            </w:r>
          </w:p>
        </w:tc>
        <w:tc>
          <w:tcPr>
            <w:tcW w:w="840" w:type="dxa"/>
          </w:tcPr>
          <w:p>
            <w:pPr>
              <w:jc w:val="center"/>
              <w:rPr>
                <w:b/>
                <w:noProof/>
                <w:sz w:val="24"/>
                <w:szCs w:val="24"/>
              </w:rPr>
            </w:pPr>
            <w:r>
              <w:rPr>
                <w:b/>
                <w:noProof/>
                <w:sz w:val="24"/>
                <w:szCs w:val="24"/>
              </w:rPr>
              <w:t>1C4</w:t>
            </w:r>
          </w:p>
        </w:tc>
      </w:tr>
      <w:tr>
        <w:trPr>
          <w:trHeight w:val="264"/>
        </w:trPr>
        <w:tc>
          <w:tcPr>
            <w:tcW w:w="2868" w:type="dxa"/>
          </w:tcPr>
          <w:p>
            <w:pPr>
              <w:rPr>
                <w:noProof/>
                <w:sz w:val="24"/>
                <w:szCs w:val="24"/>
              </w:rPr>
            </w:pPr>
            <w:r>
              <w:rPr>
                <w:noProof/>
                <w:sz w:val="24"/>
                <w:szCs w:val="24"/>
              </w:rPr>
              <w:t>Financial resources</w:t>
            </w:r>
          </w:p>
        </w:tc>
        <w:tc>
          <w:tcPr>
            <w:tcW w:w="1080" w:type="dxa"/>
          </w:tcPr>
          <w:p>
            <w:pPr>
              <w:jc w:val="center"/>
              <w:rPr>
                <w:i/>
                <w:noProof/>
                <w:sz w:val="24"/>
                <w:szCs w:val="24"/>
              </w:rPr>
            </w:pPr>
            <w:r>
              <w:rPr>
                <w:i/>
                <w:noProof/>
                <w:sz w:val="24"/>
                <w:szCs w:val="24"/>
              </w:rPr>
              <w:t>40%</w:t>
            </w:r>
          </w:p>
        </w:tc>
        <w:tc>
          <w:tcPr>
            <w:tcW w:w="840" w:type="dxa"/>
          </w:tcPr>
          <w:p>
            <w:pPr>
              <w:jc w:val="center"/>
              <w:rPr>
                <w:noProof/>
                <w:sz w:val="24"/>
                <w:szCs w:val="24"/>
              </w:rPr>
            </w:pPr>
            <w:r>
              <w:rPr>
                <w:noProof/>
                <w:sz w:val="24"/>
                <w:szCs w:val="24"/>
              </w:rPr>
              <w:t>0</w:t>
            </w:r>
          </w:p>
        </w:tc>
        <w:tc>
          <w:tcPr>
            <w:tcW w:w="72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+2</w:t>
            </w:r>
          </w:p>
        </w:tc>
        <w:tc>
          <w:tcPr>
            <w:tcW w:w="72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+1</w:t>
            </w:r>
          </w:p>
        </w:tc>
      </w:tr>
      <w:tr>
        <w:trPr>
          <w:trHeight w:val="276"/>
        </w:trPr>
        <w:tc>
          <w:tcPr>
            <w:tcW w:w="2868" w:type="dxa"/>
          </w:tcPr>
          <w:p>
            <w:pPr>
              <w:rPr>
                <w:noProof/>
                <w:sz w:val="24"/>
                <w:szCs w:val="24"/>
              </w:rPr>
            </w:pPr>
            <w:r>
              <w:rPr>
                <w:noProof/>
                <w:sz w:val="24"/>
                <w:szCs w:val="24"/>
              </w:rPr>
              <w:t>Integrity / security of Schengen area</w:t>
            </w:r>
          </w:p>
        </w:tc>
        <w:tc>
          <w:tcPr>
            <w:tcW w:w="1080" w:type="dxa"/>
          </w:tcPr>
          <w:p>
            <w:pPr>
              <w:jc w:val="center"/>
              <w:rPr>
                <w:i/>
                <w:noProof/>
                <w:sz w:val="24"/>
                <w:szCs w:val="24"/>
              </w:rPr>
            </w:pPr>
            <w:r>
              <w:rPr>
                <w:i/>
                <w:noProof/>
                <w:sz w:val="24"/>
                <w:szCs w:val="24"/>
              </w:rPr>
              <w:t>20%</w:t>
            </w:r>
          </w:p>
        </w:tc>
        <w:tc>
          <w:tcPr>
            <w:tcW w:w="840" w:type="dxa"/>
          </w:tcPr>
          <w:p>
            <w:pPr>
              <w:jc w:val="center"/>
              <w:rPr>
                <w:noProof/>
                <w:sz w:val="24"/>
                <w:szCs w:val="24"/>
              </w:rPr>
            </w:pPr>
            <w:r>
              <w:rPr>
                <w:noProof/>
                <w:sz w:val="24"/>
                <w:szCs w:val="24"/>
              </w:rPr>
              <w:t>0</w:t>
            </w:r>
          </w:p>
        </w:tc>
        <w:tc>
          <w:tcPr>
            <w:tcW w:w="72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+2</w:t>
            </w:r>
          </w:p>
        </w:tc>
        <w:tc>
          <w:tcPr>
            <w:tcW w:w="72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+1</w:t>
            </w:r>
          </w:p>
        </w:tc>
      </w:tr>
      <w:tr>
        <w:trPr>
          <w:trHeight w:val="264"/>
        </w:trPr>
        <w:tc>
          <w:tcPr>
            <w:tcW w:w="2868" w:type="dxa"/>
          </w:tcPr>
          <w:p>
            <w:pPr>
              <w:rPr>
                <w:noProof/>
                <w:sz w:val="24"/>
                <w:szCs w:val="24"/>
              </w:rPr>
            </w:pPr>
            <w:r>
              <w:rPr>
                <w:noProof/>
                <w:sz w:val="24"/>
                <w:szCs w:val="24"/>
              </w:rPr>
              <w:t>Changes in travel behaviour</w:t>
            </w:r>
          </w:p>
        </w:tc>
        <w:tc>
          <w:tcPr>
            <w:tcW w:w="1080" w:type="dxa"/>
          </w:tcPr>
          <w:p>
            <w:pPr>
              <w:jc w:val="center"/>
              <w:rPr>
                <w:i/>
                <w:noProof/>
                <w:sz w:val="24"/>
                <w:szCs w:val="24"/>
              </w:rPr>
            </w:pPr>
            <w:r>
              <w:rPr>
                <w:i/>
                <w:noProof/>
                <w:sz w:val="24"/>
                <w:szCs w:val="24"/>
              </w:rPr>
              <w:t>40%</w:t>
            </w:r>
          </w:p>
        </w:tc>
        <w:tc>
          <w:tcPr>
            <w:tcW w:w="840" w:type="dxa"/>
          </w:tcPr>
          <w:p>
            <w:pPr>
              <w:jc w:val="center"/>
              <w:rPr>
                <w:noProof/>
                <w:sz w:val="24"/>
                <w:szCs w:val="24"/>
              </w:rPr>
            </w:pPr>
            <w:r>
              <w:rPr>
                <w:noProof/>
                <w:sz w:val="24"/>
                <w:szCs w:val="24"/>
              </w:rPr>
              <w:t>0</w:t>
            </w:r>
          </w:p>
        </w:tc>
        <w:tc>
          <w:tcPr>
            <w:tcW w:w="72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-1</w:t>
            </w:r>
          </w:p>
        </w:tc>
        <w:tc>
          <w:tcPr>
            <w:tcW w:w="72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0</w:t>
            </w:r>
          </w:p>
        </w:tc>
      </w:tr>
      <w:tr>
        <w:trPr>
          <w:trHeight w:val="288"/>
        </w:trPr>
        <w:tc>
          <w:tcPr>
            <w:tcW w:w="2868" w:type="dxa"/>
          </w:tcPr>
          <w:p>
            <w:pPr>
              <w:rPr>
                <w:b/>
                <w:noProof/>
                <w:sz w:val="24"/>
                <w:szCs w:val="24"/>
              </w:rPr>
            </w:pPr>
            <w:r>
              <w:rPr>
                <w:b/>
                <w:noProof/>
                <w:sz w:val="24"/>
                <w:szCs w:val="24"/>
              </w:rPr>
              <w:t>Aggregate impact score</w:t>
            </w:r>
          </w:p>
        </w:tc>
        <w:tc>
          <w:tcPr>
            <w:tcW w:w="1080" w:type="dxa"/>
          </w:tcPr>
          <w:p>
            <w:pPr>
              <w:jc w:val="center"/>
              <w:rPr>
                <w:b/>
                <w:i/>
                <w:noProof/>
                <w:sz w:val="24"/>
                <w:szCs w:val="24"/>
              </w:rPr>
            </w:pPr>
            <w:r>
              <w:rPr>
                <w:b/>
                <w:i/>
                <w:noProof/>
                <w:sz w:val="24"/>
                <w:szCs w:val="24"/>
              </w:rPr>
              <w:t>100%</w:t>
            </w:r>
          </w:p>
        </w:tc>
        <w:tc>
          <w:tcPr>
            <w:tcW w:w="840" w:type="dxa"/>
          </w:tcPr>
          <w:p>
            <w:pPr>
              <w:jc w:val="center"/>
              <w:rPr>
                <w:b/>
                <w:noProof/>
                <w:sz w:val="24"/>
                <w:szCs w:val="24"/>
              </w:rPr>
            </w:pPr>
            <w:r>
              <w:rPr>
                <w:b/>
                <w:noProof/>
                <w:sz w:val="24"/>
                <w:szCs w:val="24"/>
              </w:rPr>
              <w:t>0</w:t>
            </w:r>
          </w:p>
        </w:tc>
        <w:tc>
          <w:tcPr>
            <w:tcW w:w="720" w:type="dxa"/>
          </w:tcPr>
          <w:p>
            <w:pPr>
              <w:jc w:val="center"/>
              <w:rPr>
                <w:b/>
                <w:noProof/>
                <w:sz w:val="24"/>
                <w:szCs w:val="24"/>
              </w:rPr>
            </w:pPr>
            <w:r>
              <w:rPr>
                <w:b/>
                <w:noProof/>
                <w:sz w:val="24"/>
                <w:szCs w:val="24"/>
              </w:rPr>
              <w:t>+0.2</w:t>
            </w:r>
          </w:p>
        </w:tc>
        <w:tc>
          <w:tcPr>
            <w:tcW w:w="840" w:type="dxa"/>
          </w:tcPr>
          <w:p>
            <w:pPr>
              <w:jc w:val="center"/>
              <w:rPr>
                <w:b/>
                <w:noProof/>
                <w:sz w:val="24"/>
                <w:szCs w:val="24"/>
              </w:rPr>
            </w:pPr>
            <w:r>
              <w:rPr>
                <w:b/>
                <w:noProof/>
                <w:sz w:val="24"/>
                <w:szCs w:val="24"/>
              </w:rPr>
              <w:t>+0.6</w:t>
            </w:r>
          </w:p>
        </w:tc>
        <w:tc>
          <w:tcPr>
            <w:tcW w:w="840" w:type="dxa"/>
          </w:tcPr>
          <w:p>
            <w:pPr>
              <w:jc w:val="center"/>
              <w:rPr>
                <w:b/>
                <w:noProof/>
                <w:sz w:val="24"/>
                <w:szCs w:val="24"/>
              </w:rPr>
            </w:pPr>
            <w:r>
              <w:rPr>
                <w:b/>
                <w:noProof/>
                <w:sz w:val="24"/>
                <w:szCs w:val="24"/>
              </w:rPr>
              <w:t>+0.8</w:t>
            </w:r>
          </w:p>
        </w:tc>
        <w:tc>
          <w:tcPr>
            <w:tcW w:w="720" w:type="dxa"/>
          </w:tcPr>
          <w:p>
            <w:pPr>
              <w:jc w:val="center"/>
              <w:rPr>
                <w:b/>
                <w:noProof/>
                <w:sz w:val="24"/>
                <w:szCs w:val="24"/>
              </w:rPr>
            </w:pPr>
            <w:r>
              <w:rPr>
                <w:b/>
                <w:noProof/>
                <w:sz w:val="24"/>
                <w:szCs w:val="24"/>
              </w:rPr>
              <w:t>+1.0</w:t>
            </w:r>
          </w:p>
        </w:tc>
        <w:tc>
          <w:tcPr>
            <w:tcW w:w="840" w:type="dxa"/>
          </w:tcPr>
          <w:p>
            <w:pPr>
              <w:jc w:val="center"/>
              <w:rPr>
                <w:b/>
                <w:noProof/>
                <w:sz w:val="24"/>
                <w:szCs w:val="24"/>
              </w:rPr>
            </w:pPr>
            <w:r>
              <w:rPr>
                <w:b/>
                <w:noProof/>
                <w:sz w:val="24"/>
                <w:szCs w:val="24"/>
              </w:rPr>
              <w:t>+0.6</w:t>
            </w:r>
          </w:p>
        </w:tc>
      </w:tr>
    </w:tbl>
    <w:p>
      <w:pPr>
        <w:rPr>
          <w:noProof/>
        </w:rPr>
      </w:pPr>
    </w:p>
    <w:p>
      <w:pPr>
        <w:pStyle w:val="Heading3"/>
        <w:tabs>
          <w:tab w:val="num" w:pos="720"/>
        </w:tabs>
        <w:ind w:left="0" w:firstLine="0"/>
        <w:rPr>
          <w:b/>
          <w:i w:val="0"/>
          <w:noProof/>
        </w:rPr>
      </w:pPr>
      <w:bookmarkStart w:id="48" w:name="_Toc507148495"/>
      <w:r>
        <w:rPr>
          <w:b/>
          <w:i w:val="0"/>
          <w:noProof/>
        </w:rPr>
        <w:t>Repeated visa procedures</w:t>
      </w:r>
      <w:bookmarkEnd w:id="48"/>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Relevant impacts, criteria and relative weight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Changing the approach to issuing MEV with long validity will have impacts on Member States' costs for issuing visas. A more generous issuing of visas with a validity of one year and above will mean that frequent travellers will have to apply less frequently for visas. This in turn means less work for consulates, but also less revenue from visa fees. As the administrative costs for most Member States lie above the current visa fee (and are likely to continue to do so), issuing more long-validity MEV will lead to net </w:t>
      </w:r>
      <w:r>
        <w:rPr>
          <w:rFonts w:ascii="Times New Roman" w:hAnsi="Times New Roman" w:cs="Times New Roman"/>
          <w:b/>
          <w:noProof/>
          <w:sz w:val="24"/>
          <w:szCs w:val="24"/>
        </w:rPr>
        <w:t>cost savings for Member States</w:t>
      </w:r>
      <w:r>
        <w:rPr>
          <w:rFonts w:ascii="Times New Roman" w:hAnsi="Times New Roman" w:cs="Times New Roman"/>
          <w:noProof/>
          <w:sz w:val="24"/>
          <w:szCs w:val="24"/>
        </w:rPr>
        <w:t>, though of limited scale.</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higher share of MEV also means </w:t>
      </w:r>
      <w:r>
        <w:rPr>
          <w:rFonts w:ascii="Times New Roman" w:hAnsi="Times New Roman" w:cs="Times New Roman"/>
          <w:b/>
          <w:noProof/>
          <w:sz w:val="24"/>
          <w:szCs w:val="24"/>
        </w:rPr>
        <w:t>cost savings for frequent travellers</w:t>
      </w:r>
      <w:r>
        <w:rPr>
          <w:rFonts w:ascii="Times New Roman" w:hAnsi="Times New Roman" w:cs="Times New Roman"/>
          <w:noProof/>
          <w:sz w:val="24"/>
          <w:szCs w:val="24"/>
        </w:rPr>
        <w:t xml:space="preserve">, both on direct costs (for visa fees, ESP service fees, costs for obtaining supporting documents, travel to the ESP/consulate, courier fees etc.) as well as indirect "hassle costs" (mainly the time loss involved in visa procedures).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More long-validity MEV also have a direct positive impact on </w:t>
      </w:r>
      <w:r>
        <w:rPr>
          <w:rFonts w:ascii="Times New Roman" w:hAnsi="Times New Roman" w:cs="Times New Roman"/>
          <w:b/>
          <w:noProof/>
          <w:sz w:val="24"/>
          <w:szCs w:val="24"/>
        </w:rPr>
        <w:t>travel behaviour</w:t>
      </w:r>
      <w:r>
        <w:rPr>
          <w:rFonts w:ascii="Times New Roman" w:hAnsi="Times New Roman" w:cs="Times New Roman"/>
          <w:noProof/>
          <w:sz w:val="24"/>
          <w:szCs w:val="24"/>
        </w:rPr>
        <w:t>. Holders of MEV of one year or more are more flexible in planning their trips to the EU and will be able to travel more spontaneously. In the public consultation, respondents who had received MEV reported taking on average 4.25 additional trips to the EU during the validity period of their visa, which had not been initially planned at the time of application. It is therefore likely that a higher share of MEV will also increase travel to the EU with the positive knock-on effects (described above) on EU economic actors, employment and growth, people-to-people contacts and cultural exchange, family life and the EU's external image (as well as negative effects for climate gas emissions). As explained above, increased travel will be assessed positively.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assumed that more MEV with long validity will have no impact on the </w:t>
      </w:r>
      <w:r>
        <w:rPr>
          <w:rFonts w:ascii="Times New Roman" w:hAnsi="Times New Roman" w:cs="Times New Roman"/>
          <w:b/>
          <w:noProof/>
          <w:sz w:val="24"/>
          <w:szCs w:val="24"/>
        </w:rPr>
        <w:t>integrity and security of the Schengen area</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The migratory risk of visa applicants is checked before the visa is issued, and generally frequent travel is an indicator of low migratory risks. As regards security risks, the regular SIS check will be performed at each entry in the Schengen area.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w:t>
      </w:r>
      <w:r>
        <w:rPr>
          <w:rFonts w:ascii="Times New Roman" w:hAnsi="Times New Roman" w:cs="Times New Roman"/>
          <w:b/>
          <w:noProof/>
          <w:sz w:val="24"/>
          <w:szCs w:val="24"/>
        </w:rPr>
        <w:t>weighting</w:t>
      </w:r>
      <w:r>
        <w:rPr>
          <w:rFonts w:ascii="Times New Roman" w:hAnsi="Times New Roman" w:cs="Times New Roman"/>
          <w:noProof/>
          <w:sz w:val="24"/>
          <w:szCs w:val="24"/>
        </w:rPr>
        <w:t xml:space="preserve"> will be attached to the three impact criteria. The cost savings for Member States and applicants respectively are rated lower than the change in travel behaviour as the related monetary and non-monetisable benefits of increased issuing of MEV are likely to be greater for the wider economy and society than for the applicants and consulates themselves.</w:t>
      </w:r>
    </w:p>
    <w:tbl>
      <w:tblPr>
        <w:tblStyle w:val="TableGrid"/>
        <w:tblW w:w="0" w:type="auto"/>
        <w:tblLook w:val="04A0" w:firstRow="1" w:lastRow="0" w:firstColumn="1" w:lastColumn="0" w:noHBand="0" w:noVBand="1"/>
      </w:tblPr>
      <w:tblGrid>
        <w:gridCol w:w="4417"/>
        <w:gridCol w:w="1211"/>
      </w:tblGrid>
      <w:tr>
        <w:tc>
          <w:tcPr>
            <w:tcW w:w="4417" w:type="dxa"/>
          </w:tcPr>
          <w:p>
            <w:pPr>
              <w:jc w:val="both"/>
              <w:rPr>
                <w:noProof/>
                <w:sz w:val="24"/>
                <w:szCs w:val="24"/>
              </w:rPr>
            </w:pPr>
            <w:r>
              <w:rPr>
                <w:noProof/>
                <w:sz w:val="24"/>
                <w:szCs w:val="24"/>
              </w:rPr>
              <w:t xml:space="preserve">Cost savings for Member States </w:t>
            </w:r>
          </w:p>
        </w:tc>
        <w:tc>
          <w:tcPr>
            <w:tcW w:w="1211" w:type="dxa"/>
          </w:tcPr>
          <w:p>
            <w:pPr>
              <w:jc w:val="both"/>
              <w:rPr>
                <w:noProof/>
                <w:sz w:val="24"/>
                <w:szCs w:val="24"/>
              </w:rPr>
            </w:pPr>
            <w:r>
              <w:rPr>
                <w:noProof/>
                <w:sz w:val="24"/>
                <w:szCs w:val="24"/>
              </w:rPr>
              <w:t>20%</w:t>
            </w:r>
          </w:p>
        </w:tc>
      </w:tr>
      <w:tr>
        <w:tc>
          <w:tcPr>
            <w:tcW w:w="4417" w:type="dxa"/>
          </w:tcPr>
          <w:p>
            <w:pPr>
              <w:jc w:val="both"/>
              <w:rPr>
                <w:noProof/>
                <w:sz w:val="24"/>
                <w:szCs w:val="24"/>
              </w:rPr>
            </w:pPr>
            <w:r>
              <w:rPr>
                <w:noProof/>
                <w:sz w:val="24"/>
                <w:szCs w:val="24"/>
              </w:rPr>
              <w:t>Cost savings for frequent travellers</w:t>
            </w:r>
          </w:p>
        </w:tc>
        <w:tc>
          <w:tcPr>
            <w:tcW w:w="1211" w:type="dxa"/>
          </w:tcPr>
          <w:p>
            <w:pPr>
              <w:jc w:val="both"/>
              <w:rPr>
                <w:noProof/>
                <w:sz w:val="24"/>
                <w:szCs w:val="24"/>
              </w:rPr>
            </w:pPr>
            <w:r>
              <w:rPr>
                <w:noProof/>
                <w:sz w:val="24"/>
                <w:szCs w:val="24"/>
              </w:rPr>
              <w:t>20%</w:t>
            </w:r>
          </w:p>
        </w:tc>
      </w:tr>
      <w:tr>
        <w:tc>
          <w:tcPr>
            <w:tcW w:w="4417" w:type="dxa"/>
          </w:tcPr>
          <w:p>
            <w:pPr>
              <w:jc w:val="both"/>
              <w:rPr>
                <w:noProof/>
                <w:sz w:val="24"/>
                <w:szCs w:val="24"/>
              </w:rPr>
            </w:pPr>
            <w:r>
              <w:rPr>
                <w:noProof/>
                <w:sz w:val="24"/>
                <w:szCs w:val="24"/>
              </w:rPr>
              <w:t>Changes in travel behaviour</w:t>
            </w:r>
          </w:p>
        </w:tc>
        <w:tc>
          <w:tcPr>
            <w:tcW w:w="1211" w:type="dxa"/>
          </w:tcPr>
          <w:p>
            <w:pPr>
              <w:jc w:val="both"/>
              <w:rPr>
                <w:noProof/>
                <w:sz w:val="24"/>
                <w:szCs w:val="24"/>
              </w:rPr>
            </w:pPr>
            <w:r>
              <w:rPr>
                <w:noProof/>
                <w:sz w:val="24"/>
                <w:szCs w:val="24"/>
              </w:rPr>
              <w:t>60%</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u w:val="single"/>
        </w:rPr>
        <w:t>Qualitative assessment of impacts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b/>
          <w:noProof/>
          <w:sz w:val="24"/>
          <w:szCs w:val="24"/>
        </w:rPr>
        <w:t>Policy option 2A (status quo)</w:t>
      </w:r>
      <w:r>
        <w:rPr>
          <w:rFonts w:ascii="Times New Roman" w:hAnsi="Times New Roman" w:cs="Times New Roman"/>
          <w:noProof/>
          <w:sz w:val="24"/>
          <w:szCs w:val="24"/>
        </w:rPr>
        <w:t xml:space="preserve"> would not produce any change. The performance is therefore ranked +/-0 on all three criteria. </w:t>
      </w:r>
    </w:p>
    <w:p>
      <w:pPr>
        <w:jc w:val="both"/>
        <w:rPr>
          <w:rFonts w:ascii="Times New Roman" w:hAnsi="Times New Roman" w:cs="Times New Roman"/>
          <w:noProof/>
          <w:sz w:val="24"/>
          <w:szCs w:val="24"/>
        </w:rPr>
      </w:pPr>
      <w:r>
        <w:rPr>
          <w:rFonts w:ascii="Times New Roman" w:hAnsi="Times New Roman" w:cs="Times New Roman"/>
          <w:b/>
          <w:noProof/>
          <w:sz w:val="24"/>
          <w:szCs w:val="24"/>
        </w:rPr>
        <w:t>Policy option 2B (recommended best practice in the Visa Code Handbook)</w:t>
      </w:r>
      <w:r>
        <w:rPr>
          <w:rFonts w:ascii="Times New Roman" w:hAnsi="Times New Roman" w:cs="Times New Roman"/>
          <w:noProof/>
          <w:sz w:val="24"/>
          <w:szCs w:val="24"/>
        </w:rPr>
        <w:t xml:space="preserve"> might prompt a few Member States to improve their practice on issuing MEV with long validity. However, falling short of a concerted action, it is unlikely to have tangible effects as regards cost savings for Member States (+/-0) and only limited positive impact for frequent travellers' cost savings and increased travel (both +1). </w:t>
      </w:r>
    </w:p>
    <w:p>
      <w:pPr>
        <w:jc w:val="both"/>
        <w:rPr>
          <w:rFonts w:ascii="Times New Roman" w:hAnsi="Times New Roman" w:cs="Times New Roman"/>
          <w:noProof/>
          <w:sz w:val="24"/>
          <w:szCs w:val="24"/>
        </w:rPr>
      </w:pPr>
      <w:r>
        <w:rPr>
          <w:rFonts w:ascii="Times New Roman" w:hAnsi="Times New Roman" w:cs="Times New Roman"/>
          <w:b/>
          <w:noProof/>
          <w:sz w:val="24"/>
          <w:szCs w:val="24"/>
        </w:rPr>
        <w:t>Policy options 2C1, 2C2 and 2C3 (MEV cascades at central and/or country level)</w:t>
      </w:r>
      <w:r>
        <w:rPr>
          <w:rFonts w:ascii="Times New Roman" w:hAnsi="Times New Roman" w:cs="Times New Roman"/>
          <w:noProof/>
          <w:sz w:val="24"/>
          <w:szCs w:val="24"/>
        </w:rPr>
        <w:t xml:space="preserve">, are likely to have greater impact due to their legally binding nature, but it will vary for individual travellers. The 'once-size-fits-all' MEV cascade in option 2C1 is more generous than the 'fall-back' MEV cascade in option 2C2. A business person who travels to the EU three times a year would have to apply – over a period of five years – for four visas in option 2C1, but six times in option 2C2. The cost savings both for Member States and for applicants could therefore be greater in option 2C1 than in option 2C2. In the latter option however, there is a good chance that a more favourable MEV cascade would be established for countries with low migratory risk which are important for Member States economically, be it as business partners or countries of importance for inbound tourism, such as China, India or the Gulf countries. This possibility would compensate for the less favourable 'fall-back cascade'. Cost savings for both options are therefore assumed to be largely equally positive (+2 for Member States and +3 for frequent travellers). In both options, the traveller would hold a MEV with a long validity (one year or more) from the second or third year onwards, so the potential for spontaneous additional trips would be similarly positive (+3). In option 2C3 the country MEV cascades would take some time to be agreed locally and established by Commission implementing decision and the approach would be more patchy while no 'fall-back' cascade would apply, leading to a slower and weaker positive impact on all three criteria (+1, +2 and +2 respectively).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parents who visit their son or daughter in the EU only once a year, none of those options would bring any advantages. This would change in </w:t>
      </w:r>
      <w:r>
        <w:rPr>
          <w:rFonts w:ascii="Times New Roman" w:hAnsi="Times New Roman" w:cs="Times New Roman"/>
          <w:b/>
          <w:noProof/>
          <w:sz w:val="24"/>
          <w:szCs w:val="24"/>
        </w:rPr>
        <w:t>policy option 2D (standard MEV with 2- or 5-year validity)</w:t>
      </w:r>
      <w:r>
        <w:rPr>
          <w:rFonts w:ascii="Times New Roman" w:hAnsi="Times New Roman" w:cs="Times New Roman"/>
          <w:noProof/>
          <w:sz w:val="24"/>
          <w:szCs w:val="24"/>
        </w:rPr>
        <w:t xml:space="preserve">. As all travellers, including first-time applicants, would be issued an MEV with a long-validity, the number of visa applications worldwide would drop considerably and lead to the greatest cost savings for Member States (+4) and applicants (+5). Equally the potentially for additional travel and business opportunities for the EU would increase most (+4). </w:t>
      </w:r>
    </w:p>
    <w:p>
      <w:pPr>
        <w:jc w:val="both"/>
        <w:rPr>
          <w:rFonts w:ascii="Times New Roman" w:hAnsi="Times New Roman" w:cs="Times New Roman"/>
          <w:noProof/>
          <w:sz w:val="24"/>
          <w:szCs w:val="24"/>
        </w:rPr>
      </w:pPr>
      <w:r>
        <w:rPr>
          <w:rFonts w:ascii="Times New Roman" w:hAnsi="Times New Roman" w:cs="Times New Roman"/>
          <w:noProof/>
          <w:sz w:val="24"/>
          <w:szCs w:val="24"/>
        </w:rPr>
        <w:t>This option would correspond to the current US and Canadian standard practice of issuing visas with a validity of ten years, even to first time applicants. According to those countries' reasoning the length of validity of a visa does not affect the migratory risk presented by the applicant, while the security risk can be controlled by regularly checking visa holders against security databases.</w:t>
      </w:r>
    </w:p>
    <w:p>
      <w:pPr>
        <w:jc w:val="both"/>
        <w:rPr>
          <w:rFonts w:ascii="Times New Roman" w:hAnsi="Times New Roman" w:cs="Times New Roman"/>
          <w:noProof/>
          <w:sz w:val="24"/>
          <w:szCs w:val="24"/>
        </w:rPr>
      </w:pPr>
      <w:r>
        <w:rPr>
          <w:rFonts w:ascii="Times New Roman" w:hAnsi="Times New Roman" w:cs="Times New Roman"/>
          <w:noProof/>
          <w:sz w:val="24"/>
          <w:szCs w:val="24"/>
          <w:u w:val="single"/>
        </w:rPr>
        <w:t>Overview</w:t>
      </w:r>
      <w:r>
        <w:rPr>
          <w:rFonts w:ascii="Times New Roman" w:hAnsi="Times New Roman" w:cs="Times New Roman"/>
          <w:noProof/>
          <w:sz w:val="24"/>
          <w:szCs w:val="24"/>
        </w:rPr>
        <w:t xml:space="preserve"> </w:t>
      </w:r>
    </w:p>
    <w:tbl>
      <w:tblPr>
        <w:tblStyle w:val="TableGrid"/>
        <w:tblW w:w="8748" w:type="dxa"/>
        <w:tblLayout w:type="fixed"/>
        <w:tblLook w:val="04A0" w:firstRow="1" w:lastRow="0" w:firstColumn="1" w:lastColumn="0" w:noHBand="0" w:noVBand="1"/>
      </w:tblPr>
      <w:tblGrid>
        <w:gridCol w:w="2748"/>
        <w:gridCol w:w="1080"/>
        <w:gridCol w:w="720"/>
        <w:gridCol w:w="840"/>
        <w:gridCol w:w="840"/>
        <w:gridCol w:w="840"/>
        <w:gridCol w:w="840"/>
        <w:gridCol w:w="840"/>
      </w:tblGrid>
      <w:tr>
        <w:trPr>
          <w:trHeight w:val="144"/>
        </w:trPr>
        <w:tc>
          <w:tcPr>
            <w:tcW w:w="2748" w:type="dxa"/>
            <w:vMerge w:val="restart"/>
          </w:tcPr>
          <w:p>
            <w:pPr>
              <w:jc w:val="center"/>
              <w:rPr>
                <w:b/>
                <w:noProof/>
                <w:sz w:val="24"/>
                <w:szCs w:val="24"/>
              </w:rPr>
            </w:pPr>
            <w:r>
              <w:rPr>
                <w:b/>
                <w:noProof/>
                <w:sz w:val="24"/>
                <w:szCs w:val="24"/>
              </w:rPr>
              <w:t>Impact criteria</w:t>
            </w:r>
          </w:p>
        </w:tc>
        <w:tc>
          <w:tcPr>
            <w:tcW w:w="1080" w:type="dxa"/>
            <w:vMerge w:val="restart"/>
          </w:tcPr>
          <w:p>
            <w:pPr>
              <w:jc w:val="center"/>
              <w:rPr>
                <w:b/>
                <w:noProof/>
                <w:sz w:val="24"/>
                <w:szCs w:val="24"/>
              </w:rPr>
            </w:pPr>
            <w:r>
              <w:rPr>
                <w:b/>
                <w:noProof/>
                <w:sz w:val="24"/>
                <w:szCs w:val="24"/>
              </w:rPr>
              <w:t>Weight</w:t>
            </w:r>
          </w:p>
        </w:tc>
        <w:tc>
          <w:tcPr>
            <w:tcW w:w="4920" w:type="dxa"/>
            <w:gridSpan w:val="6"/>
          </w:tcPr>
          <w:p>
            <w:pPr>
              <w:jc w:val="center"/>
              <w:rPr>
                <w:b/>
                <w:noProof/>
                <w:sz w:val="24"/>
                <w:szCs w:val="24"/>
              </w:rPr>
            </w:pPr>
            <w:r>
              <w:rPr>
                <w:b/>
                <w:noProof/>
                <w:sz w:val="24"/>
                <w:szCs w:val="24"/>
              </w:rPr>
              <w:t>Options</w:t>
            </w:r>
          </w:p>
        </w:tc>
      </w:tr>
      <w:tr>
        <w:trPr>
          <w:trHeight w:val="144"/>
        </w:trPr>
        <w:tc>
          <w:tcPr>
            <w:tcW w:w="2748" w:type="dxa"/>
            <w:vMerge/>
          </w:tcPr>
          <w:p>
            <w:pPr>
              <w:jc w:val="center"/>
              <w:rPr>
                <w:b/>
                <w:noProof/>
                <w:sz w:val="24"/>
                <w:szCs w:val="24"/>
              </w:rPr>
            </w:pPr>
          </w:p>
        </w:tc>
        <w:tc>
          <w:tcPr>
            <w:tcW w:w="1080" w:type="dxa"/>
            <w:vMerge/>
          </w:tcPr>
          <w:p>
            <w:pPr>
              <w:jc w:val="center"/>
              <w:rPr>
                <w:b/>
                <w:i/>
                <w:noProof/>
                <w:sz w:val="24"/>
                <w:szCs w:val="24"/>
              </w:rPr>
            </w:pPr>
          </w:p>
        </w:tc>
        <w:tc>
          <w:tcPr>
            <w:tcW w:w="720" w:type="dxa"/>
          </w:tcPr>
          <w:p>
            <w:pPr>
              <w:jc w:val="center"/>
              <w:rPr>
                <w:b/>
                <w:noProof/>
                <w:sz w:val="24"/>
                <w:szCs w:val="24"/>
              </w:rPr>
            </w:pPr>
            <w:r>
              <w:rPr>
                <w:b/>
                <w:noProof/>
                <w:sz w:val="24"/>
                <w:szCs w:val="24"/>
              </w:rPr>
              <w:t>2A</w:t>
            </w:r>
          </w:p>
        </w:tc>
        <w:tc>
          <w:tcPr>
            <w:tcW w:w="840" w:type="dxa"/>
          </w:tcPr>
          <w:p>
            <w:pPr>
              <w:jc w:val="center"/>
              <w:rPr>
                <w:b/>
                <w:noProof/>
                <w:sz w:val="24"/>
                <w:szCs w:val="24"/>
              </w:rPr>
            </w:pPr>
            <w:r>
              <w:rPr>
                <w:b/>
                <w:noProof/>
                <w:sz w:val="24"/>
                <w:szCs w:val="24"/>
              </w:rPr>
              <w:t>2B</w:t>
            </w:r>
          </w:p>
        </w:tc>
        <w:tc>
          <w:tcPr>
            <w:tcW w:w="840" w:type="dxa"/>
          </w:tcPr>
          <w:p>
            <w:pPr>
              <w:jc w:val="center"/>
              <w:rPr>
                <w:b/>
                <w:noProof/>
                <w:sz w:val="24"/>
                <w:szCs w:val="24"/>
              </w:rPr>
            </w:pPr>
            <w:r>
              <w:rPr>
                <w:b/>
                <w:noProof/>
                <w:sz w:val="24"/>
                <w:szCs w:val="24"/>
              </w:rPr>
              <w:t>2C1</w:t>
            </w:r>
          </w:p>
        </w:tc>
        <w:tc>
          <w:tcPr>
            <w:tcW w:w="840" w:type="dxa"/>
          </w:tcPr>
          <w:p>
            <w:pPr>
              <w:jc w:val="center"/>
              <w:rPr>
                <w:b/>
                <w:noProof/>
                <w:sz w:val="24"/>
                <w:szCs w:val="24"/>
              </w:rPr>
            </w:pPr>
            <w:r>
              <w:rPr>
                <w:b/>
                <w:noProof/>
                <w:sz w:val="24"/>
                <w:szCs w:val="24"/>
              </w:rPr>
              <w:t>2C2</w:t>
            </w:r>
          </w:p>
        </w:tc>
        <w:tc>
          <w:tcPr>
            <w:tcW w:w="840" w:type="dxa"/>
          </w:tcPr>
          <w:p>
            <w:pPr>
              <w:jc w:val="center"/>
              <w:rPr>
                <w:b/>
                <w:noProof/>
                <w:sz w:val="24"/>
                <w:szCs w:val="24"/>
              </w:rPr>
            </w:pPr>
            <w:r>
              <w:rPr>
                <w:b/>
                <w:noProof/>
                <w:sz w:val="24"/>
                <w:szCs w:val="24"/>
              </w:rPr>
              <w:t>2C3</w:t>
            </w:r>
          </w:p>
        </w:tc>
        <w:tc>
          <w:tcPr>
            <w:tcW w:w="840" w:type="dxa"/>
          </w:tcPr>
          <w:p>
            <w:pPr>
              <w:jc w:val="center"/>
              <w:rPr>
                <w:b/>
                <w:noProof/>
                <w:sz w:val="24"/>
                <w:szCs w:val="24"/>
              </w:rPr>
            </w:pPr>
            <w:r>
              <w:rPr>
                <w:b/>
                <w:noProof/>
                <w:sz w:val="24"/>
                <w:szCs w:val="24"/>
              </w:rPr>
              <w:t>2D</w:t>
            </w:r>
          </w:p>
        </w:tc>
      </w:tr>
      <w:tr>
        <w:trPr>
          <w:trHeight w:val="264"/>
        </w:trPr>
        <w:tc>
          <w:tcPr>
            <w:tcW w:w="2748" w:type="dxa"/>
          </w:tcPr>
          <w:p>
            <w:pPr>
              <w:rPr>
                <w:noProof/>
                <w:sz w:val="24"/>
                <w:szCs w:val="24"/>
              </w:rPr>
            </w:pPr>
            <w:r>
              <w:rPr>
                <w:noProof/>
                <w:sz w:val="24"/>
                <w:szCs w:val="24"/>
              </w:rPr>
              <w:t xml:space="preserve">Cost savings for Member States </w:t>
            </w:r>
          </w:p>
        </w:tc>
        <w:tc>
          <w:tcPr>
            <w:tcW w:w="1080" w:type="dxa"/>
          </w:tcPr>
          <w:p>
            <w:pPr>
              <w:jc w:val="center"/>
              <w:rPr>
                <w:noProof/>
                <w:sz w:val="24"/>
                <w:szCs w:val="24"/>
              </w:rPr>
            </w:pPr>
            <w:r>
              <w:rPr>
                <w:noProof/>
                <w:sz w:val="24"/>
                <w:szCs w:val="24"/>
              </w:rPr>
              <w:t>20%</w:t>
            </w:r>
          </w:p>
        </w:tc>
        <w:tc>
          <w:tcPr>
            <w:tcW w:w="72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+4</w:t>
            </w:r>
          </w:p>
        </w:tc>
      </w:tr>
      <w:tr>
        <w:trPr>
          <w:trHeight w:val="276"/>
        </w:trPr>
        <w:tc>
          <w:tcPr>
            <w:tcW w:w="2748" w:type="dxa"/>
          </w:tcPr>
          <w:p>
            <w:pPr>
              <w:rPr>
                <w:noProof/>
                <w:sz w:val="24"/>
                <w:szCs w:val="24"/>
              </w:rPr>
            </w:pPr>
            <w:r>
              <w:rPr>
                <w:noProof/>
                <w:sz w:val="24"/>
                <w:szCs w:val="24"/>
              </w:rPr>
              <w:t>Cost savings for frequent travellers</w:t>
            </w:r>
          </w:p>
        </w:tc>
        <w:tc>
          <w:tcPr>
            <w:tcW w:w="1080" w:type="dxa"/>
          </w:tcPr>
          <w:p>
            <w:pPr>
              <w:jc w:val="center"/>
              <w:rPr>
                <w:noProof/>
                <w:sz w:val="24"/>
                <w:szCs w:val="24"/>
              </w:rPr>
            </w:pPr>
            <w:r>
              <w:rPr>
                <w:noProof/>
                <w:sz w:val="24"/>
                <w:szCs w:val="24"/>
              </w:rPr>
              <w:t>20%</w:t>
            </w:r>
          </w:p>
        </w:tc>
        <w:tc>
          <w:tcPr>
            <w:tcW w:w="72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+5</w:t>
            </w:r>
          </w:p>
        </w:tc>
      </w:tr>
      <w:tr>
        <w:trPr>
          <w:trHeight w:val="264"/>
        </w:trPr>
        <w:tc>
          <w:tcPr>
            <w:tcW w:w="2748" w:type="dxa"/>
          </w:tcPr>
          <w:p>
            <w:pPr>
              <w:rPr>
                <w:noProof/>
                <w:sz w:val="24"/>
                <w:szCs w:val="24"/>
              </w:rPr>
            </w:pPr>
            <w:r>
              <w:rPr>
                <w:noProof/>
                <w:sz w:val="24"/>
                <w:szCs w:val="24"/>
              </w:rPr>
              <w:t>Changes in travel behaviour</w:t>
            </w:r>
          </w:p>
        </w:tc>
        <w:tc>
          <w:tcPr>
            <w:tcW w:w="1080" w:type="dxa"/>
          </w:tcPr>
          <w:p>
            <w:pPr>
              <w:jc w:val="center"/>
              <w:rPr>
                <w:noProof/>
                <w:sz w:val="24"/>
                <w:szCs w:val="24"/>
              </w:rPr>
            </w:pPr>
            <w:r>
              <w:rPr>
                <w:noProof/>
                <w:sz w:val="24"/>
                <w:szCs w:val="24"/>
              </w:rPr>
              <w:t>60%</w:t>
            </w:r>
          </w:p>
        </w:tc>
        <w:tc>
          <w:tcPr>
            <w:tcW w:w="72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+4</w:t>
            </w:r>
          </w:p>
        </w:tc>
      </w:tr>
      <w:tr>
        <w:trPr>
          <w:trHeight w:val="288"/>
        </w:trPr>
        <w:tc>
          <w:tcPr>
            <w:tcW w:w="2748" w:type="dxa"/>
          </w:tcPr>
          <w:p>
            <w:pPr>
              <w:rPr>
                <w:b/>
                <w:noProof/>
                <w:sz w:val="24"/>
                <w:szCs w:val="24"/>
              </w:rPr>
            </w:pPr>
            <w:r>
              <w:rPr>
                <w:b/>
                <w:noProof/>
                <w:sz w:val="24"/>
                <w:szCs w:val="24"/>
              </w:rPr>
              <w:t>Aggregate impact score</w:t>
            </w:r>
          </w:p>
        </w:tc>
        <w:tc>
          <w:tcPr>
            <w:tcW w:w="1080" w:type="dxa"/>
          </w:tcPr>
          <w:p>
            <w:pPr>
              <w:jc w:val="center"/>
              <w:rPr>
                <w:b/>
                <w:i/>
                <w:noProof/>
                <w:sz w:val="24"/>
                <w:szCs w:val="24"/>
              </w:rPr>
            </w:pPr>
            <w:r>
              <w:rPr>
                <w:b/>
                <w:i/>
                <w:noProof/>
                <w:sz w:val="24"/>
                <w:szCs w:val="24"/>
              </w:rPr>
              <w:t>100%</w:t>
            </w:r>
          </w:p>
        </w:tc>
        <w:tc>
          <w:tcPr>
            <w:tcW w:w="720" w:type="dxa"/>
          </w:tcPr>
          <w:p>
            <w:pPr>
              <w:jc w:val="center"/>
              <w:rPr>
                <w:b/>
                <w:noProof/>
                <w:sz w:val="24"/>
                <w:szCs w:val="24"/>
              </w:rPr>
            </w:pPr>
            <w:r>
              <w:rPr>
                <w:b/>
                <w:noProof/>
                <w:sz w:val="24"/>
                <w:szCs w:val="24"/>
              </w:rPr>
              <w:t>0</w:t>
            </w:r>
          </w:p>
        </w:tc>
        <w:tc>
          <w:tcPr>
            <w:tcW w:w="840" w:type="dxa"/>
          </w:tcPr>
          <w:p>
            <w:pPr>
              <w:jc w:val="center"/>
              <w:rPr>
                <w:b/>
                <w:noProof/>
                <w:sz w:val="24"/>
                <w:szCs w:val="24"/>
              </w:rPr>
            </w:pPr>
            <w:r>
              <w:rPr>
                <w:b/>
                <w:noProof/>
                <w:sz w:val="24"/>
                <w:szCs w:val="24"/>
              </w:rPr>
              <w:t>+0.8</w:t>
            </w:r>
          </w:p>
        </w:tc>
        <w:tc>
          <w:tcPr>
            <w:tcW w:w="840" w:type="dxa"/>
          </w:tcPr>
          <w:p>
            <w:pPr>
              <w:jc w:val="center"/>
              <w:rPr>
                <w:b/>
                <w:noProof/>
                <w:sz w:val="24"/>
                <w:szCs w:val="24"/>
              </w:rPr>
            </w:pPr>
            <w:r>
              <w:rPr>
                <w:b/>
                <w:noProof/>
                <w:sz w:val="24"/>
                <w:szCs w:val="24"/>
              </w:rPr>
              <w:t>+2.8</w:t>
            </w:r>
          </w:p>
        </w:tc>
        <w:tc>
          <w:tcPr>
            <w:tcW w:w="840" w:type="dxa"/>
          </w:tcPr>
          <w:p>
            <w:pPr>
              <w:jc w:val="center"/>
              <w:rPr>
                <w:b/>
                <w:noProof/>
                <w:sz w:val="24"/>
                <w:szCs w:val="24"/>
              </w:rPr>
            </w:pPr>
            <w:r>
              <w:rPr>
                <w:b/>
                <w:noProof/>
                <w:sz w:val="24"/>
                <w:szCs w:val="24"/>
              </w:rPr>
              <w:t>+2.8</w:t>
            </w:r>
          </w:p>
        </w:tc>
        <w:tc>
          <w:tcPr>
            <w:tcW w:w="840" w:type="dxa"/>
          </w:tcPr>
          <w:p>
            <w:pPr>
              <w:jc w:val="center"/>
              <w:rPr>
                <w:b/>
                <w:noProof/>
                <w:sz w:val="24"/>
                <w:szCs w:val="24"/>
              </w:rPr>
            </w:pPr>
            <w:r>
              <w:rPr>
                <w:b/>
                <w:noProof/>
                <w:sz w:val="24"/>
                <w:szCs w:val="24"/>
              </w:rPr>
              <w:t>+1.8</w:t>
            </w:r>
          </w:p>
        </w:tc>
        <w:tc>
          <w:tcPr>
            <w:tcW w:w="840" w:type="dxa"/>
          </w:tcPr>
          <w:p>
            <w:pPr>
              <w:jc w:val="center"/>
              <w:rPr>
                <w:b/>
                <w:noProof/>
                <w:sz w:val="24"/>
                <w:szCs w:val="24"/>
              </w:rPr>
            </w:pPr>
            <w:r>
              <w:rPr>
                <w:b/>
                <w:noProof/>
                <w:sz w:val="24"/>
                <w:szCs w:val="24"/>
              </w:rPr>
              <w:t>+4.2</w:t>
            </w:r>
          </w:p>
        </w:tc>
      </w:tr>
    </w:tbl>
    <w:p>
      <w:pPr>
        <w:rPr>
          <w:rFonts w:ascii="Times New Roman" w:hAnsi="Times New Roman" w:cs="Times New Roman"/>
          <w:noProof/>
          <w:sz w:val="24"/>
          <w:szCs w:val="24"/>
        </w:rPr>
      </w:pPr>
    </w:p>
    <w:p>
      <w:pPr>
        <w:pStyle w:val="Heading3"/>
        <w:tabs>
          <w:tab w:val="num" w:pos="720"/>
        </w:tabs>
        <w:ind w:left="0" w:firstLine="0"/>
        <w:rPr>
          <w:b/>
          <w:i w:val="0"/>
          <w:noProof/>
        </w:rPr>
      </w:pPr>
      <w:bookmarkStart w:id="49" w:name="_Toc507148496"/>
      <w:r>
        <w:rPr>
          <w:b/>
          <w:i w:val="0"/>
          <w:noProof/>
        </w:rPr>
        <w:t>Return of irregular migrants</w:t>
      </w:r>
      <w:bookmarkEnd w:id="49"/>
      <w:r>
        <w:rPr>
          <w:b/>
          <w:i w:val="0"/>
          <w:noProof/>
        </w:rPr>
        <w:t xml:space="preserve"> </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t>Relevant impacts, criteria and relative weight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policy options in this problem area could have impacts on two different levels, namely both in the </w:t>
      </w:r>
      <w:r>
        <w:rPr>
          <w:rFonts w:ascii="Times New Roman" w:hAnsi="Times New Roman" w:cs="Times New Roman"/>
          <w:b/>
          <w:noProof/>
          <w:sz w:val="24"/>
          <w:szCs w:val="24"/>
        </w:rPr>
        <w:t>readmission</w:t>
      </w:r>
      <w:r>
        <w:rPr>
          <w:rFonts w:ascii="Times New Roman" w:hAnsi="Times New Roman" w:cs="Times New Roman"/>
          <w:noProof/>
          <w:sz w:val="24"/>
          <w:szCs w:val="24"/>
        </w:rPr>
        <w:t xml:space="preserve"> area and in the </w:t>
      </w:r>
      <w:r>
        <w:rPr>
          <w:rFonts w:ascii="Times New Roman" w:hAnsi="Times New Roman" w:cs="Times New Roman"/>
          <w:b/>
          <w:noProof/>
          <w:sz w:val="24"/>
          <w:szCs w:val="24"/>
        </w:rPr>
        <w:t>visa</w:t>
      </w:r>
      <w:r>
        <w:rPr>
          <w:rFonts w:ascii="Times New Roman" w:hAnsi="Times New Roman" w:cs="Times New Roman"/>
          <w:noProof/>
          <w:sz w:val="24"/>
          <w:szCs w:val="24"/>
        </w:rPr>
        <w:t xml:space="preserve"> area.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Firstly, if the (positive or negative) incentive measures work, third countries' cooperation on readmission will improve and greater number of irregular migrants or refused asylum applicants can be returned to their countries of origin. These </w:t>
      </w:r>
      <w:r>
        <w:rPr>
          <w:rFonts w:ascii="Times New Roman" w:hAnsi="Times New Roman" w:cs="Times New Roman"/>
          <w:b/>
          <w:noProof/>
          <w:sz w:val="24"/>
          <w:szCs w:val="24"/>
        </w:rPr>
        <w:t>improved return rates</w:t>
      </w:r>
      <w:r>
        <w:rPr>
          <w:rFonts w:ascii="Times New Roman" w:hAnsi="Times New Roman" w:cs="Times New Roman"/>
          <w:noProof/>
          <w:sz w:val="24"/>
          <w:szCs w:val="24"/>
        </w:rPr>
        <w:t xml:space="preserve"> would have positive impacts in terms of cost savings for Member States' public authorities (for housing, food, administration and related expenses), higher security, better acceptance of the EU migration policy and a deterrent effect on potential future irregular migrants. These impacts (which are all a consequence of change in return rates) will be assessed jointly.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Secondly, the positive or negative incentives – if ever applied – might have effects in the visa area. Changes in visa fees, visa procedures or issuing of MEV with long validity will have an influence on </w:t>
      </w:r>
      <w:r>
        <w:rPr>
          <w:rFonts w:ascii="Times New Roman" w:hAnsi="Times New Roman" w:cs="Times New Roman"/>
          <w:b/>
          <w:noProof/>
          <w:sz w:val="24"/>
          <w:szCs w:val="24"/>
        </w:rPr>
        <w:t>costs for visa applicants</w:t>
      </w:r>
      <w:r>
        <w:rPr>
          <w:rFonts w:ascii="Times New Roman" w:hAnsi="Times New Roman" w:cs="Times New Roman"/>
          <w:noProof/>
          <w:sz w:val="24"/>
          <w:szCs w:val="24"/>
        </w:rPr>
        <w:t xml:space="preserve"> and ultimately their </w:t>
      </w:r>
      <w:r>
        <w:rPr>
          <w:rFonts w:ascii="Times New Roman" w:hAnsi="Times New Roman" w:cs="Times New Roman"/>
          <w:b/>
          <w:noProof/>
          <w:sz w:val="24"/>
          <w:szCs w:val="24"/>
        </w:rPr>
        <w:t>travel behaviour</w:t>
      </w:r>
      <w:r>
        <w:rPr>
          <w:rFonts w:ascii="Times New Roman" w:hAnsi="Times New Roman" w:cs="Times New Roman"/>
          <w:noProof/>
          <w:sz w:val="24"/>
          <w:szCs w:val="24"/>
        </w:rPr>
        <w:t xml:space="preserve"> (with related consequences for employment and growth in the EU, as argued in more detail above).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a relaxing or tightening of visa policy as a result of linking it with third countries' cooperation on readmission will have positive or negative impacts on the EU's and Member States' </w:t>
      </w:r>
      <w:r>
        <w:rPr>
          <w:rFonts w:ascii="Times New Roman" w:hAnsi="Times New Roman" w:cs="Times New Roman"/>
          <w:b/>
          <w:noProof/>
          <w:sz w:val="24"/>
          <w:szCs w:val="24"/>
        </w:rPr>
        <w:t>relations with third countries</w:t>
      </w:r>
      <w:r>
        <w:rPr>
          <w:rFonts w:ascii="Times New Roman" w:hAnsi="Times New Roman" w:cs="Times New Roman"/>
          <w:noProof/>
          <w:sz w:val="24"/>
          <w:szCs w:val="24"/>
        </w:rPr>
        <w:t xml:space="preserve"> and the </w:t>
      </w:r>
      <w:r>
        <w:rPr>
          <w:rFonts w:ascii="Times New Roman" w:hAnsi="Times New Roman" w:cs="Times New Roman"/>
          <w:b/>
          <w:noProof/>
          <w:sz w:val="24"/>
          <w:szCs w:val="24"/>
        </w:rPr>
        <w:t>EU's image in the world</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w:t>
      </w:r>
      <w:r>
        <w:rPr>
          <w:rFonts w:ascii="Times New Roman" w:hAnsi="Times New Roman" w:cs="Times New Roman"/>
          <w:b/>
          <w:noProof/>
          <w:sz w:val="24"/>
          <w:szCs w:val="24"/>
        </w:rPr>
        <w:t>weighting</w:t>
      </w:r>
      <w:r>
        <w:rPr>
          <w:rFonts w:ascii="Times New Roman" w:hAnsi="Times New Roman" w:cs="Times New Roman"/>
          <w:noProof/>
          <w:sz w:val="24"/>
          <w:szCs w:val="24"/>
        </w:rPr>
        <w:t xml:space="preserve"> will be attached to the three impact criteria. The greatest weight is given to improved return rates, as these are most directly linked to the policy objective. Changes in travel behaviour will not be given a strong weight, as only few third countries are likely to be affected. Any possible impact on external relations will also be duly taken into consideration, but will be given less weight than the main objective.</w:t>
      </w:r>
    </w:p>
    <w:tbl>
      <w:tblPr>
        <w:tblStyle w:val="TableGrid"/>
        <w:tblW w:w="0" w:type="auto"/>
        <w:tblLook w:val="04A0" w:firstRow="1" w:lastRow="0" w:firstColumn="1" w:lastColumn="0" w:noHBand="0" w:noVBand="1"/>
      </w:tblPr>
      <w:tblGrid>
        <w:gridCol w:w="4417"/>
        <w:gridCol w:w="1211"/>
      </w:tblGrid>
      <w:tr>
        <w:tc>
          <w:tcPr>
            <w:tcW w:w="4417" w:type="dxa"/>
          </w:tcPr>
          <w:p>
            <w:pPr>
              <w:jc w:val="both"/>
              <w:rPr>
                <w:noProof/>
                <w:sz w:val="24"/>
                <w:szCs w:val="24"/>
              </w:rPr>
            </w:pPr>
            <w:r>
              <w:rPr>
                <w:noProof/>
                <w:sz w:val="24"/>
                <w:szCs w:val="24"/>
              </w:rPr>
              <w:t>Improved return rates</w:t>
            </w:r>
          </w:p>
        </w:tc>
        <w:tc>
          <w:tcPr>
            <w:tcW w:w="1211" w:type="dxa"/>
          </w:tcPr>
          <w:p>
            <w:pPr>
              <w:jc w:val="both"/>
              <w:rPr>
                <w:noProof/>
                <w:sz w:val="24"/>
                <w:szCs w:val="24"/>
              </w:rPr>
            </w:pPr>
            <w:r>
              <w:rPr>
                <w:noProof/>
                <w:sz w:val="24"/>
                <w:szCs w:val="24"/>
              </w:rPr>
              <w:t>60%</w:t>
            </w:r>
          </w:p>
        </w:tc>
      </w:tr>
      <w:tr>
        <w:tc>
          <w:tcPr>
            <w:tcW w:w="4417" w:type="dxa"/>
          </w:tcPr>
          <w:p>
            <w:pPr>
              <w:jc w:val="both"/>
              <w:rPr>
                <w:noProof/>
                <w:sz w:val="24"/>
                <w:szCs w:val="24"/>
              </w:rPr>
            </w:pPr>
            <w:r>
              <w:rPr>
                <w:noProof/>
                <w:sz w:val="24"/>
                <w:szCs w:val="24"/>
              </w:rPr>
              <w:t>Changes in travel behaviour</w:t>
            </w:r>
          </w:p>
        </w:tc>
        <w:tc>
          <w:tcPr>
            <w:tcW w:w="1211" w:type="dxa"/>
          </w:tcPr>
          <w:p>
            <w:pPr>
              <w:jc w:val="both"/>
              <w:rPr>
                <w:noProof/>
                <w:sz w:val="24"/>
                <w:szCs w:val="24"/>
              </w:rPr>
            </w:pPr>
            <w:r>
              <w:rPr>
                <w:noProof/>
                <w:sz w:val="24"/>
                <w:szCs w:val="24"/>
              </w:rPr>
              <w:t>10%</w:t>
            </w:r>
          </w:p>
        </w:tc>
      </w:tr>
      <w:tr>
        <w:tc>
          <w:tcPr>
            <w:tcW w:w="4417" w:type="dxa"/>
          </w:tcPr>
          <w:p>
            <w:pPr>
              <w:jc w:val="both"/>
              <w:rPr>
                <w:noProof/>
                <w:sz w:val="24"/>
                <w:szCs w:val="24"/>
              </w:rPr>
            </w:pPr>
            <w:r>
              <w:rPr>
                <w:noProof/>
                <w:sz w:val="24"/>
                <w:szCs w:val="24"/>
              </w:rPr>
              <w:t>External relations / image of EU</w:t>
            </w:r>
          </w:p>
        </w:tc>
        <w:tc>
          <w:tcPr>
            <w:tcW w:w="1211" w:type="dxa"/>
          </w:tcPr>
          <w:p>
            <w:pPr>
              <w:jc w:val="both"/>
              <w:rPr>
                <w:noProof/>
                <w:sz w:val="24"/>
                <w:szCs w:val="24"/>
              </w:rPr>
            </w:pPr>
            <w:r>
              <w:rPr>
                <w:noProof/>
                <w:sz w:val="24"/>
                <w:szCs w:val="24"/>
              </w:rPr>
              <w:t>30%</w:t>
            </w:r>
          </w:p>
        </w:tc>
      </w:tr>
    </w:tbl>
    <w:p>
      <w:pPr>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u w:val="single"/>
        </w:rPr>
        <w:t>Qualitative assessment of impacts</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"toolbox" approach</w:t>
      </w:r>
      <w:r>
        <w:rPr>
          <w:rFonts w:ascii="Times New Roman" w:hAnsi="Times New Roman" w:cs="Times New Roman"/>
          <w:noProof/>
          <w:sz w:val="24"/>
          <w:szCs w:val="24"/>
        </w:rPr>
        <w:t xml:space="preserve"> </w:t>
      </w:r>
      <w:r>
        <w:rPr>
          <w:rFonts w:ascii="Times New Roman" w:hAnsi="Times New Roman" w:cs="Times New Roman"/>
          <w:b/>
          <w:noProof/>
          <w:sz w:val="24"/>
          <w:szCs w:val="24"/>
        </w:rPr>
        <w:t>(policy option 3A: status quo)</w:t>
      </w:r>
      <w:r>
        <w:rPr>
          <w:rFonts w:ascii="Times New Roman" w:hAnsi="Times New Roman" w:cs="Times New Roman"/>
          <w:noProof/>
          <w:sz w:val="24"/>
          <w:szCs w:val="24"/>
        </w:rPr>
        <w:t xml:space="preserve"> is an internal Council instrument developed for the purpose of reinforcing the link between readmission and visa, in particular in the context of ongoing negotiations with third countries. The measures in the toolbox were developed within the limits of the current rules (Visa Code). A specific set of visa measures that would be applied, on a case-by-case basis, with regard to a given third country after a political commitment to implement them has been taken. As the status quo option the performance is ranked +/-0 on all three criteria.</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effect of </w:t>
      </w:r>
      <w:r>
        <w:rPr>
          <w:rFonts w:ascii="Times New Roman" w:hAnsi="Times New Roman" w:cs="Times New Roman"/>
          <w:b/>
          <w:noProof/>
          <w:sz w:val="24"/>
          <w:szCs w:val="24"/>
        </w:rPr>
        <w:t xml:space="preserve">policy option 3B (positive incentives) </w:t>
      </w:r>
      <w:r>
        <w:rPr>
          <w:rFonts w:ascii="Times New Roman" w:hAnsi="Times New Roman" w:cs="Times New Roman"/>
          <w:noProof/>
          <w:sz w:val="24"/>
          <w:szCs w:val="24"/>
        </w:rPr>
        <w:t>on return rates is likely to be weak and could be counterproductive. The scope of visa facilitations that can be offered to countries with high migratory risk without putting at risk the integrity of visa procedures and the security of the Schengen area is by definition limited and therefore rather unlikely to overcome governments' reluctance in cooperating with Member States with readmission procedures in many cases. This is corroborated by the EU's recent experience in combining the negotiations on readmission agreements with visa facilitation agreements</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Moreover, offering such facilitations to previously non-cooperative third countries might even have a counterproductive effect on already cooperative countries which could consider unfair that they are not being offered any facilitations and might be encouraged to cease their cooperation with a view to being offered similar advantages. Therefore the limited positive impact such positive incentives will have on return rates is likely to be neutralised (+/-0). As visa facilitations are not likely to materialise for many third countries, any positive impact on travel behaviour will be negligible (+/-0). This option is therefore not likely to have any positive (or negative) effects for external relations and the EU's image in the world either (+/-0).</w:t>
      </w:r>
    </w:p>
    <w:p>
      <w:pPr>
        <w:jc w:val="both"/>
        <w:rPr>
          <w:rFonts w:ascii="Times New Roman" w:hAnsi="Times New Roman" w:cs="Times New Roman"/>
          <w:noProof/>
          <w:sz w:val="24"/>
          <w:szCs w:val="24"/>
        </w:rPr>
      </w:pPr>
      <w:r>
        <w:rPr>
          <w:rFonts w:ascii="Times New Roman" w:hAnsi="Times New Roman" w:cs="Times New Roman"/>
          <w:b/>
          <w:noProof/>
          <w:sz w:val="24"/>
          <w:szCs w:val="24"/>
        </w:rPr>
        <w:t>Policy options 3C1 ('maximum' negative incentives)</w:t>
      </w:r>
      <w:r>
        <w:rPr>
          <w:rFonts w:ascii="Times New Roman" w:hAnsi="Times New Roman" w:cs="Times New Roman"/>
          <w:noProof/>
          <w:sz w:val="24"/>
          <w:szCs w:val="24"/>
        </w:rPr>
        <w:t xml:space="preserve"> and </w:t>
      </w:r>
      <w:r>
        <w:rPr>
          <w:rFonts w:ascii="Times New Roman" w:hAnsi="Times New Roman" w:cs="Times New Roman"/>
          <w:b/>
          <w:noProof/>
          <w:sz w:val="24"/>
          <w:szCs w:val="24"/>
        </w:rPr>
        <w:t>3C2 ('targeted' negative incentives)</w:t>
      </w:r>
      <w:r>
        <w:rPr>
          <w:rFonts w:ascii="Times New Roman" w:hAnsi="Times New Roman" w:cs="Times New Roman"/>
          <w:noProof/>
          <w:sz w:val="24"/>
          <w:szCs w:val="24"/>
        </w:rPr>
        <w:t xml:space="preserve"> are likely to have a stronger impact on return rates. The negative incentives, in particular the increase of the visa fee and the decision not to issue MEV anymore, would have a deterrent effect on third countries' governments, even before those 'sanctions' would be applied. The possibility of imposing negative incentives in the visa area as a credible measure would already provide substantial leverage in discussions with a third country government on readmission. While it is unlikely that measures in the visa area alone will have sufficient influence, it can be assumed that – in conjunction with other incentives in the area of development cooperation and/or external trade – they can contribute to encouraging governments to better cooperate with Member States and lead to higher rates of return of irregular migrants (+2).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it can be expected that the negative incentives will have a deterrent effect and will thus be applied in a limited number of cases, it is not likely that there will be strong consequences for the amount of overall travel to the EU from visa-required countries. Therefore it can be considered that the overall impact on travel behaviour and the knock-on effects on employment and growth will be weak (-1).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linking of readmission policy with negative incentives as regards the issuing of visas could have negative consequences for the EU's and/or Member States' relations with those countries and the EU's image in the world. In that context it can be assumed that option 3C1 which would target the entire population from the beginning with a wide range of measures would be seen more negatively (-2) than the targeted and gradual approach in option 3C2 which would have a limited scope of measures and would first target the government employees (-1). </w:t>
      </w:r>
    </w:p>
    <w:p>
      <w:pPr>
        <w:rPr>
          <w:rFonts w:ascii="Times New Roman" w:hAnsi="Times New Roman" w:cs="Times New Roman"/>
          <w:noProof/>
          <w:sz w:val="24"/>
          <w:szCs w:val="24"/>
        </w:rPr>
      </w:pPr>
      <w:r>
        <w:rPr>
          <w:rFonts w:ascii="Times New Roman" w:hAnsi="Times New Roman" w:cs="Times New Roman"/>
          <w:noProof/>
          <w:sz w:val="24"/>
          <w:szCs w:val="24"/>
          <w:u w:val="single"/>
        </w:rPr>
        <w:t>Overview</w:t>
      </w:r>
      <w:r>
        <w:rPr>
          <w:rFonts w:ascii="Times New Roman" w:hAnsi="Times New Roman" w:cs="Times New Roman"/>
          <w:noProof/>
          <w:sz w:val="24"/>
          <w:szCs w:val="24"/>
        </w:rPr>
        <w:t xml:space="preserve"> </w:t>
      </w:r>
    </w:p>
    <w:tbl>
      <w:tblPr>
        <w:tblStyle w:val="TableGrid"/>
        <w:tblW w:w="8748" w:type="dxa"/>
        <w:tblLayout w:type="fixed"/>
        <w:tblLook w:val="04A0" w:firstRow="1" w:lastRow="0" w:firstColumn="1" w:lastColumn="0" w:noHBand="0" w:noVBand="1"/>
      </w:tblPr>
      <w:tblGrid>
        <w:gridCol w:w="3828"/>
        <w:gridCol w:w="1080"/>
        <w:gridCol w:w="960"/>
        <w:gridCol w:w="960"/>
        <w:gridCol w:w="960"/>
        <w:gridCol w:w="960"/>
      </w:tblGrid>
      <w:tr>
        <w:trPr>
          <w:trHeight w:val="144"/>
        </w:trPr>
        <w:tc>
          <w:tcPr>
            <w:tcW w:w="3828" w:type="dxa"/>
            <w:vMerge w:val="restart"/>
          </w:tcPr>
          <w:p>
            <w:pPr>
              <w:jc w:val="center"/>
              <w:rPr>
                <w:b/>
                <w:noProof/>
                <w:sz w:val="24"/>
                <w:szCs w:val="24"/>
              </w:rPr>
            </w:pPr>
            <w:r>
              <w:rPr>
                <w:b/>
                <w:noProof/>
                <w:sz w:val="24"/>
                <w:szCs w:val="24"/>
              </w:rPr>
              <w:t>Impact criteria</w:t>
            </w:r>
          </w:p>
        </w:tc>
        <w:tc>
          <w:tcPr>
            <w:tcW w:w="1080" w:type="dxa"/>
            <w:vMerge w:val="restart"/>
          </w:tcPr>
          <w:p>
            <w:pPr>
              <w:jc w:val="center"/>
              <w:rPr>
                <w:b/>
                <w:noProof/>
                <w:sz w:val="24"/>
                <w:szCs w:val="24"/>
              </w:rPr>
            </w:pPr>
            <w:r>
              <w:rPr>
                <w:b/>
                <w:noProof/>
                <w:sz w:val="24"/>
                <w:szCs w:val="24"/>
              </w:rPr>
              <w:t>Weight</w:t>
            </w:r>
          </w:p>
        </w:tc>
        <w:tc>
          <w:tcPr>
            <w:tcW w:w="3840" w:type="dxa"/>
            <w:gridSpan w:val="4"/>
          </w:tcPr>
          <w:p>
            <w:pPr>
              <w:jc w:val="center"/>
              <w:rPr>
                <w:b/>
                <w:noProof/>
                <w:sz w:val="24"/>
                <w:szCs w:val="24"/>
              </w:rPr>
            </w:pPr>
            <w:r>
              <w:rPr>
                <w:b/>
                <w:noProof/>
                <w:sz w:val="24"/>
                <w:szCs w:val="24"/>
              </w:rPr>
              <w:t>Options</w:t>
            </w:r>
          </w:p>
        </w:tc>
      </w:tr>
      <w:tr>
        <w:trPr>
          <w:trHeight w:val="144"/>
        </w:trPr>
        <w:tc>
          <w:tcPr>
            <w:tcW w:w="3828" w:type="dxa"/>
            <w:vMerge/>
          </w:tcPr>
          <w:p>
            <w:pPr>
              <w:jc w:val="center"/>
              <w:rPr>
                <w:b/>
                <w:noProof/>
                <w:sz w:val="24"/>
                <w:szCs w:val="24"/>
              </w:rPr>
            </w:pPr>
          </w:p>
        </w:tc>
        <w:tc>
          <w:tcPr>
            <w:tcW w:w="1080" w:type="dxa"/>
            <w:vMerge/>
          </w:tcPr>
          <w:p>
            <w:pPr>
              <w:jc w:val="center"/>
              <w:rPr>
                <w:b/>
                <w:i/>
                <w:noProof/>
                <w:sz w:val="24"/>
                <w:szCs w:val="24"/>
              </w:rPr>
            </w:pPr>
          </w:p>
        </w:tc>
        <w:tc>
          <w:tcPr>
            <w:tcW w:w="960" w:type="dxa"/>
          </w:tcPr>
          <w:p>
            <w:pPr>
              <w:jc w:val="center"/>
              <w:rPr>
                <w:b/>
                <w:noProof/>
                <w:sz w:val="24"/>
                <w:szCs w:val="24"/>
              </w:rPr>
            </w:pPr>
            <w:r>
              <w:rPr>
                <w:b/>
                <w:noProof/>
                <w:sz w:val="24"/>
                <w:szCs w:val="24"/>
              </w:rPr>
              <w:t>3A</w:t>
            </w:r>
          </w:p>
        </w:tc>
        <w:tc>
          <w:tcPr>
            <w:tcW w:w="960" w:type="dxa"/>
          </w:tcPr>
          <w:p>
            <w:pPr>
              <w:jc w:val="center"/>
              <w:rPr>
                <w:b/>
                <w:noProof/>
                <w:sz w:val="24"/>
                <w:szCs w:val="24"/>
              </w:rPr>
            </w:pPr>
            <w:r>
              <w:rPr>
                <w:b/>
                <w:noProof/>
                <w:sz w:val="24"/>
                <w:szCs w:val="24"/>
              </w:rPr>
              <w:t>3B</w:t>
            </w:r>
          </w:p>
        </w:tc>
        <w:tc>
          <w:tcPr>
            <w:tcW w:w="960" w:type="dxa"/>
          </w:tcPr>
          <w:p>
            <w:pPr>
              <w:jc w:val="center"/>
              <w:rPr>
                <w:b/>
                <w:noProof/>
                <w:sz w:val="24"/>
                <w:szCs w:val="24"/>
              </w:rPr>
            </w:pPr>
            <w:r>
              <w:rPr>
                <w:b/>
                <w:noProof/>
                <w:sz w:val="24"/>
                <w:szCs w:val="24"/>
              </w:rPr>
              <w:t>3C1</w:t>
            </w:r>
          </w:p>
        </w:tc>
        <w:tc>
          <w:tcPr>
            <w:tcW w:w="960" w:type="dxa"/>
          </w:tcPr>
          <w:p>
            <w:pPr>
              <w:jc w:val="center"/>
              <w:rPr>
                <w:b/>
                <w:noProof/>
                <w:sz w:val="24"/>
                <w:szCs w:val="24"/>
              </w:rPr>
            </w:pPr>
            <w:r>
              <w:rPr>
                <w:b/>
                <w:noProof/>
                <w:sz w:val="24"/>
                <w:szCs w:val="24"/>
              </w:rPr>
              <w:t>3C2</w:t>
            </w:r>
          </w:p>
        </w:tc>
      </w:tr>
      <w:tr>
        <w:trPr>
          <w:trHeight w:val="264"/>
        </w:trPr>
        <w:tc>
          <w:tcPr>
            <w:tcW w:w="3828" w:type="dxa"/>
          </w:tcPr>
          <w:p>
            <w:pPr>
              <w:jc w:val="both"/>
              <w:rPr>
                <w:noProof/>
                <w:sz w:val="24"/>
                <w:szCs w:val="24"/>
              </w:rPr>
            </w:pPr>
            <w:r>
              <w:rPr>
                <w:noProof/>
                <w:sz w:val="24"/>
                <w:szCs w:val="24"/>
              </w:rPr>
              <w:t>Improved return rates</w:t>
            </w:r>
          </w:p>
        </w:tc>
        <w:tc>
          <w:tcPr>
            <w:tcW w:w="1080" w:type="dxa"/>
          </w:tcPr>
          <w:p>
            <w:pPr>
              <w:jc w:val="center"/>
              <w:rPr>
                <w:noProof/>
                <w:sz w:val="24"/>
                <w:szCs w:val="24"/>
              </w:rPr>
            </w:pPr>
            <w:r>
              <w:rPr>
                <w:noProof/>
                <w:sz w:val="24"/>
                <w:szCs w:val="24"/>
              </w:rPr>
              <w:t>60%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+2</w:t>
            </w:r>
          </w:p>
        </w:tc>
        <w:tc>
          <w:tcPr>
            <w:tcW w:w="960" w:type="dxa"/>
          </w:tcPr>
          <w:p>
            <w:pPr>
              <w:jc w:val="center"/>
              <w:rPr>
                <w:noProof/>
                <w:sz w:val="24"/>
                <w:szCs w:val="24"/>
              </w:rPr>
            </w:pPr>
            <w:r>
              <w:rPr>
                <w:noProof/>
                <w:sz w:val="24"/>
                <w:szCs w:val="24"/>
              </w:rPr>
              <w:t>+2</w:t>
            </w:r>
          </w:p>
        </w:tc>
      </w:tr>
      <w:tr>
        <w:trPr>
          <w:trHeight w:val="276"/>
        </w:trPr>
        <w:tc>
          <w:tcPr>
            <w:tcW w:w="3828" w:type="dxa"/>
          </w:tcPr>
          <w:p>
            <w:pPr>
              <w:jc w:val="both"/>
              <w:rPr>
                <w:noProof/>
                <w:sz w:val="24"/>
                <w:szCs w:val="24"/>
              </w:rPr>
            </w:pPr>
            <w:r>
              <w:rPr>
                <w:noProof/>
                <w:sz w:val="24"/>
                <w:szCs w:val="24"/>
              </w:rPr>
              <w:t>Changes in travel behaviour</w:t>
            </w:r>
          </w:p>
        </w:tc>
        <w:tc>
          <w:tcPr>
            <w:tcW w:w="1080" w:type="dxa"/>
          </w:tcPr>
          <w:p>
            <w:pPr>
              <w:jc w:val="center"/>
              <w:rPr>
                <w:noProof/>
                <w:sz w:val="24"/>
                <w:szCs w:val="24"/>
              </w:rPr>
            </w:pPr>
            <w:r>
              <w:rPr>
                <w:noProof/>
                <w:sz w:val="24"/>
                <w:szCs w:val="24"/>
              </w:rPr>
              <w:t>10%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-1</w:t>
            </w:r>
          </w:p>
        </w:tc>
        <w:tc>
          <w:tcPr>
            <w:tcW w:w="960" w:type="dxa"/>
          </w:tcPr>
          <w:p>
            <w:pPr>
              <w:jc w:val="center"/>
              <w:rPr>
                <w:noProof/>
                <w:sz w:val="24"/>
                <w:szCs w:val="24"/>
              </w:rPr>
            </w:pPr>
            <w:r>
              <w:rPr>
                <w:noProof/>
                <w:sz w:val="24"/>
                <w:szCs w:val="24"/>
              </w:rPr>
              <w:t>-1</w:t>
            </w:r>
          </w:p>
        </w:tc>
      </w:tr>
      <w:tr>
        <w:trPr>
          <w:trHeight w:val="276"/>
        </w:trPr>
        <w:tc>
          <w:tcPr>
            <w:tcW w:w="3828" w:type="dxa"/>
          </w:tcPr>
          <w:p>
            <w:pPr>
              <w:jc w:val="both"/>
              <w:rPr>
                <w:noProof/>
                <w:sz w:val="24"/>
                <w:szCs w:val="24"/>
              </w:rPr>
            </w:pPr>
            <w:r>
              <w:rPr>
                <w:noProof/>
                <w:sz w:val="24"/>
                <w:szCs w:val="24"/>
              </w:rPr>
              <w:t>External relations / image of EU</w:t>
            </w:r>
          </w:p>
        </w:tc>
        <w:tc>
          <w:tcPr>
            <w:tcW w:w="1080" w:type="dxa"/>
          </w:tcPr>
          <w:p>
            <w:pPr>
              <w:jc w:val="center"/>
              <w:rPr>
                <w:noProof/>
                <w:sz w:val="24"/>
                <w:szCs w:val="24"/>
              </w:rPr>
            </w:pPr>
            <w:r>
              <w:rPr>
                <w:noProof/>
                <w:sz w:val="24"/>
                <w:szCs w:val="24"/>
              </w:rPr>
              <w:t>30%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-2</w:t>
            </w:r>
          </w:p>
        </w:tc>
        <w:tc>
          <w:tcPr>
            <w:tcW w:w="960" w:type="dxa"/>
          </w:tcPr>
          <w:p>
            <w:pPr>
              <w:jc w:val="center"/>
              <w:rPr>
                <w:noProof/>
                <w:sz w:val="24"/>
                <w:szCs w:val="24"/>
              </w:rPr>
            </w:pPr>
            <w:r>
              <w:rPr>
                <w:noProof/>
                <w:sz w:val="24"/>
                <w:szCs w:val="24"/>
              </w:rPr>
              <w:t>-1</w:t>
            </w:r>
          </w:p>
        </w:tc>
      </w:tr>
      <w:tr>
        <w:trPr>
          <w:trHeight w:val="288"/>
        </w:trPr>
        <w:tc>
          <w:tcPr>
            <w:tcW w:w="3828" w:type="dxa"/>
          </w:tcPr>
          <w:p>
            <w:pPr>
              <w:rPr>
                <w:b/>
                <w:noProof/>
                <w:sz w:val="24"/>
                <w:szCs w:val="24"/>
              </w:rPr>
            </w:pPr>
            <w:r>
              <w:rPr>
                <w:b/>
                <w:noProof/>
                <w:sz w:val="24"/>
                <w:szCs w:val="24"/>
              </w:rPr>
              <w:t>Aggregate impact score</w:t>
            </w:r>
          </w:p>
        </w:tc>
        <w:tc>
          <w:tcPr>
            <w:tcW w:w="1080" w:type="dxa"/>
          </w:tcPr>
          <w:p>
            <w:pPr>
              <w:jc w:val="center"/>
              <w:rPr>
                <w:b/>
                <w:i/>
                <w:noProof/>
                <w:sz w:val="24"/>
                <w:szCs w:val="24"/>
              </w:rPr>
            </w:pPr>
            <w:r>
              <w:rPr>
                <w:b/>
                <w:i/>
                <w:noProof/>
                <w:sz w:val="24"/>
                <w:szCs w:val="24"/>
              </w:rPr>
              <w:t>100%</w:t>
            </w:r>
          </w:p>
        </w:tc>
        <w:tc>
          <w:tcPr>
            <w:tcW w:w="960" w:type="dxa"/>
          </w:tcPr>
          <w:p>
            <w:pPr>
              <w:jc w:val="center"/>
              <w:rPr>
                <w:b/>
                <w:noProof/>
                <w:sz w:val="24"/>
                <w:szCs w:val="24"/>
              </w:rPr>
            </w:pPr>
            <w:r>
              <w:rPr>
                <w:b/>
                <w:noProof/>
                <w:sz w:val="24"/>
                <w:szCs w:val="24"/>
              </w:rPr>
              <w:t>0</w:t>
            </w:r>
          </w:p>
        </w:tc>
        <w:tc>
          <w:tcPr>
            <w:tcW w:w="960" w:type="dxa"/>
          </w:tcPr>
          <w:p>
            <w:pPr>
              <w:jc w:val="center"/>
              <w:rPr>
                <w:b/>
                <w:noProof/>
                <w:sz w:val="24"/>
                <w:szCs w:val="24"/>
              </w:rPr>
            </w:pPr>
            <w:r>
              <w:rPr>
                <w:b/>
                <w:noProof/>
                <w:sz w:val="24"/>
                <w:szCs w:val="24"/>
              </w:rPr>
              <w:t>0</w:t>
            </w:r>
          </w:p>
        </w:tc>
        <w:tc>
          <w:tcPr>
            <w:tcW w:w="960" w:type="dxa"/>
          </w:tcPr>
          <w:p>
            <w:pPr>
              <w:jc w:val="center"/>
              <w:rPr>
                <w:b/>
                <w:noProof/>
                <w:sz w:val="24"/>
                <w:szCs w:val="24"/>
              </w:rPr>
            </w:pPr>
            <w:r>
              <w:rPr>
                <w:b/>
                <w:noProof/>
                <w:sz w:val="24"/>
                <w:szCs w:val="24"/>
              </w:rPr>
              <w:t>+0.5</w:t>
            </w:r>
          </w:p>
        </w:tc>
        <w:tc>
          <w:tcPr>
            <w:tcW w:w="960" w:type="dxa"/>
          </w:tcPr>
          <w:p>
            <w:pPr>
              <w:jc w:val="center"/>
              <w:rPr>
                <w:b/>
                <w:noProof/>
                <w:sz w:val="24"/>
                <w:szCs w:val="24"/>
              </w:rPr>
            </w:pPr>
            <w:r>
              <w:rPr>
                <w:b/>
                <w:noProof/>
                <w:sz w:val="24"/>
                <w:szCs w:val="24"/>
              </w:rPr>
              <w:t>+0.8</w:t>
            </w:r>
          </w:p>
        </w:tc>
      </w:tr>
    </w:tbl>
    <w:p>
      <w:pPr>
        <w:rPr>
          <w:rFonts w:ascii="Times New Roman" w:hAnsi="Times New Roman" w:cs="Times New Roman"/>
          <w:noProof/>
          <w:sz w:val="24"/>
          <w:szCs w:val="24"/>
        </w:rPr>
      </w:pPr>
    </w:p>
    <w:p>
      <w:pPr>
        <w:pStyle w:val="Heading2"/>
        <w:tabs>
          <w:tab w:val="clear" w:pos="1200"/>
          <w:tab w:val="num" w:pos="720"/>
        </w:tabs>
        <w:ind w:left="0" w:firstLine="0"/>
        <w:rPr>
          <w:noProof/>
          <w:u w:val="single"/>
        </w:rPr>
      </w:pPr>
      <w:bookmarkStart w:id="50" w:name="_Toc507148497"/>
      <w:r>
        <w:rPr>
          <w:noProof/>
          <w:u w:val="single"/>
        </w:rPr>
        <w:t>Sensitivity analysis</w:t>
      </w:r>
      <w:bookmarkEnd w:id="50"/>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Given the scarcity of quantitative data to assess the economic, social and other impacts of the various policy options, both the weighting of impact criteria and the performance score of policy options are in most cases the result of a qualitative assessment based on the best assumptions and estimations available. Even though the multi-criteria analysis (MCA) has been substantiated by facts and arguments, it cannot be guaranteed that the results are devoid of possible errors of judgment, and they should be taken with the necessary caution. </w:t>
      </w:r>
    </w:p>
    <w:p>
      <w:pPr>
        <w:jc w:val="both"/>
        <w:rPr>
          <w:rFonts w:ascii="Times New Roman" w:hAnsi="Times New Roman" w:cs="Times New Roman"/>
          <w:noProof/>
          <w:sz w:val="24"/>
          <w:szCs w:val="24"/>
        </w:rPr>
      </w:pPr>
      <w:r>
        <w:rPr>
          <w:rFonts w:ascii="Times New Roman" w:hAnsi="Times New Roman" w:cs="Times New Roman"/>
          <w:noProof/>
          <w:sz w:val="24"/>
          <w:szCs w:val="24"/>
        </w:rPr>
        <w:t>A sensitivity analysis has been conducted to verify to what extent a change of the weighting would influence the results of the MCA.</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Instead of giving different weights to the most important impact criteria identified, the same weight would be attached to all criteria. For the first and second problem areas (insufficient financial resources, repeated visa procedures), the comparative ranking of policy options would not change. For the third problem area (return of irregular migrants), the ranking would be affected by a different weighting of the impact criteria. The best-ranking option (3C2, targeted negative incentives) in the assessment above would get the same score as the status quo option (3A) and the positive incentives (3B); only the maximum negative incentives (option 3C1) would score worse. This change of ranking is due to higher weight given to negative effects on travel behaviour – which is, however, unjustified, given the small number of countries and persons that are likely to be affected. </w:t>
      </w:r>
    </w:p>
    <w:p>
      <w:pPr>
        <w:pStyle w:val="Heading1"/>
        <w:tabs>
          <w:tab w:val="clear" w:pos="480"/>
        </w:tabs>
        <w:ind w:left="0" w:firstLine="0"/>
        <w:rPr>
          <w:noProof/>
        </w:rPr>
      </w:pPr>
      <w:bookmarkStart w:id="51" w:name="_Toc507148498"/>
      <w:r>
        <w:rPr>
          <w:noProof/>
        </w:rPr>
        <w:t>How do the options compare?</w:t>
      </w:r>
      <w:bookmarkEnd w:id="51"/>
    </w:p>
    <w:p>
      <w:pPr>
        <w:pStyle w:val="Heading2"/>
        <w:tabs>
          <w:tab w:val="clear" w:pos="1200"/>
          <w:tab w:val="num" w:pos="720"/>
        </w:tabs>
        <w:ind w:left="0" w:firstLine="0"/>
        <w:rPr>
          <w:noProof/>
        </w:rPr>
      </w:pPr>
      <w:bookmarkStart w:id="52" w:name="_Toc507148499"/>
      <w:r>
        <w:rPr>
          <w:noProof/>
        </w:rPr>
        <w:t>Insufficient financial resources</w:t>
      </w:r>
      <w:bookmarkEnd w:id="52"/>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best-rated policy option in the aggregate impact score is </w:t>
      </w:r>
      <w:r>
        <w:rPr>
          <w:rFonts w:ascii="Times New Roman" w:hAnsi="Times New Roman" w:cs="Times New Roman"/>
          <w:b/>
          <w:noProof/>
          <w:sz w:val="24"/>
          <w:szCs w:val="24"/>
        </w:rPr>
        <w:t>option 1C3 (common visa fee of EUR 120)</w:t>
      </w:r>
      <w:r>
        <w:rPr>
          <w:rFonts w:ascii="Times New Roman" w:hAnsi="Times New Roman" w:cs="Times New Roman"/>
          <w:noProof/>
          <w:sz w:val="24"/>
          <w:szCs w:val="24"/>
        </w:rPr>
        <w:t>, followed by options 1C2 (EUR 100) and then 1C1 (EUR 80) and 1C4 (EUR 80 for SEV and MEV up to 6 months, EUR 120 for MEV of 1-5 years).</w:t>
      </w:r>
    </w:p>
    <w:p>
      <w:pPr>
        <w:pStyle w:val="Text2"/>
        <w:ind w:left="0"/>
        <w:rPr>
          <w:noProof/>
        </w:rPr>
      </w:pPr>
      <w:r>
        <w:rPr>
          <w:noProof/>
          <w:u w:val="single"/>
        </w:rPr>
        <w:t xml:space="preserve">Effectiveness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argued above, an increase of the EU's common visa fee would clearly be more effective in reaching the policy objective of ensuring that the level of the visa provides sufficient financial resources to Member States in order to safeguard the quality and integrity of visa processing, than a re-nationalisation of the visa fee (option 1B), which might even be counter-productive (-). Options 1C1 to 1C4 are all effective in making positive contributions to the objective of ensuring sufficient financial resources for visa processing. The effectiveness increases proportionally to the rise in the visa fee: nine Member States have provided calculations of administrative costs or otherwise suggested a visa fee (see section 5.2.1). The level calculated or suggested by three Member States would be met by a visa fee of EUR 80 (option 1C1 and 1C4) (+), for six of them a visa fee of EUR 100 (option 1C2) would sufficient (++), and a visa fee of EUR 120 (option 1C3) would meet (or exceed) the costs of eight of those Member States (+++). </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Proportionality</w:t>
      </w:r>
    </w:p>
    <w:p>
      <w:pPr>
        <w:jc w:val="both"/>
        <w:rPr>
          <w:rFonts w:ascii="Times New Roman" w:hAnsi="Times New Roman" w:cs="Times New Roman"/>
          <w:noProof/>
          <w:sz w:val="24"/>
          <w:szCs w:val="24"/>
        </w:rPr>
      </w:pPr>
      <w:r>
        <w:rPr>
          <w:rFonts w:ascii="Times New Roman" w:hAnsi="Times New Roman" w:cs="Times New Roman"/>
          <w:noProof/>
          <w:sz w:val="24"/>
          <w:szCs w:val="24"/>
        </w:rPr>
        <w:t>Even though the visa fee has not been raised since 2006, the most proportionate option seems to be an increase by 33% to EUR 80 (++). Had the visa fee been increased each year since 2006 on the basis of the general EU-wide inflation rate</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it would stand today at around EUR 73.85. Also the lowest estimate of actual visa-processing costs provided by a Member State is EUR 69. Higher increases (by 67% or 100%) seem increasingly difficult to justify towards third countries and applicants are therefore deemed disproportionate (</w:t>
      </w:r>
      <w:r>
        <w:rPr>
          <w:b/>
          <w:noProof/>
          <w:sz w:val="24"/>
          <w:szCs w:val="24"/>
        </w:rPr>
        <w:t>-</w:t>
      </w:r>
      <w:r>
        <w:rPr>
          <w:rFonts w:ascii="Times New Roman" w:hAnsi="Times New Roman" w:cs="Times New Roman"/>
          <w:noProof/>
          <w:sz w:val="24"/>
          <w:szCs w:val="24"/>
        </w:rPr>
        <w:t xml:space="preserve"> and </w:t>
      </w:r>
      <w:r>
        <w:rPr>
          <w:b/>
          <w:noProof/>
          <w:sz w:val="24"/>
          <w:szCs w:val="24"/>
        </w:rPr>
        <w:t>-</w:t>
      </w:r>
      <w:r>
        <w:rPr>
          <w:rFonts w:ascii="Times New Roman" w:hAnsi="Times New Roman" w:cs="Times New Roman"/>
          <w:noProof/>
          <w:sz w:val="24"/>
          <w:szCs w:val="24"/>
        </w:rPr>
        <w:t xml:space="preserve"> - respectively). Intermediary solutions would be a general visa fee of EUR 80 with higher fees for long-validity MEV (++) or national fees based on actual administrative costs (++).</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Feasibility and coherence</w:t>
      </w:r>
    </w:p>
    <w:p>
      <w:pPr>
        <w:jc w:val="both"/>
        <w:rPr>
          <w:rFonts w:ascii="Times New Roman" w:hAnsi="Times New Roman" w:cs="Times New Roman"/>
          <w:noProof/>
          <w:sz w:val="24"/>
          <w:szCs w:val="24"/>
        </w:rPr>
      </w:pPr>
      <w:r>
        <w:rPr>
          <w:rFonts w:ascii="Times New Roman" w:hAnsi="Times New Roman" w:cs="Times New Roman"/>
          <w:noProof/>
          <w:sz w:val="24"/>
          <w:szCs w:val="24"/>
        </w:rPr>
        <w:t>Re-nationalising the visa fee has neither been supported by any stakeholder nor is it coherent with the goal of a harmonised visa policy flanking the common area without internal borders. In practice it would be difficult to get all Member States to apply the same calculation of real administrative costs, and there is a serious risk of visa shopping with all negative consequences involved (- -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moderate increase of the visa fee would seem the most coherent and feasible option (+++), with feasibility declining with higher increases (++ and + respectively). </w:t>
      </w:r>
    </w:p>
    <w:p>
      <w:pPr>
        <w:jc w:val="both"/>
        <w:rPr>
          <w:rFonts w:ascii="Times New Roman" w:hAnsi="Times New Roman" w:cs="Times New Roman"/>
          <w:noProof/>
          <w:sz w:val="24"/>
          <w:szCs w:val="24"/>
        </w:rPr>
      </w:pPr>
      <w:r>
        <w:rPr>
          <w:rFonts w:ascii="Times New Roman" w:hAnsi="Times New Roman" w:cs="Times New Roman"/>
          <w:noProof/>
          <w:sz w:val="24"/>
          <w:szCs w:val="24"/>
        </w:rPr>
        <w:t>The option of a moderate increase of the general visa fee, combined with a higher increase for long-validity MEV seems to be 'fair' at first sight and has been supported by three</w:t>
      </w:r>
      <w:r>
        <w:rPr>
          <w:rFonts w:ascii="Times New Roman" w:hAnsi="Times New Roman"/>
          <w:noProof/>
          <w:sz w:val="24"/>
        </w:rPr>
        <w:t xml:space="preserve"> Member States</w:t>
      </w:r>
      <w:r>
        <w:rPr>
          <w:rFonts w:ascii="Times New Roman" w:hAnsi="Times New Roman" w:cs="Times New Roman"/>
          <w:noProof/>
          <w:sz w:val="24"/>
          <w:szCs w:val="24"/>
        </w:rPr>
        <w:t xml:space="preserve"> in the targeted consultation. However, it would create problems in practice, as neither the applicant nor the ESP / consulate collecting the visa fee would know at the outset the final amount of the visa fee – which would depend on the outcome of the examination and decision by the visa officer. In some cases part of the fee would have to be reimbursed (or paid in addition) after the decision has been taken, creating an additional procedural step and considerable administrative burden, taking into account more than 15 million visa applications yearly. Therefore most Member States have rejected this option, and the practical feasibility is assessed negatively (-). </w:t>
      </w:r>
    </w:p>
    <w:p>
      <w:pPr>
        <w:rPr>
          <w:rFonts w:ascii="Times New Roman" w:hAnsi="Times New Roman" w:cs="Times New Roman"/>
          <w:noProof/>
          <w:sz w:val="24"/>
          <w:szCs w:val="24"/>
          <w:u w:val="single"/>
        </w:rPr>
      </w:pPr>
    </w:p>
    <w:p>
      <w:pPr>
        <w:rPr>
          <w:rFonts w:ascii="Times New Roman" w:hAnsi="Times New Roman" w:cs="Times New Roman"/>
          <w:noProof/>
          <w:sz w:val="24"/>
          <w:szCs w:val="24"/>
          <w:u w:val="single"/>
        </w:rPr>
      </w:pPr>
    </w:p>
    <w:p>
      <w:pPr>
        <w:rPr>
          <w:rFonts w:ascii="Times New Roman" w:hAnsi="Times New Roman" w:cs="Times New Roman"/>
          <w:noProof/>
          <w:sz w:val="24"/>
          <w:szCs w:val="24"/>
          <w:u w:val="single"/>
        </w:rPr>
      </w:pPr>
    </w:p>
    <w:p>
      <w:pPr>
        <w:rPr>
          <w:rFonts w:ascii="Times New Roman" w:hAnsi="Times New Roman" w:cs="Times New Roman"/>
          <w:noProof/>
          <w:sz w:val="24"/>
          <w:szCs w:val="24"/>
          <w:u w:val="single"/>
        </w:rPr>
      </w:pPr>
    </w:p>
    <w:p>
      <w:pPr>
        <w:rPr>
          <w:rFonts w:ascii="Times New Roman" w:hAnsi="Times New Roman" w:cs="Times New Roman"/>
          <w:noProof/>
          <w:sz w:val="24"/>
          <w:szCs w:val="24"/>
        </w:rPr>
      </w:pPr>
      <w:r>
        <w:rPr>
          <w:rFonts w:ascii="Times New Roman" w:hAnsi="Times New Roman" w:cs="Times New Roman"/>
          <w:noProof/>
          <w:sz w:val="24"/>
          <w:szCs w:val="24"/>
          <w:u w:val="single"/>
        </w:rPr>
        <w:t>Overview</w:t>
      </w:r>
      <w:r>
        <w:rPr>
          <w:rFonts w:ascii="Times New Roman" w:hAnsi="Times New Roman" w:cs="Times New Roman"/>
          <w:noProof/>
          <w:sz w:val="24"/>
          <w:szCs w:val="24"/>
        </w:rPr>
        <w:t xml:space="preserve"> </w:t>
      </w:r>
    </w:p>
    <w:tbl>
      <w:tblPr>
        <w:tblStyle w:val="TableGrid"/>
        <w:tblW w:w="8748" w:type="dxa"/>
        <w:tblLayout w:type="fixed"/>
        <w:tblLook w:val="04A0" w:firstRow="1" w:lastRow="0" w:firstColumn="1" w:lastColumn="0" w:noHBand="0" w:noVBand="1"/>
      </w:tblPr>
      <w:tblGrid>
        <w:gridCol w:w="2868"/>
        <w:gridCol w:w="960"/>
        <w:gridCol w:w="960"/>
        <w:gridCol w:w="1080"/>
        <w:gridCol w:w="960"/>
        <w:gridCol w:w="960"/>
        <w:gridCol w:w="960"/>
      </w:tblGrid>
      <w:tr>
        <w:trPr>
          <w:trHeight w:val="144"/>
        </w:trPr>
        <w:tc>
          <w:tcPr>
            <w:tcW w:w="2868" w:type="dxa"/>
            <w:vMerge w:val="restart"/>
          </w:tcPr>
          <w:p>
            <w:pPr>
              <w:jc w:val="center"/>
              <w:rPr>
                <w:b/>
                <w:noProof/>
                <w:sz w:val="24"/>
                <w:szCs w:val="24"/>
              </w:rPr>
            </w:pPr>
            <w:r>
              <w:rPr>
                <w:b/>
                <w:noProof/>
                <w:sz w:val="24"/>
                <w:szCs w:val="24"/>
              </w:rPr>
              <w:t>Impact criteria</w:t>
            </w:r>
          </w:p>
        </w:tc>
        <w:tc>
          <w:tcPr>
            <w:tcW w:w="5880" w:type="dxa"/>
            <w:gridSpan w:val="6"/>
          </w:tcPr>
          <w:p>
            <w:pPr>
              <w:jc w:val="center"/>
              <w:rPr>
                <w:b/>
                <w:noProof/>
                <w:sz w:val="24"/>
                <w:szCs w:val="24"/>
              </w:rPr>
            </w:pPr>
            <w:r>
              <w:rPr>
                <w:b/>
                <w:noProof/>
                <w:sz w:val="24"/>
                <w:szCs w:val="24"/>
              </w:rPr>
              <w:t>Options</w:t>
            </w:r>
          </w:p>
        </w:tc>
      </w:tr>
      <w:tr>
        <w:trPr>
          <w:trHeight w:val="144"/>
        </w:trPr>
        <w:tc>
          <w:tcPr>
            <w:tcW w:w="2868" w:type="dxa"/>
            <w:vMerge/>
          </w:tcPr>
          <w:p>
            <w:pPr>
              <w:jc w:val="center"/>
              <w:rPr>
                <w:b/>
                <w:noProof/>
                <w:sz w:val="24"/>
                <w:szCs w:val="24"/>
              </w:rPr>
            </w:pPr>
          </w:p>
        </w:tc>
        <w:tc>
          <w:tcPr>
            <w:tcW w:w="960" w:type="dxa"/>
          </w:tcPr>
          <w:p>
            <w:pPr>
              <w:jc w:val="center"/>
              <w:rPr>
                <w:b/>
                <w:noProof/>
                <w:sz w:val="24"/>
                <w:szCs w:val="24"/>
              </w:rPr>
            </w:pPr>
            <w:r>
              <w:rPr>
                <w:b/>
                <w:noProof/>
                <w:sz w:val="24"/>
                <w:szCs w:val="24"/>
              </w:rPr>
              <w:t>1A</w:t>
            </w:r>
          </w:p>
        </w:tc>
        <w:tc>
          <w:tcPr>
            <w:tcW w:w="960" w:type="dxa"/>
          </w:tcPr>
          <w:p>
            <w:pPr>
              <w:jc w:val="center"/>
              <w:rPr>
                <w:b/>
                <w:noProof/>
                <w:sz w:val="24"/>
                <w:szCs w:val="24"/>
              </w:rPr>
            </w:pPr>
            <w:r>
              <w:rPr>
                <w:b/>
                <w:noProof/>
                <w:sz w:val="24"/>
                <w:szCs w:val="24"/>
              </w:rPr>
              <w:t>1B</w:t>
            </w:r>
          </w:p>
        </w:tc>
        <w:tc>
          <w:tcPr>
            <w:tcW w:w="1080" w:type="dxa"/>
          </w:tcPr>
          <w:p>
            <w:pPr>
              <w:jc w:val="center"/>
              <w:rPr>
                <w:b/>
                <w:noProof/>
                <w:sz w:val="24"/>
                <w:szCs w:val="24"/>
              </w:rPr>
            </w:pPr>
            <w:r>
              <w:rPr>
                <w:b/>
                <w:noProof/>
                <w:sz w:val="24"/>
                <w:szCs w:val="24"/>
              </w:rPr>
              <w:t>1C1</w:t>
            </w:r>
          </w:p>
        </w:tc>
        <w:tc>
          <w:tcPr>
            <w:tcW w:w="960" w:type="dxa"/>
          </w:tcPr>
          <w:p>
            <w:pPr>
              <w:jc w:val="center"/>
              <w:rPr>
                <w:b/>
                <w:noProof/>
                <w:sz w:val="24"/>
                <w:szCs w:val="24"/>
              </w:rPr>
            </w:pPr>
            <w:r>
              <w:rPr>
                <w:b/>
                <w:noProof/>
                <w:sz w:val="24"/>
                <w:szCs w:val="24"/>
              </w:rPr>
              <w:t>1C2</w:t>
            </w:r>
          </w:p>
        </w:tc>
        <w:tc>
          <w:tcPr>
            <w:tcW w:w="960" w:type="dxa"/>
          </w:tcPr>
          <w:p>
            <w:pPr>
              <w:jc w:val="center"/>
              <w:rPr>
                <w:b/>
                <w:noProof/>
                <w:sz w:val="24"/>
                <w:szCs w:val="24"/>
              </w:rPr>
            </w:pPr>
            <w:r>
              <w:rPr>
                <w:b/>
                <w:noProof/>
                <w:sz w:val="24"/>
                <w:szCs w:val="24"/>
              </w:rPr>
              <w:t>1C3</w:t>
            </w:r>
          </w:p>
        </w:tc>
        <w:tc>
          <w:tcPr>
            <w:tcW w:w="960" w:type="dxa"/>
          </w:tcPr>
          <w:p>
            <w:pPr>
              <w:jc w:val="center"/>
              <w:rPr>
                <w:b/>
                <w:noProof/>
                <w:sz w:val="24"/>
                <w:szCs w:val="24"/>
              </w:rPr>
            </w:pPr>
            <w:r>
              <w:rPr>
                <w:b/>
                <w:noProof/>
                <w:sz w:val="24"/>
                <w:szCs w:val="24"/>
              </w:rPr>
              <w:t>1C4</w:t>
            </w:r>
          </w:p>
        </w:tc>
      </w:tr>
      <w:tr>
        <w:trPr>
          <w:trHeight w:val="288"/>
        </w:trPr>
        <w:tc>
          <w:tcPr>
            <w:tcW w:w="2868" w:type="dxa"/>
          </w:tcPr>
          <w:p>
            <w:pPr>
              <w:rPr>
                <w:b/>
                <w:noProof/>
                <w:sz w:val="24"/>
                <w:szCs w:val="24"/>
              </w:rPr>
            </w:pPr>
            <w:r>
              <w:rPr>
                <w:b/>
                <w:noProof/>
                <w:sz w:val="24"/>
                <w:szCs w:val="24"/>
              </w:rPr>
              <w:t>Aggregate impact score</w:t>
            </w:r>
          </w:p>
        </w:tc>
        <w:tc>
          <w:tcPr>
            <w:tcW w:w="960" w:type="dxa"/>
          </w:tcPr>
          <w:p>
            <w:pPr>
              <w:rPr>
                <w:b/>
                <w:noProof/>
                <w:sz w:val="24"/>
                <w:szCs w:val="24"/>
              </w:rPr>
            </w:pPr>
            <w:r>
              <w:rPr>
                <w:b/>
                <w:noProof/>
                <w:sz w:val="24"/>
                <w:szCs w:val="24"/>
              </w:rPr>
              <w:t>0</w:t>
            </w:r>
          </w:p>
        </w:tc>
        <w:tc>
          <w:tcPr>
            <w:tcW w:w="960" w:type="dxa"/>
          </w:tcPr>
          <w:p>
            <w:pPr>
              <w:rPr>
                <w:b/>
                <w:noProof/>
                <w:sz w:val="24"/>
                <w:szCs w:val="24"/>
              </w:rPr>
            </w:pPr>
            <w:r>
              <w:rPr>
                <w:b/>
                <w:noProof/>
                <w:sz w:val="24"/>
                <w:szCs w:val="24"/>
              </w:rPr>
              <w:t>+0.2</w:t>
            </w:r>
          </w:p>
        </w:tc>
        <w:tc>
          <w:tcPr>
            <w:tcW w:w="1080" w:type="dxa"/>
          </w:tcPr>
          <w:p>
            <w:pPr>
              <w:rPr>
                <w:b/>
                <w:noProof/>
                <w:sz w:val="24"/>
                <w:szCs w:val="24"/>
              </w:rPr>
            </w:pPr>
            <w:r>
              <w:rPr>
                <w:b/>
                <w:noProof/>
                <w:sz w:val="24"/>
                <w:szCs w:val="24"/>
              </w:rPr>
              <w:t>+0.6</w:t>
            </w:r>
          </w:p>
        </w:tc>
        <w:tc>
          <w:tcPr>
            <w:tcW w:w="960" w:type="dxa"/>
          </w:tcPr>
          <w:p>
            <w:pPr>
              <w:rPr>
                <w:b/>
                <w:noProof/>
                <w:sz w:val="24"/>
                <w:szCs w:val="24"/>
              </w:rPr>
            </w:pPr>
            <w:r>
              <w:rPr>
                <w:b/>
                <w:noProof/>
                <w:sz w:val="24"/>
                <w:szCs w:val="24"/>
              </w:rPr>
              <w:t>+0.8</w:t>
            </w:r>
          </w:p>
        </w:tc>
        <w:tc>
          <w:tcPr>
            <w:tcW w:w="960" w:type="dxa"/>
          </w:tcPr>
          <w:p>
            <w:pPr>
              <w:rPr>
                <w:b/>
                <w:noProof/>
                <w:sz w:val="24"/>
                <w:szCs w:val="24"/>
              </w:rPr>
            </w:pPr>
            <w:r>
              <w:rPr>
                <w:b/>
                <w:noProof/>
                <w:sz w:val="24"/>
                <w:szCs w:val="24"/>
              </w:rPr>
              <w:t>+1.0</w:t>
            </w:r>
          </w:p>
        </w:tc>
        <w:tc>
          <w:tcPr>
            <w:tcW w:w="960" w:type="dxa"/>
          </w:tcPr>
          <w:p>
            <w:pPr>
              <w:rPr>
                <w:b/>
                <w:noProof/>
                <w:sz w:val="24"/>
                <w:szCs w:val="24"/>
              </w:rPr>
            </w:pPr>
            <w:r>
              <w:rPr>
                <w:b/>
                <w:noProof/>
                <w:sz w:val="24"/>
                <w:szCs w:val="24"/>
              </w:rPr>
              <w:t>+0.6</w:t>
            </w:r>
          </w:p>
        </w:tc>
      </w:tr>
      <w:tr>
        <w:trPr>
          <w:trHeight w:val="288"/>
        </w:trPr>
        <w:tc>
          <w:tcPr>
            <w:tcW w:w="2868" w:type="dxa"/>
          </w:tcPr>
          <w:p>
            <w:pPr>
              <w:rPr>
                <w:noProof/>
                <w:sz w:val="24"/>
                <w:szCs w:val="24"/>
              </w:rPr>
            </w:pPr>
            <w:r>
              <w:rPr>
                <w:noProof/>
                <w:sz w:val="24"/>
                <w:szCs w:val="24"/>
              </w:rPr>
              <w:t>Effectiveness</w:t>
            </w:r>
          </w:p>
        </w:tc>
        <w:tc>
          <w:tcPr>
            <w:tcW w:w="960" w:type="dxa"/>
          </w:tcPr>
          <w:p>
            <w:pPr>
              <w:rPr>
                <w:b/>
                <w:noProof/>
                <w:sz w:val="24"/>
                <w:szCs w:val="24"/>
              </w:rPr>
            </w:pPr>
            <w:r>
              <w:rPr>
                <w:b/>
                <w:noProof/>
                <w:sz w:val="24"/>
                <w:szCs w:val="24"/>
              </w:rPr>
              <w:t>0</w:t>
            </w:r>
          </w:p>
        </w:tc>
        <w:tc>
          <w:tcPr>
            <w:tcW w:w="960" w:type="dxa"/>
          </w:tcPr>
          <w:p>
            <w:pPr>
              <w:rPr>
                <w:b/>
                <w:noProof/>
                <w:sz w:val="24"/>
                <w:szCs w:val="24"/>
              </w:rPr>
            </w:pPr>
            <w:r>
              <w:rPr>
                <w:b/>
                <w:noProof/>
                <w:sz w:val="24"/>
                <w:szCs w:val="24"/>
              </w:rPr>
              <w:t>-</w:t>
            </w:r>
          </w:p>
        </w:tc>
        <w:tc>
          <w:tcPr>
            <w:tcW w:w="108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w:t>
            </w:r>
          </w:p>
        </w:tc>
      </w:tr>
      <w:tr>
        <w:trPr>
          <w:trHeight w:val="288"/>
        </w:trPr>
        <w:tc>
          <w:tcPr>
            <w:tcW w:w="2868" w:type="dxa"/>
          </w:tcPr>
          <w:p>
            <w:pPr>
              <w:rPr>
                <w:noProof/>
                <w:sz w:val="24"/>
                <w:szCs w:val="24"/>
              </w:rPr>
            </w:pPr>
            <w:r>
              <w:rPr>
                <w:noProof/>
                <w:sz w:val="24"/>
                <w:szCs w:val="24"/>
              </w:rPr>
              <w:t>Proportionality</w:t>
            </w:r>
          </w:p>
        </w:tc>
        <w:tc>
          <w:tcPr>
            <w:tcW w:w="960" w:type="dxa"/>
          </w:tcPr>
          <w:p>
            <w:pPr>
              <w:rPr>
                <w:b/>
                <w:noProof/>
                <w:sz w:val="24"/>
                <w:szCs w:val="24"/>
              </w:rPr>
            </w:pPr>
            <w:r>
              <w:rPr>
                <w:b/>
                <w:noProof/>
                <w:sz w:val="24"/>
                <w:szCs w:val="24"/>
              </w:rPr>
              <w:t>0</w:t>
            </w:r>
          </w:p>
        </w:tc>
        <w:tc>
          <w:tcPr>
            <w:tcW w:w="960" w:type="dxa"/>
          </w:tcPr>
          <w:p>
            <w:pPr>
              <w:rPr>
                <w:b/>
                <w:noProof/>
                <w:sz w:val="24"/>
                <w:szCs w:val="24"/>
              </w:rPr>
            </w:pPr>
            <w:r>
              <w:rPr>
                <w:b/>
                <w:noProof/>
                <w:sz w:val="24"/>
                <w:szCs w:val="24"/>
              </w:rPr>
              <w:t>++</w:t>
            </w:r>
          </w:p>
        </w:tc>
        <w:tc>
          <w:tcPr>
            <w:tcW w:w="108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 -</w:t>
            </w:r>
          </w:p>
        </w:tc>
        <w:tc>
          <w:tcPr>
            <w:tcW w:w="960" w:type="dxa"/>
          </w:tcPr>
          <w:p>
            <w:pPr>
              <w:rPr>
                <w:b/>
                <w:noProof/>
                <w:sz w:val="24"/>
                <w:szCs w:val="24"/>
              </w:rPr>
            </w:pPr>
            <w:r>
              <w:rPr>
                <w:b/>
                <w:noProof/>
                <w:sz w:val="24"/>
                <w:szCs w:val="24"/>
              </w:rPr>
              <w:t>++</w:t>
            </w:r>
          </w:p>
        </w:tc>
      </w:tr>
      <w:tr>
        <w:trPr>
          <w:trHeight w:val="288"/>
        </w:trPr>
        <w:tc>
          <w:tcPr>
            <w:tcW w:w="2868" w:type="dxa"/>
          </w:tcPr>
          <w:p>
            <w:pPr>
              <w:rPr>
                <w:noProof/>
                <w:sz w:val="24"/>
                <w:szCs w:val="24"/>
              </w:rPr>
            </w:pPr>
            <w:r>
              <w:rPr>
                <w:noProof/>
                <w:sz w:val="24"/>
                <w:szCs w:val="24"/>
              </w:rPr>
              <w:t>Feasibility / coherence</w:t>
            </w:r>
          </w:p>
        </w:tc>
        <w:tc>
          <w:tcPr>
            <w:tcW w:w="960" w:type="dxa"/>
          </w:tcPr>
          <w:p>
            <w:pPr>
              <w:rPr>
                <w:b/>
                <w:noProof/>
                <w:sz w:val="24"/>
                <w:szCs w:val="24"/>
              </w:rPr>
            </w:pPr>
            <w:r>
              <w:rPr>
                <w:b/>
                <w:noProof/>
                <w:sz w:val="24"/>
                <w:szCs w:val="24"/>
              </w:rPr>
              <w:t>0</w:t>
            </w:r>
          </w:p>
        </w:tc>
        <w:tc>
          <w:tcPr>
            <w:tcW w:w="960" w:type="dxa"/>
          </w:tcPr>
          <w:p>
            <w:pPr>
              <w:rPr>
                <w:b/>
                <w:noProof/>
                <w:sz w:val="24"/>
                <w:szCs w:val="24"/>
              </w:rPr>
            </w:pPr>
            <w:r>
              <w:rPr>
                <w:b/>
                <w:noProof/>
                <w:sz w:val="24"/>
                <w:szCs w:val="24"/>
              </w:rPr>
              <w:t>- - -</w:t>
            </w:r>
          </w:p>
        </w:tc>
        <w:tc>
          <w:tcPr>
            <w:tcW w:w="108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w:t>
            </w:r>
          </w:p>
        </w:tc>
      </w:tr>
    </w:tbl>
    <w:p>
      <w:pPr>
        <w:pStyle w:val="Text2"/>
        <w:ind w:left="0"/>
        <w:rPr>
          <w:noProof/>
        </w:rPr>
      </w:pPr>
    </w:p>
    <w:p>
      <w:pPr>
        <w:pStyle w:val="Heading2"/>
        <w:tabs>
          <w:tab w:val="clear" w:pos="1200"/>
          <w:tab w:val="num" w:pos="720"/>
        </w:tabs>
        <w:ind w:left="0" w:firstLine="0"/>
        <w:rPr>
          <w:noProof/>
        </w:rPr>
      </w:pPr>
      <w:bookmarkStart w:id="53" w:name="_Toc507148500"/>
      <w:r>
        <w:rPr>
          <w:noProof/>
        </w:rPr>
        <w:t>Repeated visa procedures</w:t>
      </w:r>
      <w:bookmarkEnd w:id="53"/>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best-rated policy option in the aggregate impact score is </w:t>
      </w:r>
      <w:r>
        <w:rPr>
          <w:rFonts w:ascii="Times New Roman" w:hAnsi="Times New Roman" w:cs="Times New Roman"/>
          <w:b/>
          <w:noProof/>
          <w:sz w:val="24"/>
          <w:szCs w:val="24"/>
        </w:rPr>
        <w:t>option 2D (standard MEV with 2 or 5-year validity)</w:t>
      </w:r>
      <w:r>
        <w:rPr>
          <w:rFonts w:ascii="Times New Roman" w:hAnsi="Times New Roman" w:cs="Times New Roman"/>
          <w:noProof/>
          <w:sz w:val="24"/>
          <w:szCs w:val="24"/>
        </w:rPr>
        <w:t>, followed by options 2C1 (general MEV cascade) and 2C2 (general and country MEV cascades).</w:t>
      </w:r>
    </w:p>
    <w:p>
      <w:pPr>
        <w:pStyle w:val="Text2"/>
        <w:ind w:left="0"/>
        <w:rPr>
          <w:noProof/>
        </w:rPr>
      </w:pPr>
      <w:r>
        <w:rPr>
          <w:noProof/>
          <w:u w:val="single"/>
        </w:rPr>
        <w:t xml:space="preserve">Effectiveness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Option 2D (standard MEV with long validity) clearly would be the most effective in meeting the policy objective of ensuring more systematic and harmonised issuing of multiple-entry visas with long validity to </w:t>
      </w:r>
      <w:r>
        <w:rPr>
          <w:rFonts w:ascii="Times New Roman" w:hAnsi="Times New Roman" w:cs="Times New Roman"/>
          <w:i/>
          <w:noProof/>
          <w:sz w:val="24"/>
          <w:szCs w:val="24"/>
        </w:rPr>
        <w:t>bona fide</w:t>
      </w:r>
      <w:r>
        <w:rPr>
          <w:rFonts w:ascii="Times New Roman" w:hAnsi="Times New Roman" w:cs="Times New Roman"/>
          <w:noProof/>
          <w:sz w:val="24"/>
          <w:szCs w:val="24"/>
        </w:rPr>
        <w:t xml:space="preserve"> regular travellers (+++). It would be followed by the two options (2C1 and 2C2) providing for a "one-size-fits-all" MEV cascade at EU level or a "fall-back" MEV cascade combined with country cascades (both ++) and then option 2C3 providing for MEV cascades country-by country only (+). The non-regulatory option (2B) would not be very effective in meeting the objective (0).</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Proportionality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None of the options seem disproportionate. Option 2D (standard MEV with long validity), though presenting a simple and straightforward solution, would constitute the most radical departure from Member States' current practices and could therefore be seen as going to some extent beyond what is necessary to achieve the objective (-). The options with MEV cascades (2C1, 2C2 and 2C3) correspond to what some Member States already practice and therefore seem to be more proportionate. The possibility to adapt the MEV cascade to a third country's local circumstances (options 2C2 and 2C3) increases flexibility and therefore ensures a higher degree of proportionality (+++) than a MEV cascade that would apply in the same manner worldwide (option 2C1) (+). The non-regulatory option (2B) will have produce little change and are therefore are considered neutral as regards proportionality (0). </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Feasibility and coherence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Option 2D (standard MEV with long validity), though being the most effective, is not coherent with either the current rationale of the Visa Code, the Visa Facilitation Agreements signed with third countries or Member States' practices that all point to a "progressive" increase in the length of validity of visas. While some travel and tourism stakeholders would certainly favour a complete change of practice, mirroring the 10-year visas routinely issued by the United States or Canada, no Member State has advocated it. Its coherence and practical feasibility is therefore judged rather weak (-). Similarly options 2C1, 2C2 and 2C3, which are all variations of the MEV cascade are in line with the approach already used in some VFA and can therefore be assessed as both coherent and feasible in practice (++). The non-regulatory option is of course even more feasible (+++). </w:t>
      </w:r>
    </w:p>
    <w:p>
      <w:pPr>
        <w:jc w:val="both"/>
        <w:rPr>
          <w:rFonts w:ascii="Times New Roman" w:hAnsi="Times New Roman" w:cs="Times New Roman"/>
          <w:noProof/>
          <w:sz w:val="24"/>
          <w:szCs w:val="24"/>
        </w:rPr>
      </w:pPr>
      <w:r>
        <w:rPr>
          <w:rFonts w:ascii="Times New Roman" w:hAnsi="Times New Roman" w:cs="Times New Roman"/>
          <w:noProof/>
          <w:sz w:val="24"/>
          <w:szCs w:val="24"/>
          <w:u w:val="single"/>
        </w:rPr>
        <w:t>Overview</w:t>
      </w:r>
      <w:r>
        <w:rPr>
          <w:rFonts w:ascii="Times New Roman" w:hAnsi="Times New Roman" w:cs="Times New Roman"/>
          <w:noProof/>
          <w:sz w:val="24"/>
          <w:szCs w:val="24"/>
        </w:rPr>
        <w:t xml:space="preserve"> </w:t>
      </w:r>
    </w:p>
    <w:tbl>
      <w:tblPr>
        <w:tblStyle w:val="TableGrid"/>
        <w:tblW w:w="8748" w:type="dxa"/>
        <w:tblLayout w:type="fixed"/>
        <w:tblLook w:val="04A0" w:firstRow="1" w:lastRow="0" w:firstColumn="1" w:lastColumn="0" w:noHBand="0" w:noVBand="1"/>
      </w:tblPr>
      <w:tblGrid>
        <w:gridCol w:w="2988"/>
        <w:gridCol w:w="960"/>
        <w:gridCol w:w="960"/>
        <w:gridCol w:w="960"/>
        <w:gridCol w:w="960"/>
        <w:gridCol w:w="960"/>
        <w:gridCol w:w="960"/>
      </w:tblGrid>
      <w:tr>
        <w:trPr>
          <w:trHeight w:val="144"/>
        </w:trPr>
        <w:tc>
          <w:tcPr>
            <w:tcW w:w="2988" w:type="dxa"/>
            <w:vMerge w:val="restart"/>
          </w:tcPr>
          <w:p>
            <w:pPr>
              <w:jc w:val="center"/>
              <w:rPr>
                <w:b/>
                <w:noProof/>
                <w:sz w:val="24"/>
                <w:szCs w:val="24"/>
              </w:rPr>
            </w:pPr>
            <w:r>
              <w:rPr>
                <w:b/>
                <w:noProof/>
                <w:sz w:val="24"/>
                <w:szCs w:val="24"/>
              </w:rPr>
              <w:t>Impact criteria</w:t>
            </w:r>
          </w:p>
        </w:tc>
        <w:tc>
          <w:tcPr>
            <w:tcW w:w="5760" w:type="dxa"/>
            <w:gridSpan w:val="6"/>
          </w:tcPr>
          <w:p>
            <w:pPr>
              <w:jc w:val="center"/>
              <w:rPr>
                <w:b/>
                <w:noProof/>
                <w:sz w:val="24"/>
                <w:szCs w:val="24"/>
              </w:rPr>
            </w:pPr>
            <w:r>
              <w:rPr>
                <w:b/>
                <w:noProof/>
                <w:sz w:val="24"/>
                <w:szCs w:val="24"/>
              </w:rPr>
              <w:t>Options</w:t>
            </w:r>
          </w:p>
        </w:tc>
      </w:tr>
      <w:tr>
        <w:trPr>
          <w:trHeight w:val="144"/>
        </w:trPr>
        <w:tc>
          <w:tcPr>
            <w:tcW w:w="2988" w:type="dxa"/>
            <w:vMerge/>
          </w:tcPr>
          <w:p>
            <w:pPr>
              <w:jc w:val="center"/>
              <w:rPr>
                <w:b/>
                <w:noProof/>
                <w:sz w:val="24"/>
                <w:szCs w:val="24"/>
              </w:rPr>
            </w:pPr>
          </w:p>
        </w:tc>
        <w:tc>
          <w:tcPr>
            <w:tcW w:w="960" w:type="dxa"/>
          </w:tcPr>
          <w:p>
            <w:pPr>
              <w:jc w:val="center"/>
              <w:rPr>
                <w:b/>
                <w:noProof/>
                <w:sz w:val="24"/>
                <w:szCs w:val="24"/>
              </w:rPr>
            </w:pPr>
            <w:r>
              <w:rPr>
                <w:b/>
                <w:noProof/>
                <w:sz w:val="24"/>
                <w:szCs w:val="24"/>
              </w:rPr>
              <w:t>2A</w:t>
            </w:r>
          </w:p>
        </w:tc>
        <w:tc>
          <w:tcPr>
            <w:tcW w:w="960" w:type="dxa"/>
          </w:tcPr>
          <w:p>
            <w:pPr>
              <w:jc w:val="center"/>
              <w:rPr>
                <w:b/>
                <w:noProof/>
                <w:sz w:val="24"/>
                <w:szCs w:val="24"/>
              </w:rPr>
            </w:pPr>
            <w:r>
              <w:rPr>
                <w:b/>
                <w:noProof/>
                <w:sz w:val="24"/>
                <w:szCs w:val="24"/>
              </w:rPr>
              <w:t>2B</w:t>
            </w:r>
          </w:p>
        </w:tc>
        <w:tc>
          <w:tcPr>
            <w:tcW w:w="960" w:type="dxa"/>
          </w:tcPr>
          <w:p>
            <w:pPr>
              <w:jc w:val="center"/>
              <w:rPr>
                <w:b/>
                <w:noProof/>
                <w:sz w:val="24"/>
                <w:szCs w:val="24"/>
              </w:rPr>
            </w:pPr>
            <w:r>
              <w:rPr>
                <w:b/>
                <w:noProof/>
                <w:sz w:val="24"/>
                <w:szCs w:val="24"/>
              </w:rPr>
              <w:t>2C1</w:t>
            </w:r>
          </w:p>
        </w:tc>
        <w:tc>
          <w:tcPr>
            <w:tcW w:w="960" w:type="dxa"/>
          </w:tcPr>
          <w:p>
            <w:pPr>
              <w:jc w:val="center"/>
              <w:rPr>
                <w:b/>
                <w:noProof/>
                <w:sz w:val="24"/>
                <w:szCs w:val="24"/>
              </w:rPr>
            </w:pPr>
            <w:r>
              <w:rPr>
                <w:b/>
                <w:noProof/>
                <w:sz w:val="24"/>
                <w:szCs w:val="24"/>
              </w:rPr>
              <w:t>2C2</w:t>
            </w:r>
          </w:p>
        </w:tc>
        <w:tc>
          <w:tcPr>
            <w:tcW w:w="960" w:type="dxa"/>
          </w:tcPr>
          <w:p>
            <w:pPr>
              <w:jc w:val="center"/>
              <w:rPr>
                <w:b/>
                <w:noProof/>
                <w:sz w:val="24"/>
                <w:szCs w:val="24"/>
              </w:rPr>
            </w:pPr>
            <w:r>
              <w:rPr>
                <w:b/>
                <w:noProof/>
                <w:sz w:val="24"/>
                <w:szCs w:val="24"/>
              </w:rPr>
              <w:t>2C3</w:t>
            </w:r>
          </w:p>
        </w:tc>
        <w:tc>
          <w:tcPr>
            <w:tcW w:w="960" w:type="dxa"/>
          </w:tcPr>
          <w:p>
            <w:pPr>
              <w:jc w:val="center"/>
              <w:rPr>
                <w:b/>
                <w:noProof/>
                <w:sz w:val="24"/>
                <w:szCs w:val="24"/>
              </w:rPr>
            </w:pPr>
            <w:r>
              <w:rPr>
                <w:b/>
                <w:noProof/>
                <w:sz w:val="24"/>
                <w:szCs w:val="24"/>
              </w:rPr>
              <w:t>2D</w:t>
            </w:r>
          </w:p>
        </w:tc>
      </w:tr>
      <w:tr>
        <w:trPr>
          <w:trHeight w:val="288"/>
        </w:trPr>
        <w:tc>
          <w:tcPr>
            <w:tcW w:w="2988" w:type="dxa"/>
          </w:tcPr>
          <w:p>
            <w:pPr>
              <w:rPr>
                <w:b/>
                <w:noProof/>
                <w:sz w:val="24"/>
                <w:szCs w:val="24"/>
              </w:rPr>
            </w:pPr>
            <w:r>
              <w:rPr>
                <w:b/>
                <w:noProof/>
                <w:sz w:val="24"/>
                <w:szCs w:val="24"/>
              </w:rPr>
              <w:t>Aggregate impact score</w:t>
            </w:r>
          </w:p>
        </w:tc>
        <w:tc>
          <w:tcPr>
            <w:tcW w:w="960" w:type="dxa"/>
          </w:tcPr>
          <w:p>
            <w:pPr>
              <w:rPr>
                <w:b/>
                <w:noProof/>
                <w:sz w:val="24"/>
                <w:szCs w:val="24"/>
              </w:rPr>
            </w:pPr>
            <w:r>
              <w:rPr>
                <w:b/>
                <w:noProof/>
                <w:sz w:val="24"/>
                <w:szCs w:val="24"/>
              </w:rPr>
              <w:t>0</w:t>
            </w:r>
          </w:p>
        </w:tc>
        <w:tc>
          <w:tcPr>
            <w:tcW w:w="960" w:type="dxa"/>
          </w:tcPr>
          <w:p>
            <w:pPr>
              <w:rPr>
                <w:b/>
                <w:noProof/>
                <w:sz w:val="24"/>
                <w:szCs w:val="24"/>
              </w:rPr>
            </w:pPr>
            <w:r>
              <w:rPr>
                <w:b/>
                <w:noProof/>
                <w:sz w:val="24"/>
                <w:szCs w:val="24"/>
              </w:rPr>
              <w:t>+0.8</w:t>
            </w:r>
          </w:p>
        </w:tc>
        <w:tc>
          <w:tcPr>
            <w:tcW w:w="960" w:type="dxa"/>
          </w:tcPr>
          <w:p>
            <w:pPr>
              <w:rPr>
                <w:b/>
                <w:noProof/>
                <w:sz w:val="24"/>
                <w:szCs w:val="24"/>
              </w:rPr>
            </w:pPr>
            <w:r>
              <w:rPr>
                <w:b/>
                <w:noProof/>
                <w:sz w:val="24"/>
                <w:szCs w:val="24"/>
              </w:rPr>
              <w:t>+2.8</w:t>
            </w:r>
          </w:p>
        </w:tc>
        <w:tc>
          <w:tcPr>
            <w:tcW w:w="960" w:type="dxa"/>
          </w:tcPr>
          <w:p>
            <w:pPr>
              <w:rPr>
                <w:b/>
                <w:noProof/>
                <w:sz w:val="24"/>
                <w:szCs w:val="24"/>
              </w:rPr>
            </w:pPr>
            <w:r>
              <w:rPr>
                <w:b/>
                <w:noProof/>
                <w:sz w:val="24"/>
                <w:szCs w:val="24"/>
              </w:rPr>
              <w:t>+2.8</w:t>
            </w:r>
          </w:p>
        </w:tc>
        <w:tc>
          <w:tcPr>
            <w:tcW w:w="960" w:type="dxa"/>
          </w:tcPr>
          <w:p>
            <w:pPr>
              <w:rPr>
                <w:b/>
                <w:noProof/>
                <w:sz w:val="24"/>
                <w:szCs w:val="24"/>
              </w:rPr>
            </w:pPr>
            <w:r>
              <w:rPr>
                <w:b/>
                <w:noProof/>
                <w:sz w:val="24"/>
                <w:szCs w:val="24"/>
              </w:rPr>
              <w:t>+1.8</w:t>
            </w:r>
          </w:p>
        </w:tc>
        <w:tc>
          <w:tcPr>
            <w:tcW w:w="960" w:type="dxa"/>
          </w:tcPr>
          <w:p>
            <w:pPr>
              <w:rPr>
                <w:b/>
                <w:noProof/>
                <w:sz w:val="24"/>
                <w:szCs w:val="24"/>
              </w:rPr>
            </w:pPr>
            <w:r>
              <w:rPr>
                <w:b/>
                <w:noProof/>
                <w:sz w:val="24"/>
                <w:szCs w:val="24"/>
              </w:rPr>
              <w:t>+4.2</w:t>
            </w:r>
          </w:p>
        </w:tc>
      </w:tr>
      <w:tr>
        <w:trPr>
          <w:trHeight w:val="288"/>
        </w:trPr>
        <w:tc>
          <w:tcPr>
            <w:tcW w:w="2988" w:type="dxa"/>
          </w:tcPr>
          <w:p>
            <w:pPr>
              <w:rPr>
                <w:noProof/>
                <w:sz w:val="24"/>
                <w:szCs w:val="24"/>
              </w:rPr>
            </w:pPr>
            <w:r>
              <w:rPr>
                <w:noProof/>
                <w:sz w:val="24"/>
                <w:szCs w:val="24"/>
              </w:rPr>
              <w:t>Effectiveness</w:t>
            </w:r>
          </w:p>
        </w:tc>
        <w:tc>
          <w:tcPr>
            <w:tcW w:w="960" w:type="dxa"/>
          </w:tcPr>
          <w:p>
            <w:pPr>
              <w:rPr>
                <w:b/>
                <w:noProof/>
                <w:sz w:val="24"/>
                <w:szCs w:val="24"/>
              </w:rPr>
            </w:pPr>
            <w:r>
              <w:rPr>
                <w:b/>
                <w:noProof/>
                <w:sz w:val="24"/>
                <w:szCs w:val="24"/>
              </w:rPr>
              <w:t>0</w:t>
            </w:r>
          </w:p>
        </w:tc>
        <w:tc>
          <w:tcPr>
            <w:tcW w:w="960" w:type="dxa"/>
          </w:tcPr>
          <w:p>
            <w:pPr>
              <w:rPr>
                <w:b/>
                <w:noProof/>
                <w:sz w:val="24"/>
                <w:szCs w:val="24"/>
              </w:rPr>
            </w:pPr>
            <w:r>
              <w:rPr>
                <w:b/>
                <w:noProof/>
                <w:sz w:val="24"/>
                <w:szCs w:val="24"/>
              </w:rPr>
              <w:t>0</w:t>
            </w:r>
          </w:p>
        </w:tc>
        <w:tc>
          <w:tcPr>
            <w:tcW w:w="96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w:t>
            </w:r>
          </w:p>
        </w:tc>
      </w:tr>
      <w:tr>
        <w:trPr>
          <w:trHeight w:val="288"/>
        </w:trPr>
        <w:tc>
          <w:tcPr>
            <w:tcW w:w="2988" w:type="dxa"/>
          </w:tcPr>
          <w:p>
            <w:pPr>
              <w:rPr>
                <w:noProof/>
                <w:sz w:val="24"/>
                <w:szCs w:val="24"/>
              </w:rPr>
            </w:pPr>
            <w:r>
              <w:rPr>
                <w:noProof/>
                <w:sz w:val="24"/>
                <w:szCs w:val="24"/>
              </w:rPr>
              <w:t>Proportionality</w:t>
            </w:r>
          </w:p>
        </w:tc>
        <w:tc>
          <w:tcPr>
            <w:tcW w:w="960" w:type="dxa"/>
          </w:tcPr>
          <w:p>
            <w:pPr>
              <w:rPr>
                <w:b/>
                <w:noProof/>
                <w:sz w:val="24"/>
                <w:szCs w:val="24"/>
              </w:rPr>
            </w:pPr>
            <w:r>
              <w:rPr>
                <w:b/>
                <w:noProof/>
                <w:sz w:val="24"/>
                <w:szCs w:val="24"/>
              </w:rPr>
              <w:t>0</w:t>
            </w:r>
          </w:p>
        </w:tc>
        <w:tc>
          <w:tcPr>
            <w:tcW w:w="960" w:type="dxa"/>
          </w:tcPr>
          <w:p>
            <w:pPr>
              <w:rPr>
                <w:b/>
                <w:noProof/>
                <w:sz w:val="24"/>
                <w:szCs w:val="24"/>
              </w:rPr>
            </w:pPr>
            <w:r>
              <w:rPr>
                <w:b/>
                <w:noProof/>
                <w:sz w:val="24"/>
                <w:szCs w:val="24"/>
              </w:rPr>
              <w:t>0</w:t>
            </w:r>
          </w:p>
        </w:tc>
        <w:tc>
          <w:tcPr>
            <w:tcW w:w="960" w:type="dxa"/>
          </w:tcPr>
          <w:p>
            <w:pPr>
              <w:rPr>
                <w:noProof/>
                <w:sz w:val="24"/>
                <w:szCs w:val="24"/>
              </w:rPr>
            </w:pPr>
            <w:r>
              <w:rPr>
                <w:noProof/>
                <w:sz w:val="24"/>
                <w:szCs w:val="24"/>
              </w:rPr>
              <w:t>+</w:t>
            </w:r>
          </w:p>
        </w:tc>
        <w:tc>
          <w:tcPr>
            <w:tcW w:w="960" w:type="dxa"/>
          </w:tcPr>
          <w:p>
            <w:pPr>
              <w:rPr>
                <w:noProof/>
                <w:sz w:val="24"/>
                <w:szCs w:val="24"/>
              </w:rPr>
            </w:pPr>
            <w:r>
              <w:rPr>
                <w:noProof/>
                <w:sz w:val="24"/>
                <w:szCs w:val="24"/>
              </w:rPr>
              <w:t>+++</w:t>
            </w:r>
          </w:p>
        </w:tc>
        <w:tc>
          <w:tcPr>
            <w:tcW w:w="960" w:type="dxa"/>
          </w:tcPr>
          <w:p>
            <w:pPr>
              <w:rPr>
                <w:noProof/>
                <w:sz w:val="24"/>
                <w:szCs w:val="24"/>
              </w:rPr>
            </w:pPr>
            <w:r>
              <w:rPr>
                <w:noProof/>
                <w:sz w:val="24"/>
                <w:szCs w:val="24"/>
              </w:rPr>
              <w:t>+++</w:t>
            </w:r>
          </w:p>
        </w:tc>
        <w:tc>
          <w:tcPr>
            <w:tcW w:w="960" w:type="dxa"/>
          </w:tcPr>
          <w:p>
            <w:pPr>
              <w:rPr>
                <w:b/>
                <w:noProof/>
                <w:sz w:val="24"/>
                <w:szCs w:val="24"/>
              </w:rPr>
            </w:pPr>
            <w:r>
              <w:rPr>
                <w:b/>
                <w:noProof/>
                <w:sz w:val="24"/>
                <w:szCs w:val="24"/>
              </w:rPr>
              <w:t>-</w:t>
            </w:r>
          </w:p>
        </w:tc>
      </w:tr>
      <w:tr>
        <w:trPr>
          <w:trHeight w:val="288"/>
        </w:trPr>
        <w:tc>
          <w:tcPr>
            <w:tcW w:w="2988" w:type="dxa"/>
          </w:tcPr>
          <w:p>
            <w:pPr>
              <w:rPr>
                <w:noProof/>
                <w:sz w:val="24"/>
                <w:szCs w:val="24"/>
              </w:rPr>
            </w:pPr>
            <w:r>
              <w:rPr>
                <w:noProof/>
                <w:sz w:val="24"/>
                <w:szCs w:val="24"/>
              </w:rPr>
              <w:t>Feasibility / coherence</w:t>
            </w:r>
          </w:p>
        </w:tc>
        <w:tc>
          <w:tcPr>
            <w:tcW w:w="960" w:type="dxa"/>
          </w:tcPr>
          <w:p>
            <w:pPr>
              <w:rPr>
                <w:b/>
                <w:noProof/>
                <w:sz w:val="24"/>
                <w:szCs w:val="24"/>
              </w:rPr>
            </w:pPr>
            <w:r>
              <w:rPr>
                <w:b/>
                <w:noProof/>
                <w:sz w:val="24"/>
                <w:szCs w:val="24"/>
              </w:rPr>
              <w:t>0</w:t>
            </w:r>
          </w:p>
        </w:tc>
        <w:tc>
          <w:tcPr>
            <w:tcW w:w="96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w:t>
            </w:r>
          </w:p>
        </w:tc>
        <w:tc>
          <w:tcPr>
            <w:tcW w:w="960" w:type="dxa"/>
          </w:tcPr>
          <w:p>
            <w:pPr>
              <w:rPr>
                <w:b/>
                <w:noProof/>
                <w:sz w:val="24"/>
                <w:szCs w:val="24"/>
              </w:rPr>
            </w:pPr>
            <w:r>
              <w:rPr>
                <w:b/>
                <w:noProof/>
                <w:sz w:val="24"/>
                <w:szCs w:val="24"/>
              </w:rPr>
              <w:t xml:space="preserve">-  </w:t>
            </w:r>
          </w:p>
        </w:tc>
      </w:tr>
    </w:tbl>
    <w:p>
      <w:pPr>
        <w:pStyle w:val="Text2"/>
        <w:ind w:left="0"/>
        <w:rPr>
          <w:noProof/>
        </w:rPr>
      </w:pPr>
    </w:p>
    <w:p>
      <w:pPr>
        <w:pStyle w:val="Heading2"/>
        <w:tabs>
          <w:tab w:val="clear" w:pos="1200"/>
          <w:tab w:val="num" w:pos="720"/>
        </w:tabs>
        <w:ind w:left="0" w:firstLine="0"/>
        <w:rPr>
          <w:noProof/>
        </w:rPr>
      </w:pPr>
      <w:bookmarkStart w:id="54" w:name="_Toc507148501"/>
      <w:r>
        <w:rPr>
          <w:noProof/>
        </w:rPr>
        <w:t>Return of irregular migrants</w:t>
      </w:r>
      <w:bookmarkEnd w:id="54"/>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best-rated policy option in the aggregate impact score is </w:t>
      </w:r>
      <w:r>
        <w:rPr>
          <w:rFonts w:ascii="Times New Roman" w:hAnsi="Times New Roman" w:cs="Times New Roman"/>
          <w:b/>
          <w:noProof/>
          <w:sz w:val="24"/>
          <w:szCs w:val="24"/>
        </w:rPr>
        <w:t>option 3C2 (negative incentives, targeted approach)</w:t>
      </w:r>
      <w:r>
        <w:rPr>
          <w:rFonts w:ascii="Times New Roman" w:hAnsi="Times New Roman" w:cs="Times New Roman"/>
          <w:noProof/>
          <w:sz w:val="24"/>
          <w:szCs w:val="24"/>
        </w:rPr>
        <w:t>, followed by options 3C1 (negative incentives, maximum approach).</w:t>
      </w:r>
    </w:p>
    <w:p>
      <w:pPr>
        <w:pStyle w:val="Text2"/>
        <w:ind w:left="0"/>
        <w:rPr>
          <w:noProof/>
        </w:rPr>
      </w:pPr>
      <w:r>
        <w:rPr>
          <w:noProof/>
          <w:u w:val="single"/>
        </w:rPr>
        <w:t xml:space="preserve">Effectiveness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the current 'toolbox approach' (status quo) has had some merit in bringing the first targeted third country to cooperate better with Member States on readmission, it might quickly show its limitations when Member States will be required to apply the measures. The Visa Code currently imposes strict limits regarding the margin of manoeuvre of Member States, thus limiting the effectiveness of the mechanism (0). As argued above, the positive incentives might not only have little effect, but might even be counterproductive in reaching the policy objective (-). The negative incentives are likely to be the most effective approach, albeit only in combination with other measures in development cooperation or trade (++). </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Proportionality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the positive incentives would not go beyond what is necessary to achieve the objective and therefore respect the principle of proportionality (+), the policy option 3C2 with its gradual and targeted approach (targeting government officials first, as they are responsible for the country's policy on readmission, while keeping negative sanctions for the country's general population as the </w:t>
      </w:r>
      <w:r>
        <w:rPr>
          <w:rFonts w:ascii="Times New Roman" w:hAnsi="Times New Roman" w:cs="Times New Roman"/>
          <w:i/>
          <w:noProof/>
          <w:sz w:val="24"/>
          <w:szCs w:val="24"/>
        </w:rPr>
        <w:t>ultima ratio</w:t>
      </w:r>
      <w:r>
        <w:rPr>
          <w:rFonts w:ascii="Times New Roman" w:hAnsi="Times New Roman" w:cs="Times New Roman"/>
          <w:noProof/>
          <w:sz w:val="24"/>
          <w:szCs w:val="24"/>
        </w:rPr>
        <w:t>) is best adapted to the objective and therefore ranks best in terms of proportionality (++). The maximum negative incentives that would immediately hit the entire population of the third country would seem to go beyond what is necessary (--).</w:t>
      </w:r>
    </w:p>
    <w:p>
      <w:pPr>
        <w:jc w:val="both"/>
        <w:rPr>
          <w:rFonts w:ascii="Times New Roman" w:hAnsi="Times New Roman" w:cs="Times New Roman"/>
          <w:noProof/>
          <w:sz w:val="24"/>
          <w:szCs w:val="24"/>
          <w:u w:val="single"/>
        </w:rPr>
      </w:pPr>
    </w:p>
    <w:p>
      <w:pPr>
        <w:jc w:val="both"/>
        <w:rPr>
          <w:rFonts w:ascii="Times New Roman" w:hAnsi="Times New Roman" w:cs="Times New Roman"/>
          <w:noProof/>
          <w:sz w:val="24"/>
          <w:szCs w:val="24"/>
          <w:u w:val="single"/>
        </w:rPr>
      </w:pP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Feasibility and coherence</w:t>
      </w:r>
    </w:p>
    <w:p>
      <w:pPr>
        <w:jc w:val="both"/>
        <w:rPr>
          <w:rFonts w:ascii="Times New Roman" w:hAnsi="Times New Roman" w:cs="Times New Roman"/>
          <w:noProof/>
          <w:sz w:val="24"/>
          <w:szCs w:val="24"/>
        </w:rPr>
      </w:pPr>
      <w:r>
        <w:rPr>
          <w:rFonts w:ascii="Times New Roman" w:hAnsi="Times New Roman" w:cs="Times New Roman"/>
          <w:noProof/>
          <w:sz w:val="24"/>
          <w:szCs w:val="24"/>
        </w:rPr>
        <w:t>While both the positive and negative incentives appear feasible and coherent (+), the 'targeted' negative incentives – due to the gradual approach – are most likely to be implemented and thus work in practice (++).</w:t>
      </w:r>
    </w:p>
    <w:p>
      <w:pPr>
        <w:rPr>
          <w:rFonts w:ascii="Times New Roman" w:hAnsi="Times New Roman" w:cs="Times New Roman"/>
          <w:noProof/>
          <w:sz w:val="24"/>
          <w:szCs w:val="24"/>
        </w:rPr>
      </w:pPr>
      <w:r>
        <w:rPr>
          <w:rFonts w:ascii="Times New Roman" w:hAnsi="Times New Roman" w:cs="Times New Roman"/>
          <w:noProof/>
          <w:sz w:val="24"/>
          <w:szCs w:val="24"/>
          <w:u w:val="single"/>
        </w:rPr>
        <w:t>Overview</w:t>
      </w:r>
      <w:r>
        <w:rPr>
          <w:rFonts w:ascii="Times New Roman" w:hAnsi="Times New Roman" w:cs="Times New Roman"/>
          <w:noProof/>
          <w:sz w:val="24"/>
          <w:szCs w:val="24"/>
        </w:rPr>
        <w:t xml:space="preserve"> </w:t>
      </w:r>
    </w:p>
    <w:tbl>
      <w:tblPr>
        <w:tblStyle w:val="TableGrid"/>
        <w:tblW w:w="8748" w:type="dxa"/>
        <w:tblLayout w:type="fixed"/>
        <w:tblLook w:val="04A0" w:firstRow="1" w:lastRow="0" w:firstColumn="1" w:lastColumn="0" w:noHBand="0" w:noVBand="1"/>
      </w:tblPr>
      <w:tblGrid>
        <w:gridCol w:w="3828"/>
        <w:gridCol w:w="1200"/>
        <w:gridCol w:w="1200"/>
        <w:gridCol w:w="1200"/>
        <w:gridCol w:w="1320"/>
      </w:tblGrid>
      <w:tr>
        <w:trPr>
          <w:trHeight w:val="144"/>
        </w:trPr>
        <w:tc>
          <w:tcPr>
            <w:tcW w:w="3828" w:type="dxa"/>
            <w:vMerge w:val="restart"/>
          </w:tcPr>
          <w:p>
            <w:pPr>
              <w:jc w:val="center"/>
              <w:rPr>
                <w:b/>
                <w:noProof/>
                <w:sz w:val="24"/>
                <w:szCs w:val="24"/>
              </w:rPr>
            </w:pPr>
            <w:r>
              <w:rPr>
                <w:b/>
                <w:noProof/>
                <w:sz w:val="24"/>
                <w:szCs w:val="24"/>
              </w:rPr>
              <w:t>Impact criteria</w:t>
            </w:r>
          </w:p>
        </w:tc>
        <w:tc>
          <w:tcPr>
            <w:tcW w:w="4920" w:type="dxa"/>
            <w:gridSpan w:val="4"/>
          </w:tcPr>
          <w:p>
            <w:pPr>
              <w:jc w:val="center"/>
              <w:rPr>
                <w:b/>
                <w:noProof/>
                <w:sz w:val="24"/>
                <w:szCs w:val="24"/>
              </w:rPr>
            </w:pPr>
            <w:r>
              <w:rPr>
                <w:b/>
                <w:noProof/>
                <w:sz w:val="24"/>
                <w:szCs w:val="24"/>
              </w:rPr>
              <w:t>Options</w:t>
            </w:r>
          </w:p>
        </w:tc>
      </w:tr>
      <w:tr>
        <w:trPr>
          <w:trHeight w:val="144"/>
        </w:trPr>
        <w:tc>
          <w:tcPr>
            <w:tcW w:w="3828" w:type="dxa"/>
            <w:vMerge/>
          </w:tcPr>
          <w:p>
            <w:pPr>
              <w:jc w:val="center"/>
              <w:rPr>
                <w:b/>
                <w:noProof/>
                <w:sz w:val="24"/>
                <w:szCs w:val="24"/>
              </w:rPr>
            </w:pPr>
          </w:p>
        </w:tc>
        <w:tc>
          <w:tcPr>
            <w:tcW w:w="1200" w:type="dxa"/>
          </w:tcPr>
          <w:p>
            <w:pPr>
              <w:jc w:val="center"/>
              <w:rPr>
                <w:b/>
                <w:noProof/>
                <w:sz w:val="24"/>
                <w:szCs w:val="24"/>
              </w:rPr>
            </w:pPr>
            <w:r>
              <w:rPr>
                <w:b/>
                <w:noProof/>
                <w:sz w:val="24"/>
                <w:szCs w:val="24"/>
              </w:rPr>
              <w:t>3A</w:t>
            </w:r>
          </w:p>
        </w:tc>
        <w:tc>
          <w:tcPr>
            <w:tcW w:w="1200" w:type="dxa"/>
          </w:tcPr>
          <w:p>
            <w:pPr>
              <w:jc w:val="center"/>
              <w:rPr>
                <w:b/>
                <w:noProof/>
                <w:sz w:val="24"/>
                <w:szCs w:val="24"/>
              </w:rPr>
            </w:pPr>
            <w:r>
              <w:rPr>
                <w:b/>
                <w:noProof/>
                <w:sz w:val="24"/>
                <w:szCs w:val="24"/>
              </w:rPr>
              <w:t>3B</w:t>
            </w:r>
          </w:p>
        </w:tc>
        <w:tc>
          <w:tcPr>
            <w:tcW w:w="1200" w:type="dxa"/>
          </w:tcPr>
          <w:p>
            <w:pPr>
              <w:jc w:val="center"/>
              <w:rPr>
                <w:b/>
                <w:noProof/>
                <w:sz w:val="24"/>
                <w:szCs w:val="24"/>
              </w:rPr>
            </w:pPr>
            <w:r>
              <w:rPr>
                <w:b/>
                <w:noProof/>
                <w:sz w:val="24"/>
                <w:szCs w:val="24"/>
              </w:rPr>
              <w:t>3C1</w:t>
            </w:r>
          </w:p>
        </w:tc>
        <w:tc>
          <w:tcPr>
            <w:tcW w:w="1320" w:type="dxa"/>
          </w:tcPr>
          <w:p>
            <w:pPr>
              <w:jc w:val="center"/>
              <w:rPr>
                <w:b/>
                <w:noProof/>
                <w:sz w:val="24"/>
                <w:szCs w:val="24"/>
              </w:rPr>
            </w:pPr>
            <w:r>
              <w:rPr>
                <w:b/>
                <w:noProof/>
                <w:sz w:val="24"/>
                <w:szCs w:val="24"/>
              </w:rPr>
              <w:t>3C2</w:t>
            </w:r>
          </w:p>
        </w:tc>
      </w:tr>
      <w:tr>
        <w:trPr>
          <w:trHeight w:val="288"/>
        </w:trPr>
        <w:tc>
          <w:tcPr>
            <w:tcW w:w="3828" w:type="dxa"/>
          </w:tcPr>
          <w:p>
            <w:pPr>
              <w:rPr>
                <w:b/>
                <w:noProof/>
                <w:sz w:val="24"/>
                <w:szCs w:val="24"/>
              </w:rPr>
            </w:pPr>
            <w:r>
              <w:rPr>
                <w:b/>
                <w:noProof/>
                <w:sz w:val="24"/>
                <w:szCs w:val="24"/>
              </w:rPr>
              <w:t>Aggregate impact score</w:t>
            </w:r>
          </w:p>
        </w:tc>
        <w:tc>
          <w:tcPr>
            <w:tcW w:w="1200" w:type="dxa"/>
          </w:tcPr>
          <w:p>
            <w:pPr>
              <w:jc w:val="center"/>
              <w:rPr>
                <w:b/>
                <w:noProof/>
                <w:sz w:val="24"/>
                <w:szCs w:val="24"/>
              </w:rPr>
            </w:pPr>
            <w:r>
              <w:rPr>
                <w:b/>
                <w:noProof/>
                <w:sz w:val="24"/>
                <w:szCs w:val="24"/>
              </w:rPr>
              <w:t>0</w:t>
            </w:r>
          </w:p>
        </w:tc>
        <w:tc>
          <w:tcPr>
            <w:tcW w:w="1200" w:type="dxa"/>
          </w:tcPr>
          <w:p>
            <w:pPr>
              <w:jc w:val="center"/>
              <w:rPr>
                <w:b/>
                <w:noProof/>
                <w:sz w:val="24"/>
                <w:szCs w:val="24"/>
              </w:rPr>
            </w:pPr>
            <w:r>
              <w:rPr>
                <w:b/>
                <w:noProof/>
                <w:sz w:val="24"/>
                <w:szCs w:val="24"/>
              </w:rPr>
              <w:t>0</w:t>
            </w:r>
          </w:p>
        </w:tc>
        <w:tc>
          <w:tcPr>
            <w:tcW w:w="1200" w:type="dxa"/>
          </w:tcPr>
          <w:p>
            <w:pPr>
              <w:jc w:val="center"/>
              <w:rPr>
                <w:b/>
                <w:noProof/>
                <w:sz w:val="24"/>
                <w:szCs w:val="24"/>
              </w:rPr>
            </w:pPr>
            <w:r>
              <w:rPr>
                <w:b/>
                <w:noProof/>
                <w:sz w:val="24"/>
                <w:szCs w:val="24"/>
              </w:rPr>
              <w:t>+0.5</w:t>
            </w:r>
          </w:p>
        </w:tc>
        <w:tc>
          <w:tcPr>
            <w:tcW w:w="1320" w:type="dxa"/>
          </w:tcPr>
          <w:p>
            <w:pPr>
              <w:jc w:val="center"/>
              <w:rPr>
                <w:b/>
                <w:noProof/>
                <w:sz w:val="24"/>
                <w:szCs w:val="24"/>
              </w:rPr>
            </w:pPr>
            <w:r>
              <w:rPr>
                <w:b/>
                <w:noProof/>
                <w:sz w:val="24"/>
                <w:szCs w:val="24"/>
              </w:rPr>
              <w:t>+0.8</w:t>
            </w:r>
          </w:p>
        </w:tc>
      </w:tr>
      <w:tr>
        <w:trPr>
          <w:trHeight w:val="264"/>
        </w:trPr>
        <w:tc>
          <w:tcPr>
            <w:tcW w:w="3828" w:type="dxa"/>
          </w:tcPr>
          <w:p>
            <w:pPr>
              <w:rPr>
                <w:noProof/>
                <w:sz w:val="24"/>
                <w:szCs w:val="24"/>
              </w:rPr>
            </w:pPr>
            <w:r>
              <w:rPr>
                <w:noProof/>
                <w:sz w:val="24"/>
                <w:szCs w:val="24"/>
              </w:rPr>
              <w:t>Effectiveness</w:t>
            </w:r>
          </w:p>
        </w:tc>
        <w:tc>
          <w:tcPr>
            <w:tcW w:w="1200" w:type="dxa"/>
          </w:tcPr>
          <w:p>
            <w:pPr>
              <w:jc w:val="center"/>
              <w:rPr>
                <w:b/>
                <w:noProof/>
                <w:sz w:val="24"/>
                <w:szCs w:val="24"/>
              </w:rPr>
            </w:pPr>
            <w:r>
              <w:rPr>
                <w:b/>
                <w:noProof/>
                <w:sz w:val="24"/>
                <w:szCs w:val="24"/>
              </w:rPr>
              <w:t>0</w:t>
            </w:r>
          </w:p>
        </w:tc>
        <w:tc>
          <w:tcPr>
            <w:tcW w:w="1200" w:type="dxa"/>
          </w:tcPr>
          <w:p>
            <w:pPr>
              <w:jc w:val="center"/>
              <w:rPr>
                <w:b/>
                <w:noProof/>
                <w:sz w:val="24"/>
                <w:szCs w:val="24"/>
              </w:rPr>
            </w:pPr>
            <w:r>
              <w:rPr>
                <w:b/>
                <w:noProof/>
                <w:sz w:val="24"/>
                <w:szCs w:val="24"/>
              </w:rPr>
              <w:t>-</w:t>
            </w:r>
          </w:p>
        </w:tc>
        <w:tc>
          <w:tcPr>
            <w:tcW w:w="1200" w:type="dxa"/>
          </w:tcPr>
          <w:p>
            <w:pPr>
              <w:jc w:val="center"/>
              <w:rPr>
                <w:b/>
                <w:noProof/>
                <w:sz w:val="24"/>
                <w:szCs w:val="24"/>
              </w:rPr>
            </w:pPr>
            <w:r>
              <w:rPr>
                <w:b/>
                <w:noProof/>
                <w:sz w:val="24"/>
                <w:szCs w:val="24"/>
              </w:rPr>
              <w:t>++</w:t>
            </w:r>
          </w:p>
        </w:tc>
        <w:tc>
          <w:tcPr>
            <w:tcW w:w="1320" w:type="dxa"/>
          </w:tcPr>
          <w:p>
            <w:pPr>
              <w:jc w:val="center"/>
              <w:rPr>
                <w:b/>
                <w:noProof/>
                <w:sz w:val="24"/>
                <w:szCs w:val="24"/>
              </w:rPr>
            </w:pPr>
            <w:r>
              <w:rPr>
                <w:b/>
                <w:noProof/>
                <w:sz w:val="24"/>
                <w:szCs w:val="24"/>
              </w:rPr>
              <w:t>++</w:t>
            </w:r>
          </w:p>
        </w:tc>
      </w:tr>
      <w:tr>
        <w:trPr>
          <w:trHeight w:val="276"/>
        </w:trPr>
        <w:tc>
          <w:tcPr>
            <w:tcW w:w="3828" w:type="dxa"/>
          </w:tcPr>
          <w:p>
            <w:pPr>
              <w:rPr>
                <w:noProof/>
                <w:sz w:val="24"/>
                <w:szCs w:val="24"/>
              </w:rPr>
            </w:pPr>
            <w:r>
              <w:rPr>
                <w:noProof/>
                <w:sz w:val="24"/>
                <w:szCs w:val="24"/>
              </w:rPr>
              <w:t>Proportionality</w:t>
            </w:r>
          </w:p>
        </w:tc>
        <w:tc>
          <w:tcPr>
            <w:tcW w:w="1200" w:type="dxa"/>
          </w:tcPr>
          <w:p>
            <w:pPr>
              <w:jc w:val="center"/>
              <w:rPr>
                <w:b/>
                <w:noProof/>
                <w:sz w:val="24"/>
                <w:szCs w:val="24"/>
              </w:rPr>
            </w:pPr>
            <w:r>
              <w:rPr>
                <w:b/>
                <w:noProof/>
                <w:sz w:val="24"/>
                <w:szCs w:val="24"/>
              </w:rPr>
              <w:t>0</w:t>
            </w:r>
          </w:p>
        </w:tc>
        <w:tc>
          <w:tcPr>
            <w:tcW w:w="1200" w:type="dxa"/>
          </w:tcPr>
          <w:p>
            <w:pPr>
              <w:jc w:val="center"/>
              <w:rPr>
                <w:b/>
                <w:noProof/>
                <w:sz w:val="24"/>
                <w:szCs w:val="24"/>
              </w:rPr>
            </w:pPr>
            <w:r>
              <w:rPr>
                <w:b/>
                <w:noProof/>
                <w:sz w:val="24"/>
                <w:szCs w:val="24"/>
              </w:rPr>
              <w:t>+</w:t>
            </w:r>
          </w:p>
        </w:tc>
        <w:tc>
          <w:tcPr>
            <w:tcW w:w="1200" w:type="dxa"/>
          </w:tcPr>
          <w:p>
            <w:pPr>
              <w:jc w:val="center"/>
              <w:rPr>
                <w:b/>
                <w:noProof/>
                <w:sz w:val="24"/>
                <w:szCs w:val="24"/>
              </w:rPr>
            </w:pPr>
            <w:r>
              <w:rPr>
                <w:b/>
                <w:noProof/>
                <w:sz w:val="24"/>
                <w:szCs w:val="24"/>
              </w:rPr>
              <w:t>- -</w:t>
            </w:r>
          </w:p>
        </w:tc>
        <w:tc>
          <w:tcPr>
            <w:tcW w:w="1320" w:type="dxa"/>
          </w:tcPr>
          <w:p>
            <w:pPr>
              <w:jc w:val="center"/>
              <w:rPr>
                <w:b/>
                <w:noProof/>
                <w:sz w:val="24"/>
                <w:szCs w:val="24"/>
              </w:rPr>
            </w:pPr>
            <w:r>
              <w:rPr>
                <w:b/>
                <w:noProof/>
                <w:sz w:val="24"/>
                <w:szCs w:val="24"/>
              </w:rPr>
              <w:t>++</w:t>
            </w:r>
          </w:p>
        </w:tc>
      </w:tr>
      <w:tr>
        <w:trPr>
          <w:trHeight w:val="276"/>
        </w:trPr>
        <w:tc>
          <w:tcPr>
            <w:tcW w:w="3828" w:type="dxa"/>
          </w:tcPr>
          <w:p>
            <w:pPr>
              <w:rPr>
                <w:noProof/>
                <w:sz w:val="24"/>
                <w:szCs w:val="24"/>
              </w:rPr>
            </w:pPr>
            <w:r>
              <w:rPr>
                <w:noProof/>
                <w:sz w:val="24"/>
                <w:szCs w:val="24"/>
              </w:rPr>
              <w:t>Feasibility / coherence</w:t>
            </w:r>
          </w:p>
        </w:tc>
        <w:tc>
          <w:tcPr>
            <w:tcW w:w="1200" w:type="dxa"/>
          </w:tcPr>
          <w:p>
            <w:pPr>
              <w:jc w:val="center"/>
              <w:rPr>
                <w:b/>
                <w:noProof/>
                <w:sz w:val="24"/>
                <w:szCs w:val="24"/>
              </w:rPr>
            </w:pPr>
            <w:r>
              <w:rPr>
                <w:b/>
                <w:noProof/>
                <w:sz w:val="24"/>
                <w:szCs w:val="24"/>
              </w:rPr>
              <w:t>0</w:t>
            </w:r>
          </w:p>
        </w:tc>
        <w:tc>
          <w:tcPr>
            <w:tcW w:w="1200" w:type="dxa"/>
          </w:tcPr>
          <w:p>
            <w:pPr>
              <w:jc w:val="center"/>
              <w:rPr>
                <w:b/>
                <w:noProof/>
                <w:sz w:val="24"/>
                <w:szCs w:val="24"/>
              </w:rPr>
            </w:pPr>
            <w:r>
              <w:rPr>
                <w:b/>
                <w:noProof/>
                <w:sz w:val="24"/>
                <w:szCs w:val="24"/>
              </w:rPr>
              <w:t>+</w:t>
            </w:r>
          </w:p>
        </w:tc>
        <w:tc>
          <w:tcPr>
            <w:tcW w:w="1200" w:type="dxa"/>
          </w:tcPr>
          <w:p>
            <w:pPr>
              <w:jc w:val="center"/>
              <w:rPr>
                <w:b/>
                <w:noProof/>
                <w:sz w:val="24"/>
                <w:szCs w:val="24"/>
              </w:rPr>
            </w:pPr>
            <w:r>
              <w:rPr>
                <w:b/>
                <w:noProof/>
                <w:sz w:val="24"/>
                <w:szCs w:val="24"/>
              </w:rPr>
              <w:t>+</w:t>
            </w:r>
          </w:p>
        </w:tc>
        <w:tc>
          <w:tcPr>
            <w:tcW w:w="1320" w:type="dxa"/>
          </w:tcPr>
          <w:p>
            <w:pPr>
              <w:jc w:val="center"/>
              <w:rPr>
                <w:b/>
                <w:noProof/>
                <w:sz w:val="24"/>
                <w:szCs w:val="24"/>
              </w:rPr>
            </w:pPr>
            <w:r>
              <w:rPr>
                <w:b/>
                <w:noProof/>
                <w:sz w:val="24"/>
                <w:szCs w:val="24"/>
              </w:rPr>
              <w:t>++</w:t>
            </w:r>
          </w:p>
        </w:tc>
      </w:tr>
    </w:tbl>
    <w:p>
      <w:pPr>
        <w:rPr>
          <w:rFonts w:ascii="Times New Roman" w:hAnsi="Times New Roman" w:cs="Times New Roman"/>
          <w:noProof/>
          <w:sz w:val="24"/>
          <w:szCs w:val="24"/>
        </w:rPr>
      </w:pPr>
    </w:p>
    <w:p>
      <w:pPr>
        <w:pStyle w:val="Heading1"/>
        <w:tabs>
          <w:tab w:val="clear" w:pos="480"/>
        </w:tabs>
        <w:ind w:left="0" w:firstLine="0"/>
        <w:rPr>
          <w:noProof/>
        </w:rPr>
      </w:pPr>
      <w:bookmarkStart w:id="55" w:name="_Toc507148502"/>
      <w:r>
        <w:rPr>
          <w:noProof/>
        </w:rPr>
        <w:t>Preferred options</w:t>
      </w:r>
      <w:bookmarkEnd w:id="55"/>
    </w:p>
    <w:p>
      <w:pPr>
        <w:pStyle w:val="Heading2"/>
        <w:tabs>
          <w:tab w:val="clear" w:pos="1200"/>
          <w:tab w:val="num" w:pos="720"/>
        </w:tabs>
        <w:ind w:left="0" w:firstLine="0"/>
        <w:rPr>
          <w:noProof/>
        </w:rPr>
      </w:pPr>
      <w:bookmarkStart w:id="56" w:name="_Toc507148503"/>
      <w:r>
        <w:rPr>
          <w:noProof/>
        </w:rPr>
        <w:t>Insufficient financial resources</w:t>
      </w:r>
      <w:bookmarkEnd w:id="56"/>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preferred option is </w:t>
      </w:r>
      <w:r>
        <w:rPr>
          <w:rFonts w:ascii="Times New Roman" w:hAnsi="Times New Roman" w:cs="Times New Roman"/>
          <w:b/>
          <w:noProof/>
          <w:sz w:val="24"/>
          <w:szCs w:val="24"/>
        </w:rPr>
        <w:t>option 1C1</w:t>
      </w:r>
      <w:r>
        <w:rPr>
          <w:rFonts w:ascii="Times New Roman" w:hAnsi="Times New Roman" w:cs="Times New Roman"/>
          <w:noProof/>
          <w:sz w:val="24"/>
          <w:szCs w:val="24"/>
        </w:rPr>
        <w:t xml:space="preserve"> (common visa fee at EUR 80). It is not the most effective option, as higher fee increases would obviously generate higher financial resources. However, it will lead to a sound increase of revenues (+26%), while not being a deterrent for the overwhelming majority of visa applicants, for whom an increase of the fee by EUR 20 will not be a decisive factor, compared with the price of airline tickets to Europe and other costs involved in travel. In international comparison the fee would remain relatively low and therefore competitive. Moreover, combined with a mechanism to increase the fee on a two-yearly basis (for instance by the inflation rate), this option presents a solution that will not need to be revisited in the near to medium future. </w:t>
      </w:r>
    </w:p>
    <w:p>
      <w:pPr>
        <w:pStyle w:val="Heading2"/>
        <w:tabs>
          <w:tab w:val="clear" w:pos="1200"/>
          <w:tab w:val="num" w:pos="720"/>
        </w:tabs>
        <w:ind w:left="0" w:firstLine="0"/>
        <w:rPr>
          <w:noProof/>
        </w:rPr>
      </w:pPr>
      <w:bookmarkStart w:id="57" w:name="_Toc507148504"/>
      <w:r>
        <w:rPr>
          <w:noProof/>
        </w:rPr>
        <w:t>Repeated visa procedures</w:t>
      </w:r>
      <w:bookmarkEnd w:id="57"/>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preferred option is </w:t>
      </w:r>
      <w:r>
        <w:rPr>
          <w:rFonts w:ascii="Times New Roman" w:hAnsi="Times New Roman" w:cs="Times New Roman"/>
          <w:b/>
          <w:noProof/>
          <w:sz w:val="24"/>
          <w:szCs w:val="24"/>
        </w:rPr>
        <w:t>option 2C2</w:t>
      </w:r>
      <w:r>
        <w:rPr>
          <w:rFonts w:ascii="Times New Roman" w:hAnsi="Times New Roman" w:cs="Times New Roman"/>
          <w:noProof/>
          <w:sz w:val="24"/>
          <w:szCs w:val="24"/>
        </w:rPr>
        <w:t xml:space="preserve"> (less generous "one-size-fits-all" MEV cascade at EU level and the possibility of more favourable cascades for specific countries, limited to countries cooperating on readmission). Though not the most effective option (as any option that would prescribe long-validity MEV as the standard visa to be issued), it will achieve to a great extent the objective of increasing the number of long-validity MEV issued. It further combines a minimum standard applicable to all third countries with the possibility of more favourable solutions for specific third countries, adapted to local circumstances and migratory risk. The more favourable MEV cascades for specific countries would take time to be defined and agreed. This option therefore combines the advantages of options 2C1 and 2C3. </w:t>
      </w:r>
    </w:p>
    <w:p>
      <w:pPr>
        <w:pStyle w:val="Heading2"/>
        <w:tabs>
          <w:tab w:val="clear" w:pos="1200"/>
          <w:tab w:val="num" w:pos="720"/>
        </w:tabs>
        <w:ind w:left="0" w:firstLine="0"/>
        <w:rPr>
          <w:noProof/>
        </w:rPr>
      </w:pPr>
      <w:bookmarkStart w:id="58" w:name="_Toc507148505"/>
      <w:r>
        <w:rPr>
          <w:noProof/>
        </w:rPr>
        <w:t>Return of irregular migrants</w:t>
      </w:r>
      <w:bookmarkEnd w:id="58"/>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preferred option is </w:t>
      </w:r>
      <w:r>
        <w:rPr>
          <w:rFonts w:ascii="Times New Roman" w:hAnsi="Times New Roman" w:cs="Times New Roman"/>
          <w:b/>
          <w:noProof/>
          <w:sz w:val="24"/>
          <w:szCs w:val="24"/>
        </w:rPr>
        <w:t>option 3C2</w:t>
      </w:r>
      <w:r>
        <w:rPr>
          <w:rFonts w:ascii="Times New Roman" w:hAnsi="Times New Roman" w:cs="Times New Roman"/>
          <w:noProof/>
          <w:sz w:val="24"/>
          <w:szCs w:val="24"/>
        </w:rPr>
        <w:t xml:space="preserve"> (targeted negative incentives). Negative measures in the visa area are likely to be the most effective in bringing change in third country governments towards cooperation with Member States on readmission of irregular migrants, even though they might need to be combined with measures in other policy areas (e.g. development cooperation, trade) to be fully successful. At the same time the gradual approach – targeting at first the government officials of the country concerned before aiming, as the </w:t>
      </w:r>
      <w:r>
        <w:rPr>
          <w:rFonts w:ascii="Times New Roman" w:hAnsi="Times New Roman" w:cs="Times New Roman"/>
          <w:i/>
          <w:noProof/>
          <w:sz w:val="24"/>
          <w:szCs w:val="24"/>
        </w:rPr>
        <w:t>ultima ratio</w:t>
      </w:r>
      <w:r>
        <w:rPr>
          <w:rFonts w:ascii="Times New Roman" w:hAnsi="Times New Roman" w:cs="Times New Roman"/>
          <w:noProof/>
          <w:sz w:val="24"/>
          <w:szCs w:val="24"/>
        </w:rPr>
        <w:t xml:space="preserve">, at the general population – is the most appropriate and proportionate approach and will entail the least negative consequences for travelling, economic sectors and the EU's standing and reputation. </w:t>
      </w:r>
    </w:p>
    <w:p>
      <w:pPr>
        <w:jc w:val="both"/>
        <w:rPr>
          <w:rFonts w:ascii="Times New Roman" w:hAnsi="Times New Roman" w:cs="Times New Roman"/>
          <w:noProof/>
          <w:sz w:val="24"/>
          <w:szCs w:val="24"/>
        </w:rPr>
      </w:pPr>
      <w:r>
        <w:rPr>
          <w:rFonts w:ascii="Times New Roman" w:hAnsi="Times New Roman" w:cs="Times New Roman"/>
          <w:noProof/>
          <w:sz w:val="24"/>
          <w:szCs w:val="24"/>
        </w:rPr>
        <w:t>As outlined in the description of policy options (section 5.2.3), it is possible to combine the negative incentives with some elements of positive incentives. However, they should be designed in a way that would not lead counterproductive effects by discouraging cooperative third countries from pursing their cooperation on readmission. A possible method would be – in preferred option 2C2 – to reserve more favourable MEV cascades for specific countries to those which cooperate well with Member States on readmission.</w:t>
      </w:r>
    </w:p>
    <w:p>
      <w:pPr>
        <w:pStyle w:val="Heading2"/>
        <w:tabs>
          <w:tab w:val="clear" w:pos="1200"/>
          <w:tab w:val="num" w:pos="720"/>
        </w:tabs>
        <w:ind w:left="0" w:firstLine="0"/>
        <w:rPr>
          <w:noProof/>
        </w:rPr>
      </w:pPr>
      <w:bookmarkStart w:id="59" w:name="_Toc507148506"/>
      <w:r>
        <w:rPr>
          <w:noProof/>
        </w:rPr>
        <w:t>REFIT (simplification and improved efficiency)</w:t>
      </w:r>
      <w:bookmarkEnd w:id="59"/>
    </w:p>
    <w:p>
      <w:pPr>
        <w:jc w:val="both"/>
        <w:rPr>
          <w:rFonts w:ascii="Times New Roman" w:hAnsi="Times New Roman" w:cs="Times New Roman"/>
          <w:noProof/>
          <w:sz w:val="24"/>
          <w:szCs w:val="24"/>
        </w:rPr>
      </w:pPr>
      <w:r>
        <w:rPr>
          <w:rFonts w:ascii="Times New Roman" w:hAnsi="Times New Roman" w:cs="Times New Roman"/>
          <w:noProof/>
          <w:sz w:val="24"/>
          <w:szCs w:val="24"/>
        </w:rPr>
        <w:t>Initiatives to amend existing legislation are by definition subject to Regulatory Fitness and Performance (REFIT)</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requirements. The scope for simplification and improving the efficiency of the Visa Code by reducing regulatory costs should be explored. Simplification and cost reduction are achieved in two ways by the envisaged initiative.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First, the main simplification measure both for applicants and consulates is the increased issuing of MEV with long validity, as envisaged in the preferred option 2C2. It will considerably reduce the number of visa procedures that frequent travellers to the EU have to go through. The cost reduction potential both for applicants and consulates is thoroughly assessed in this report (in particular in section 6.2.2).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Secondly, a significant number of measures likely to be carried over from the 2014 Visa Code recast proposal aim at simplifying visa procedures, clarifying provisions and in many cases also reducing costs for visa applicants and Member States. Their expected impact will be briefly assessed in annex 7.    </w:t>
      </w:r>
    </w:p>
    <w:p>
      <w:pPr>
        <w:pStyle w:val="Heading1"/>
        <w:rPr>
          <w:noProof/>
        </w:rPr>
      </w:pPr>
      <w:bookmarkStart w:id="60" w:name="_Toc507148507"/>
      <w:r>
        <w:rPr>
          <w:noProof/>
        </w:rPr>
        <w:t>How will actual impacts be monitored and evaluated?</w:t>
      </w:r>
      <w:bookmarkEnd w:id="60"/>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Three years after start of application of the revised Visa Code (i.e. three and a half years after its entry into force), the Commission will present an evaluation report. It should assess the progress with respect to the three main problem areas and policy objectives addressed in this report. </w:t>
      </w:r>
    </w:p>
    <w:p>
      <w:pPr>
        <w:jc w:val="both"/>
        <w:rPr>
          <w:rFonts w:ascii="Times New Roman" w:hAnsi="Times New Roman" w:cs="Times New Roman"/>
          <w:noProof/>
          <w:sz w:val="24"/>
          <w:szCs w:val="24"/>
        </w:rPr>
      </w:pPr>
      <w:r>
        <w:rPr>
          <w:rFonts w:ascii="Times New Roman" w:hAnsi="Times New Roman" w:cs="Times New Roman"/>
          <w:noProof/>
          <w:sz w:val="24"/>
          <w:szCs w:val="24"/>
        </w:rPr>
        <w:t>The monitoring will be facilitated by three developments: Firstly, the Entry-Exit System (EES) is scheduled to be operational by 2020, making it possible to obtain precise statistics on travel to the EU by visa-required third-country nationals. Secondly it is planned in the framework of the revision of the VIS legal framework to authorise eu-LISA to provide the Commission with more comprehensive statistics extracted from the VIS, including on the length of validity of visas issued. This would provide precise data on the share of MEV with long validity issued by Member States. Finally, once the Regulation on the use of the Schengen Information System for the return of illegally staying third-country nationals</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is adopted and implemented, return decisions and effective returns will be recorded in the Schengen Information System, thus substantially improving the availability of precise data.</w:t>
      </w:r>
      <w:r>
        <w:rPr>
          <w:rFonts w:ascii="Times New Roman" w:hAnsi="Times New Roman" w:cs="Times New Roman"/>
          <w:noProof/>
          <w:sz w:val="24"/>
          <w:szCs w:val="24"/>
          <w:highlight w:val="green"/>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table below provides more detailed suggestions for potential indicators and methods for data collection. </w:t>
      </w:r>
    </w:p>
    <w:tbl>
      <w:tblPr>
        <w:tblStyle w:val="TableGrid"/>
        <w:tblW w:w="0" w:type="auto"/>
        <w:jc w:val="right"/>
        <w:tblLook w:val="04A0" w:firstRow="1" w:lastRow="0" w:firstColumn="1" w:lastColumn="0" w:noHBand="0" w:noVBand="1"/>
      </w:tblPr>
      <w:tblGrid>
        <w:gridCol w:w="2748"/>
        <w:gridCol w:w="3141"/>
        <w:gridCol w:w="2945"/>
      </w:tblGrid>
      <w:tr>
        <w:trPr>
          <w:jc w:val="right"/>
        </w:trPr>
        <w:tc>
          <w:tcPr>
            <w:tcW w:w="2748" w:type="dxa"/>
          </w:tcPr>
          <w:p>
            <w:pPr>
              <w:rPr>
                <w:b/>
                <w:noProof/>
              </w:rPr>
            </w:pPr>
            <w:r>
              <w:rPr>
                <w:b/>
                <w:noProof/>
              </w:rPr>
              <w:t>Problem area</w:t>
            </w:r>
          </w:p>
        </w:tc>
        <w:tc>
          <w:tcPr>
            <w:tcW w:w="3141" w:type="dxa"/>
          </w:tcPr>
          <w:p>
            <w:pPr>
              <w:jc w:val="both"/>
              <w:rPr>
                <w:b/>
                <w:noProof/>
              </w:rPr>
            </w:pPr>
            <w:r>
              <w:rPr>
                <w:b/>
                <w:noProof/>
              </w:rPr>
              <w:t>Potential indicators</w:t>
            </w:r>
          </w:p>
        </w:tc>
        <w:tc>
          <w:tcPr>
            <w:tcW w:w="2945" w:type="dxa"/>
          </w:tcPr>
          <w:p>
            <w:pPr>
              <w:rPr>
                <w:b/>
                <w:noProof/>
              </w:rPr>
            </w:pPr>
            <w:r>
              <w:rPr>
                <w:b/>
                <w:noProof/>
              </w:rPr>
              <w:t>Method of data collection / source</w:t>
            </w:r>
          </w:p>
        </w:tc>
      </w:tr>
      <w:tr>
        <w:trPr>
          <w:jc w:val="right"/>
        </w:trPr>
        <w:tc>
          <w:tcPr>
            <w:tcW w:w="2748" w:type="dxa"/>
            <w:vMerge w:val="restart"/>
          </w:tcPr>
          <w:p>
            <w:pPr>
              <w:rPr>
                <w:noProof/>
              </w:rPr>
            </w:pPr>
            <w:r>
              <w:rPr>
                <w:noProof/>
              </w:rPr>
              <w:t>Insufficient financial resources</w:t>
            </w:r>
          </w:p>
          <w:p>
            <w:pPr>
              <w:rPr>
                <w:noProof/>
              </w:rPr>
            </w:pPr>
          </w:p>
        </w:tc>
        <w:tc>
          <w:tcPr>
            <w:tcW w:w="3141" w:type="dxa"/>
          </w:tcPr>
          <w:p>
            <w:pPr>
              <w:rPr>
                <w:noProof/>
              </w:rPr>
            </w:pPr>
            <w:r>
              <w:rPr>
                <w:noProof/>
              </w:rPr>
              <w:t>- income from visa fee</w:t>
            </w:r>
          </w:p>
          <w:p>
            <w:pPr>
              <w:rPr>
                <w:noProof/>
              </w:rPr>
            </w:pPr>
            <w:r>
              <w:rPr>
                <w:noProof/>
              </w:rPr>
              <w:t>- real administrative costs of issuing visas</w:t>
            </w:r>
          </w:p>
        </w:tc>
        <w:tc>
          <w:tcPr>
            <w:tcW w:w="2945" w:type="dxa"/>
          </w:tcPr>
          <w:p>
            <w:pPr>
              <w:rPr>
                <w:noProof/>
              </w:rPr>
            </w:pPr>
            <w:r>
              <w:rPr>
                <w:noProof/>
              </w:rPr>
              <w:t xml:space="preserve">Survey among Member States </w:t>
            </w:r>
          </w:p>
        </w:tc>
      </w:tr>
      <w:tr>
        <w:trPr>
          <w:jc w:val="right"/>
        </w:trPr>
        <w:tc>
          <w:tcPr>
            <w:tcW w:w="2748" w:type="dxa"/>
            <w:vMerge/>
          </w:tcPr>
          <w:p>
            <w:pPr>
              <w:rPr>
                <w:noProof/>
              </w:rPr>
            </w:pPr>
          </w:p>
        </w:tc>
        <w:tc>
          <w:tcPr>
            <w:tcW w:w="3141" w:type="dxa"/>
          </w:tcPr>
          <w:p>
            <w:pPr>
              <w:jc w:val="both"/>
              <w:rPr>
                <w:noProof/>
              </w:rPr>
            </w:pPr>
            <w:r>
              <w:rPr>
                <w:noProof/>
              </w:rPr>
              <w:t>- changes in travel behaviour as a result of the increased visa fee</w:t>
            </w:r>
          </w:p>
        </w:tc>
        <w:tc>
          <w:tcPr>
            <w:tcW w:w="2945" w:type="dxa"/>
          </w:tcPr>
          <w:p>
            <w:pPr>
              <w:rPr>
                <w:noProof/>
              </w:rPr>
            </w:pPr>
            <w:r>
              <w:rPr>
                <w:noProof/>
              </w:rPr>
              <w:t>EES statistics on entry and exit of visa-required third-country nationals (eu-LISA)</w:t>
            </w:r>
          </w:p>
        </w:tc>
      </w:tr>
      <w:tr>
        <w:trPr>
          <w:jc w:val="right"/>
        </w:trPr>
        <w:tc>
          <w:tcPr>
            <w:tcW w:w="2748" w:type="dxa"/>
            <w:vMerge w:val="restart"/>
          </w:tcPr>
          <w:p>
            <w:pPr>
              <w:rPr>
                <w:noProof/>
              </w:rPr>
            </w:pPr>
            <w:r>
              <w:rPr>
                <w:noProof/>
              </w:rPr>
              <w:t>Repeated visa procedures</w:t>
            </w:r>
          </w:p>
          <w:p>
            <w:pPr>
              <w:rPr>
                <w:noProof/>
              </w:rPr>
            </w:pPr>
          </w:p>
        </w:tc>
        <w:tc>
          <w:tcPr>
            <w:tcW w:w="3141" w:type="dxa"/>
          </w:tcPr>
          <w:p>
            <w:pPr>
              <w:jc w:val="both"/>
              <w:rPr>
                <w:noProof/>
              </w:rPr>
            </w:pPr>
            <w:r>
              <w:rPr>
                <w:noProof/>
              </w:rPr>
              <w:t>- length of validity of visas issued (less than 1 year, 1-year, 2-year, 3-year, 4-year, 5-year)</w:t>
            </w:r>
          </w:p>
        </w:tc>
        <w:tc>
          <w:tcPr>
            <w:tcW w:w="2945" w:type="dxa"/>
          </w:tcPr>
          <w:p>
            <w:pPr>
              <w:rPr>
                <w:noProof/>
              </w:rPr>
            </w:pPr>
            <w:r>
              <w:rPr>
                <w:noProof/>
              </w:rPr>
              <w:t>VIS statistics (eu-LISA)</w:t>
            </w:r>
          </w:p>
        </w:tc>
      </w:tr>
      <w:tr>
        <w:trPr>
          <w:jc w:val="right"/>
        </w:trPr>
        <w:tc>
          <w:tcPr>
            <w:tcW w:w="2748" w:type="dxa"/>
            <w:vMerge/>
          </w:tcPr>
          <w:p>
            <w:pPr>
              <w:rPr>
                <w:noProof/>
              </w:rPr>
            </w:pPr>
          </w:p>
        </w:tc>
        <w:tc>
          <w:tcPr>
            <w:tcW w:w="3141" w:type="dxa"/>
          </w:tcPr>
          <w:p>
            <w:pPr>
              <w:jc w:val="both"/>
              <w:rPr>
                <w:noProof/>
              </w:rPr>
            </w:pPr>
            <w:r>
              <w:rPr>
                <w:noProof/>
              </w:rPr>
              <w:t>- changes in travel behaviour as a result of increased issuing of MEVs with long validity (per nationality)</w:t>
            </w:r>
          </w:p>
        </w:tc>
        <w:tc>
          <w:tcPr>
            <w:tcW w:w="2945" w:type="dxa"/>
          </w:tcPr>
          <w:p>
            <w:pPr>
              <w:rPr>
                <w:noProof/>
              </w:rPr>
            </w:pPr>
            <w:r>
              <w:rPr>
                <w:noProof/>
              </w:rPr>
              <w:t>EES statistics on entry and exit of visa-required third-country nationals (eu-LISA)</w:t>
            </w:r>
          </w:p>
        </w:tc>
      </w:tr>
      <w:tr>
        <w:trPr>
          <w:jc w:val="right"/>
        </w:trPr>
        <w:tc>
          <w:tcPr>
            <w:tcW w:w="2748" w:type="dxa"/>
            <w:vMerge w:val="restart"/>
          </w:tcPr>
          <w:p>
            <w:pPr>
              <w:rPr>
                <w:noProof/>
              </w:rPr>
            </w:pPr>
            <w:r>
              <w:rPr>
                <w:noProof/>
              </w:rPr>
              <w:t xml:space="preserve">Return of irregular migrants </w:t>
            </w:r>
          </w:p>
          <w:p>
            <w:pPr>
              <w:rPr>
                <w:noProof/>
                <w:highlight w:val="green"/>
              </w:rPr>
            </w:pPr>
          </w:p>
          <w:p>
            <w:pPr>
              <w:rPr>
                <w:noProof/>
              </w:rPr>
            </w:pPr>
          </w:p>
        </w:tc>
        <w:tc>
          <w:tcPr>
            <w:tcW w:w="3141" w:type="dxa"/>
          </w:tcPr>
          <w:p>
            <w:pPr>
              <w:jc w:val="both"/>
              <w:rPr>
                <w:noProof/>
              </w:rPr>
            </w:pPr>
            <w:r>
              <w:rPr>
                <w:noProof/>
              </w:rPr>
              <w:t>- number of cases where visa policy is raised in negotiations with non-cooperative third countries</w:t>
            </w:r>
          </w:p>
          <w:p>
            <w:pPr>
              <w:jc w:val="both"/>
              <w:rPr>
                <w:noProof/>
              </w:rPr>
            </w:pPr>
            <w:r>
              <w:rPr>
                <w:noProof/>
              </w:rPr>
              <w:t>- number of cases where negative incentives are being applied to non-cooperative third countries</w:t>
            </w:r>
          </w:p>
        </w:tc>
        <w:tc>
          <w:tcPr>
            <w:tcW w:w="2945" w:type="dxa"/>
          </w:tcPr>
          <w:p>
            <w:pPr>
              <w:rPr>
                <w:noProof/>
              </w:rPr>
            </w:pPr>
            <w:r>
              <w:rPr>
                <w:noProof/>
              </w:rPr>
              <w:t>DG HOME's own information</w:t>
            </w:r>
          </w:p>
          <w:p>
            <w:pPr>
              <w:rPr>
                <w:noProof/>
              </w:rPr>
            </w:pPr>
          </w:p>
          <w:p>
            <w:pPr>
              <w:rPr>
                <w:noProof/>
              </w:rPr>
            </w:pPr>
          </w:p>
          <w:p>
            <w:pPr>
              <w:rPr>
                <w:noProof/>
              </w:rPr>
            </w:pPr>
          </w:p>
        </w:tc>
      </w:tr>
      <w:tr>
        <w:trPr>
          <w:jc w:val="right"/>
        </w:trPr>
        <w:tc>
          <w:tcPr>
            <w:tcW w:w="2748" w:type="dxa"/>
            <w:vMerge/>
          </w:tcPr>
          <w:p>
            <w:pPr>
              <w:rPr>
                <w:noProof/>
              </w:rPr>
            </w:pPr>
          </w:p>
        </w:tc>
        <w:tc>
          <w:tcPr>
            <w:tcW w:w="3141" w:type="dxa"/>
          </w:tcPr>
          <w:p>
            <w:pPr>
              <w:rPr>
                <w:noProof/>
              </w:rPr>
            </w:pPr>
            <w:r>
              <w:rPr>
                <w:noProof/>
              </w:rPr>
              <w:t>- change in return rate for those non-cooperative third countries</w:t>
            </w:r>
          </w:p>
        </w:tc>
        <w:tc>
          <w:tcPr>
            <w:tcW w:w="2945" w:type="dxa"/>
          </w:tcPr>
          <w:p>
            <w:pPr>
              <w:rPr>
                <w:noProof/>
              </w:rPr>
            </w:pPr>
            <w:r>
              <w:rPr>
                <w:noProof/>
              </w:rPr>
              <w:t>Eurostat statistics, SIS statistics on return (eu-LISA)</w:t>
            </w:r>
          </w:p>
        </w:tc>
      </w:tr>
      <w:tr>
        <w:trPr>
          <w:jc w:val="right"/>
        </w:trPr>
        <w:tc>
          <w:tcPr>
            <w:tcW w:w="2748" w:type="dxa"/>
            <w:vMerge/>
          </w:tcPr>
          <w:p>
            <w:pPr>
              <w:rPr>
                <w:noProof/>
              </w:rPr>
            </w:pPr>
          </w:p>
        </w:tc>
        <w:tc>
          <w:tcPr>
            <w:tcW w:w="3141" w:type="dxa"/>
          </w:tcPr>
          <w:p>
            <w:pPr>
              <w:rPr>
                <w:noProof/>
              </w:rPr>
            </w:pPr>
            <w:r>
              <w:rPr>
                <w:noProof/>
              </w:rPr>
              <w:t>- change in the number of return/readmission agreements and or informal arrangements</w:t>
            </w:r>
          </w:p>
          <w:p>
            <w:pPr>
              <w:rPr>
                <w:noProof/>
              </w:rPr>
            </w:pPr>
            <w:r>
              <w:rPr>
                <w:noProof/>
              </w:rPr>
              <w:t>-  Member States' feedback on level of cooperation with third countries</w:t>
            </w:r>
          </w:p>
        </w:tc>
        <w:tc>
          <w:tcPr>
            <w:tcW w:w="2945" w:type="dxa"/>
          </w:tcPr>
          <w:p>
            <w:pPr>
              <w:rPr>
                <w:noProof/>
              </w:rPr>
            </w:pPr>
            <w:r>
              <w:rPr>
                <w:noProof/>
              </w:rPr>
              <w:t>DG HOME's own information</w:t>
            </w:r>
          </w:p>
          <w:p>
            <w:pPr>
              <w:rPr>
                <w:noProof/>
              </w:rPr>
            </w:pP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These indicators will be used to monitor developments in the three problem areas addressed by this report and to evaluate the revised regulation, three years after the start of application. In the best-case scenario, the revised Visa Code will be adopted in 2019 and become applicable by the end of that year. The evaluation would be due by end 2022. As the EES is scheduled to be operational by 2020, the first annual figures should be available at the end of 2021. Annual data for the purpose of the evaluation would be available for 2021 and 2022. As regards the VIS legislative initiative, entry into force is not likely before 2020, leading to a similar time period of relevant data.</w:t>
      </w:r>
    </w:p>
    <w:p>
      <w:pPr>
        <w:jc w:val="both"/>
        <w:rPr>
          <w:rFonts w:ascii="Times New Roman" w:hAnsi="Times New Roman" w:cs="Times New Roman"/>
          <w:noProof/>
          <w:sz w:val="24"/>
          <w:szCs w:val="24"/>
        </w:rPr>
      </w:pPr>
    </w:p>
    <w:p>
      <w:pPr>
        <w:pStyle w:val="Text2"/>
        <w:ind w:left="0"/>
        <w:rPr>
          <w:noProof/>
        </w:rPr>
      </w:pPr>
      <w:r>
        <w:rPr>
          <w:noProof/>
        </w:rPr>
        <w:br w:type="page"/>
      </w:r>
    </w:p>
    <w:p>
      <w:pPr>
        <w:pStyle w:val="AnnexTitle"/>
        <w:rPr>
          <w:noProof/>
        </w:rPr>
      </w:pPr>
      <w:bookmarkStart w:id="61" w:name="_Toc507148508"/>
      <w:r>
        <w:rPr>
          <w:noProof/>
        </w:rPr>
        <w:t>Annex 1: Procedural information</w:t>
      </w:r>
      <w:bookmarkEnd w:id="61"/>
    </w:p>
    <w:p>
      <w:pPr>
        <w:pStyle w:val="Heading1"/>
        <w:numPr>
          <w:ilvl w:val="0"/>
          <w:numId w:val="4"/>
        </w:numPr>
        <w:rPr>
          <w:noProof/>
        </w:rPr>
      </w:pPr>
      <w:bookmarkStart w:id="62" w:name="_Toc471997754"/>
      <w:bookmarkStart w:id="63" w:name="_Toc505007384"/>
      <w:bookmarkStart w:id="64" w:name="_Toc507148509"/>
      <w:r>
        <w:rPr>
          <w:noProof/>
        </w:rPr>
        <w:t>Lead DG, D</w:t>
      </w:r>
      <w:r>
        <w:rPr>
          <w:b w:val="0"/>
          <w:i/>
          <w:smallCaps w:val="0"/>
          <w:noProof/>
        </w:rPr>
        <w:t>e</w:t>
      </w:r>
      <w:r>
        <w:rPr>
          <w:noProof/>
        </w:rPr>
        <w:t>cide Planning/CWP references</w:t>
      </w:r>
      <w:bookmarkEnd w:id="62"/>
      <w:bookmarkEnd w:id="63"/>
      <w:bookmarkEnd w:id="64"/>
    </w:p>
    <w:p>
      <w:pPr>
        <w:jc w:val="both"/>
        <w:rPr>
          <w:rFonts w:ascii="Times New Roman" w:hAnsi="Times New Roman" w:cs="Times New Roman"/>
          <w:noProof/>
          <w:sz w:val="24"/>
          <w:szCs w:val="24"/>
        </w:rPr>
      </w:pPr>
      <w:r>
        <w:rPr>
          <w:rFonts w:ascii="Times New Roman" w:hAnsi="Times New Roman" w:cs="Times New Roman"/>
          <w:noProof/>
          <w:sz w:val="24"/>
          <w:szCs w:val="24"/>
        </w:rPr>
        <w:t>The lead DG is the Directorate-General for Migration and Home Affairs (DG HOME). The Decide Planning reference is PLAN/2017/2083. The initiative is mentioned in the Commission Work Programme for 2018 (COM(2017) 650 final), annex I, item n° 20.</w:t>
      </w:r>
    </w:p>
    <w:p>
      <w:pPr>
        <w:pStyle w:val="Heading1"/>
        <w:rPr>
          <w:noProof/>
        </w:rPr>
      </w:pPr>
      <w:bookmarkStart w:id="65" w:name="_Toc471997755"/>
      <w:bookmarkStart w:id="66" w:name="_Toc505007385"/>
      <w:bookmarkStart w:id="67" w:name="_Toc507148510"/>
      <w:r>
        <w:rPr>
          <w:noProof/>
        </w:rPr>
        <w:t>Organisation and timing</w:t>
      </w:r>
      <w:bookmarkEnd w:id="65"/>
      <w:bookmarkEnd w:id="66"/>
      <w:bookmarkEnd w:id="67"/>
    </w:p>
    <w:p>
      <w:pPr>
        <w:jc w:val="both"/>
        <w:rPr>
          <w:rFonts w:ascii="Times New Roman" w:hAnsi="Times New Roman" w:cs="Times New Roman"/>
          <w:noProof/>
          <w:sz w:val="24"/>
          <w:szCs w:val="24"/>
        </w:rPr>
      </w:pPr>
      <w:r>
        <w:rPr>
          <w:rFonts w:ascii="Times New Roman" w:hAnsi="Times New Roman" w:cs="Times New Roman"/>
          <w:noProof/>
          <w:sz w:val="24"/>
          <w:szCs w:val="24"/>
        </w:rPr>
        <w:t>Work to prepare the draft proposal and the impact assessment began in early November 2017. The inter-service steering group for the impact assessment was composed of the Secretariat General (SG), the Legal Service (SJ), the European External Action Service (EEAS), DG JUST, DG GROW, DG TRADE, DG DEVCO, DG NEAR, DG MARE and DG EAC. Two meetings were held, on 17 November 2017 and 25 January 2018.</w:t>
      </w:r>
    </w:p>
    <w:p>
      <w:pPr>
        <w:pStyle w:val="Heading1"/>
        <w:rPr>
          <w:noProof/>
        </w:rPr>
      </w:pPr>
      <w:bookmarkStart w:id="68" w:name="_Toc471997757"/>
      <w:bookmarkStart w:id="69" w:name="_Toc505007386"/>
      <w:bookmarkStart w:id="70" w:name="_Toc507148511"/>
      <w:r>
        <w:rPr>
          <w:noProof/>
        </w:rPr>
        <w:t>Consultation of the RSB</w:t>
      </w:r>
      <w:bookmarkEnd w:id="68"/>
      <w:bookmarkEnd w:id="69"/>
      <w:bookmarkEnd w:id="70"/>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draft impact assessment was submitted to the Regulatory Scrutiny Board on 31 January 2018; an updated version including the full results of the open stakeholder consultation, which ended on 2 February 2018, was submitted on 7 February 2018. The Board examined the draft Impact Assessment on 21 February 2018 and delivered a positive opinion on 23 February 2018. The RSB's comments and suggestions were taken into account in the final version. </w:t>
      </w:r>
    </w:p>
    <w:p>
      <w:pPr>
        <w:pStyle w:val="Heading1"/>
        <w:rPr>
          <w:noProof/>
        </w:rPr>
      </w:pPr>
      <w:bookmarkStart w:id="71" w:name="_Toc471997758"/>
      <w:bookmarkStart w:id="72" w:name="_Toc505007387"/>
      <w:bookmarkStart w:id="73" w:name="_Toc507148512"/>
      <w:r>
        <w:rPr>
          <w:noProof/>
        </w:rPr>
        <w:t>Evidence, sources and quality</w:t>
      </w:r>
      <w:bookmarkEnd w:id="71"/>
      <w:bookmarkEnd w:id="72"/>
      <w:bookmarkEnd w:id="73"/>
    </w:p>
    <w:p>
      <w:pPr>
        <w:jc w:val="both"/>
        <w:rPr>
          <w:rFonts w:ascii="Times New Roman" w:hAnsi="Times New Roman" w:cs="Times New Roman"/>
          <w:noProof/>
          <w:sz w:val="24"/>
          <w:szCs w:val="24"/>
        </w:rPr>
      </w:pPr>
      <w:r>
        <w:rPr>
          <w:rFonts w:ascii="Times New Roman" w:hAnsi="Times New Roman" w:cs="Times New Roman"/>
          <w:noProof/>
          <w:sz w:val="24"/>
          <w:szCs w:val="24"/>
        </w:rPr>
        <w:t>Serious efforts have been made to collect data, facts and figures to support the problem definition, the baseline scenario, and the assessment of impacts of the various policy options. The 2014 evaluation of the Visa Code was updated with available data (see annex 4). Data from a 2016 questionnaire survey on visa fees were used. Targeted stakeholder consultations and an open public consultation were organised to collect evidence (see annex 2). The ample experience gathered by the Commission services in monitoring Member States' implementation of the visa policy, notably through the in-depth Schengen evaluations has been exploited wherever possible.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must be acknowledged, however, that much of this information is rather of qualitative than quantitative nature and that even basic data are missing in relation to the three problem areas covered in the impact assessment, e.g. on the length of validity of visas issued by Member States. In the short time available to carry out this impact assessment, it was not possible to conduct an external study to gather more data than those already available. </w:t>
      </w:r>
    </w:p>
    <w:p>
      <w:pPr>
        <w:autoSpaceDE w:val="0"/>
        <w:autoSpaceDN w:val="0"/>
        <w:adjustRightInd w:val="0"/>
        <w:spacing w:after="120"/>
        <w:jc w:val="both"/>
        <w:rPr>
          <w:rFonts w:ascii="Times New Roman" w:hAnsi="Times New Roman"/>
          <w:noProof/>
          <w:sz w:val="24"/>
          <w:szCs w:val="24"/>
          <w:lang w:eastAsia="de-DE"/>
        </w:rPr>
      </w:pPr>
      <w:r>
        <w:rPr>
          <w:rFonts w:ascii="Times New Roman" w:hAnsi="Times New Roman"/>
          <w:noProof/>
          <w:sz w:val="24"/>
          <w:szCs w:val="24"/>
          <w:lang w:eastAsia="de-DE"/>
        </w:rPr>
        <w:t>There are several reasons behind the lack of reliable data. The focus of the visa policy is the fight against irregular immigration and security risks by harmonising the conditions and procedures of processing visas. Economic issues of costs, benefits and administrative burden were traditionally considered secondary by the co-legislators in this area. The legislation in force does not foresee appropriate indicators to be collected from the Schengen States or from other sources. It is generally acknowledged that</w:t>
      </w:r>
      <w:r>
        <w:rPr>
          <w:rFonts w:ascii="Times New Roman" w:hAnsi="Times New Roman"/>
          <w:noProof/>
          <w:sz w:val="24"/>
          <w:szCs w:val="24"/>
        </w:rPr>
        <w:t xml:space="preserve"> it is very difficult to determine quantifiable indicators in this area. </w:t>
      </w:r>
    </w:p>
    <w:p>
      <w:pPr>
        <w:autoSpaceDE w:val="0"/>
        <w:autoSpaceDN w:val="0"/>
        <w:adjustRightInd w:val="0"/>
        <w:spacing w:after="120"/>
        <w:jc w:val="both"/>
        <w:rPr>
          <w:rFonts w:ascii="Times New Roman" w:hAnsi="Times New Roman"/>
          <w:noProof/>
          <w:sz w:val="24"/>
          <w:szCs w:val="24"/>
          <w:lang w:eastAsia="de-DE"/>
        </w:rPr>
      </w:pPr>
      <w:r>
        <w:rPr>
          <w:rFonts w:ascii="Times New Roman" w:hAnsi="Times New Roman"/>
          <w:noProof/>
          <w:sz w:val="24"/>
          <w:szCs w:val="24"/>
        </w:rPr>
        <w:t xml:space="preserve">As regards the administrative costs of Member States, it must be noted that there are 26 Schengen States having more than 2000 Schengen visa issuing consulates in approx. 170 countries. Operating costs differ from </w:t>
      </w:r>
      <w:smartTag w:uri="urn:schemas-microsoft-com:office:smarttags" w:element="PlaceName">
        <w:r>
          <w:rPr>
            <w:rFonts w:ascii="Times New Roman" w:hAnsi="Times New Roman"/>
            <w:noProof/>
            <w:sz w:val="24"/>
            <w:szCs w:val="24"/>
          </w:rPr>
          <w:t>Schengen</w:t>
        </w:r>
      </w:smartTag>
      <w:r>
        <w:rPr>
          <w:rFonts w:ascii="Times New Roman" w:hAnsi="Times New Roman"/>
          <w:noProof/>
          <w:sz w:val="24"/>
          <w:szCs w:val="24"/>
        </w:rPr>
        <w:t xml:space="preserve"> </w:t>
      </w:r>
      <w:smartTag w:uri="urn:schemas-microsoft-com:office:smarttags" w:element="PlaceType">
        <w:r>
          <w:rPr>
            <w:rFonts w:ascii="Times New Roman" w:hAnsi="Times New Roman"/>
            <w:noProof/>
            <w:sz w:val="24"/>
            <w:szCs w:val="24"/>
          </w:rPr>
          <w:t>State</w:t>
        </w:r>
      </w:smartTag>
      <w:r>
        <w:rPr>
          <w:rFonts w:ascii="Times New Roman" w:hAnsi="Times New Roman"/>
          <w:noProof/>
          <w:sz w:val="24"/>
          <w:szCs w:val="24"/>
        </w:rPr>
        <w:t xml:space="preserve"> to </w:t>
      </w:r>
      <w:smartTag w:uri="urn:schemas-microsoft-com:office:smarttags" w:element="place">
        <w:smartTag w:uri="urn:schemas-microsoft-com:office:smarttags" w:element="PlaceName">
          <w:r>
            <w:rPr>
              <w:rFonts w:ascii="Times New Roman" w:hAnsi="Times New Roman"/>
              <w:noProof/>
              <w:sz w:val="24"/>
              <w:szCs w:val="24"/>
            </w:rPr>
            <w:t>Schengen</w:t>
          </w:r>
        </w:smartTag>
        <w:r>
          <w:rPr>
            <w:rFonts w:ascii="Times New Roman" w:hAnsi="Times New Roman"/>
            <w:noProof/>
            <w:sz w:val="24"/>
            <w:szCs w:val="24"/>
          </w:rPr>
          <w:t xml:space="preserve"> </w:t>
        </w:r>
        <w:smartTag w:uri="urn:schemas-microsoft-com:office:smarttags" w:element="PlaceType">
          <w:r>
            <w:rPr>
              <w:rFonts w:ascii="Times New Roman" w:hAnsi="Times New Roman"/>
              <w:noProof/>
              <w:sz w:val="24"/>
              <w:szCs w:val="24"/>
            </w:rPr>
            <w:t>State</w:t>
          </w:r>
        </w:smartTag>
      </w:smartTag>
      <w:r>
        <w:rPr>
          <w:rFonts w:ascii="Times New Roman" w:hAnsi="Times New Roman"/>
          <w:noProof/>
          <w:sz w:val="24"/>
          <w:szCs w:val="24"/>
        </w:rPr>
        <w:t xml:space="preserve">, third country to third country and consulate to consulate. The most important cost components relate to the premises, personnel, operating and security-related equipment. It is very difficult to separate the visa processing from other tasks carried out by embassies/consulates. The visa section is usually located in the building of the embassy/consulate; even if it is physically separate, the personnel carries out many other tasks not related to Schengen visa processing, such as consular assistance, classical administrative services for own nationals, passports and residence permits. At smaller missions, consular staff also carry out diplomatic duties. Similarly, the equipment is not only used for issuing visas but also for managing other tasks, reception of own nationals, issuing of passports. The data gathered are not representative and vary considerably between Schengen States which means that the method of cost calculation (if any) also varies between Schengen States. </w:t>
      </w:r>
      <w:r>
        <w:rPr>
          <w:rFonts w:ascii="Times New Roman" w:hAnsi="Times New Roman"/>
          <w:noProof/>
          <w:sz w:val="24"/>
          <w:szCs w:val="24"/>
          <w:lang w:eastAsia="de-DE"/>
        </w:rPr>
        <w:t xml:space="preserve">Most </w:t>
      </w:r>
      <w:r>
        <w:rPr>
          <w:rFonts w:ascii="Times New Roman" w:hAnsi="Times New Roman"/>
          <w:noProof/>
          <w:sz w:val="24"/>
          <w:szCs w:val="24"/>
          <w:lang w:eastAsia="en-GB"/>
        </w:rPr>
        <w:t>Schengen States do not even have specific statistics, only estimations regarding the revenues from the visa fee.</w:t>
      </w:r>
      <w:r>
        <w:rPr>
          <w:rFonts w:ascii="Times New Roman" w:hAnsi="Times New Roman"/>
          <w:noProof/>
          <w:sz w:val="24"/>
          <w:szCs w:val="24"/>
        </w:rPr>
        <w:t xml:space="preserve"> That is why i</w:t>
      </w:r>
      <w:r>
        <w:rPr>
          <w:rFonts w:ascii="Times New Roman" w:hAnsi="Times New Roman"/>
          <w:noProof/>
          <w:sz w:val="24"/>
          <w:szCs w:val="24"/>
          <w:lang w:eastAsia="de-DE"/>
        </w:rPr>
        <w:t>t was impossible to set "Schengen averages" regarding the cost of processing a visa for the Schengen States.</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A similar explanation applies to the costs and benefits on the applicants' side, which also depends on many factors such as the place of residence (i.e. distance to the competent consulate), the purpose and length of the intended trip and the visa history of the applicant. </w:t>
      </w:r>
      <w:r>
        <w:rPr>
          <w:rFonts w:ascii="Times New Roman" w:hAnsi="Times New Roman"/>
          <w:noProof/>
          <w:sz w:val="24"/>
          <w:szCs w:val="24"/>
          <w:lang w:eastAsia="de-DE"/>
        </w:rPr>
        <w:t xml:space="preserve">Although it is recognised that the visa requirement and procedures can indeed influence travel flows, providing quantifiable evidence to what extent there is such an impact is even more challenging. There are many other factors influencing the destination choice, such as travelling costs, security and safety issues, available services in the country to be visited, exchange rates. </w:t>
      </w:r>
      <w:r>
        <w:rPr>
          <w:rFonts w:ascii="Times New Roman" w:hAnsi="Times New Roman"/>
          <w:noProof/>
          <w:sz w:val="24"/>
          <w:szCs w:val="24"/>
        </w:rPr>
        <w:t xml:space="preserve">Without conducting a worldwide study with a representative number of visa applicants in a representative number of third countries, it is not possible to determine to what extent changes in the visa procedure (such as on the visa fee and the issuing of MEV) will lead to changes in applicants' and visa holders' travel hehaviour. </w:t>
      </w:r>
      <w:r>
        <w:rPr>
          <w:rFonts w:ascii="Times New Roman" w:hAnsi="Times New Roman"/>
          <w:noProof/>
          <w:sz w:val="24"/>
          <w:szCs w:val="24"/>
          <w:lang w:eastAsia="de-DE"/>
        </w:rPr>
        <w:t>Recent studies and research only revealed</w:t>
      </w:r>
      <w:r>
        <w:rPr>
          <w:rFonts w:ascii="Times New Roman" w:hAnsi="Times New Roman"/>
          <w:b/>
          <w:noProof/>
          <w:sz w:val="24"/>
          <w:szCs w:val="24"/>
          <w:lang w:eastAsia="de-DE"/>
        </w:rPr>
        <w:t xml:space="preserve"> </w:t>
      </w:r>
      <w:r>
        <w:rPr>
          <w:rFonts w:ascii="Times New Roman" w:hAnsi="Times New Roman"/>
          <w:noProof/>
          <w:sz w:val="24"/>
          <w:szCs w:val="24"/>
          <w:lang w:eastAsia="de-DE"/>
        </w:rPr>
        <w:t>l</w:t>
      </w:r>
      <w:r>
        <w:rPr>
          <w:rFonts w:ascii="Times New Roman" w:hAnsi="Times New Roman"/>
          <w:noProof/>
          <w:sz w:val="24"/>
          <w:szCs w:val="24"/>
        </w:rPr>
        <w:t>ittle empirical evidence on this issue. Therefore it has been impossible to reliably estimate and quantify the scale of effects of policy options (particularly the economic and financial impacts).</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 xml:space="preserve">Therefore this impact assessment is to a great extent based on a qualitative assessment of impacts, based on Member States' experience and the Commission's Schengen evaluation reports, as explained in detail in secion 6.1 of this report. </w:t>
      </w:r>
    </w:p>
    <w:p>
      <w:pPr>
        <w:pStyle w:val="Text1"/>
        <w:rPr>
          <w:noProof/>
        </w:rPr>
      </w:pPr>
    </w:p>
    <w:p>
      <w:pPr>
        <w:rPr>
          <w:rFonts w:ascii="Times New Roman" w:eastAsia="Times New Roman" w:hAnsi="Times New Roman" w:cs="Times New Roman"/>
          <w:noProof/>
          <w:sz w:val="24"/>
          <w:szCs w:val="20"/>
        </w:rPr>
      </w:pPr>
      <w:r>
        <w:rPr>
          <w:noProof/>
        </w:rPr>
        <w:br w:type="page"/>
      </w:r>
    </w:p>
    <w:p>
      <w:pPr>
        <w:pStyle w:val="AnnexTitle"/>
        <w:rPr>
          <w:noProof/>
        </w:rPr>
      </w:pPr>
      <w:bookmarkStart w:id="74" w:name="_Toc507148513"/>
      <w:r>
        <w:rPr>
          <w:noProof/>
        </w:rPr>
        <w:t>Annex 2: Stakeholder consultation</w:t>
      </w:r>
      <w:bookmarkEnd w:id="74"/>
      <w:r>
        <w:rPr>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preparation of the targeted revision of the Visa Code, the accompanying Impact Assessment and the Commission Communication, the Commission services conducted a stakeholder consultation between November 2017 and February 2018. The main objective was to gather the views and experiences of the 'main users' of the Visa Code in order to improve procedures for obtaining visas while keeping in mind the current migratory and security challenges. As a similar consultation was last conducted in 2014 in connection with the evaluation of the Visa Code and the accompanying legislative proposals, the present stakeholder consultation was intended to update and complement the views collected at the time.</w:t>
      </w:r>
      <w:r>
        <w:rPr>
          <w:rStyle w:val="FootnoteReference"/>
          <w:rFonts w:ascii="Times New Roman" w:hAnsi="Times New Roman" w:cs="Times New Roman"/>
          <w:noProof/>
          <w:sz w:val="24"/>
          <w:szCs w:val="24"/>
        </w:rPr>
        <w:footnoteReference w:id="59"/>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consultation was organised in two separate phases targeting selected stakeholders and the public. First, Member States, Members of the European Parliament and the representatives of the main interest groups and professional organisations participated in three separate meetings, where they were given the opportunity to present their views to the Commission services on the basis of a discussion paper raising the following issues:</w:t>
      </w:r>
    </w:p>
    <w:p>
      <w:pPr>
        <w:pStyle w:val="ListParagraph"/>
        <w:numPr>
          <w:ilvl w:val="0"/>
          <w:numId w:val="2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Minimising administrative burdens for consulates and applicants alike</w:t>
      </w:r>
    </w:p>
    <w:p>
      <w:pPr>
        <w:pStyle w:val="ListParagraph"/>
        <w:numPr>
          <w:ilvl w:val="0"/>
          <w:numId w:val="2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Harmonising rules on issuing multiple-entry visas</w:t>
      </w:r>
    </w:p>
    <w:p>
      <w:pPr>
        <w:pStyle w:val="ListParagraph"/>
        <w:numPr>
          <w:ilvl w:val="0"/>
          <w:numId w:val="2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Linking visa issuing rules to the cooperation of third countries on readmission</w:t>
      </w:r>
    </w:p>
    <w:p>
      <w:pPr>
        <w:pStyle w:val="ListParagraph"/>
        <w:numPr>
          <w:ilvl w:val="0"/>
          <w:numId w:val="2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Revising the level of the visa fee</w:t>
      </w:r>
    </w:p>
    <w:p>
      <w:pPr>
        <w:pStyle w:val="ListParagraph"/>
        <w:numPr>
          <w:ilvl w:val="0"/>
          <w:numId w:val="2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Assessing the use of outsourcing</w:t>
      </w:r>
    </w:p>
    <w:p>
      <w:pPr>
        <w:pStyle w:val="ListParagraph"/>
        <w:numPr>
          <w:ilvl w:val="0"/>
          <w:numId w:val="2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Digitalising the visa issuing procedure</w:t>
      </w:r>
    </w:p>
    <w:p>
      <w:pPr>
        <w:pStyle w:val="ListParagraph"/>
        <w:numPr>
          <w:ilvl w:val="0"/>
          <w:numId w:val="23"/>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Reconsidering the nationality-based visa requirements in the long term</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Participants also had the opportunity to submit written position papers after the meetings. Second, an open public consultation was conducted through an internet-based survey between 24 November 2017 and 2 February 2018, targeting visa applicants and citizens who wished to give their input on the modernisation of the EU's visa policy. Organisations also had the opportunity to submit position papers through the open public consultation.</w:t>
      </w:r>
    </w:p>
    <w:p>
      <w:pPr>
        <w:spacing w:before="120" w:after="120" w:line="240" w:lineRule="auto"/>
        <w:jc w:val="both"/>
        <w:rPr>
          <w:rFonts w:ascii="Times New Roman" w:hAnsi="Times New Roman" w:cs="Times New Roman"/>
          <w:b/>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 Consultation meetings</w:t>
      </w:r>
    </w:p>
    <w:p>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1. Member States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first meeting took place on 13 November 2017, with representatives of all the Member States present. 20 Member States also submitted written comments after the meeting.</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minimising administrative burdens</w:t>
      </w:r>
      <w:r>
        <w:rPr>
          <w:rFonts w:ascii="Times New Roman" w:hAnsi="Times New Roman" w:cs="Times New Roman"/>
          <w:noProof/>
          <w:sz w:val="24"/>
          <w:szCs w:val="24"/>
        </w:rPr>
        <w:t>, six Member States noted that it is important not to mix up procedural burdens with requirements necessary for assessing migratory and security risk. Procedural facilitations should not put security and migratory concerns at stake. All relevant supporting documents should be submitted and deadlines for decision making should not be shortened. Many Member States made suggestions on current practices that could be eliminated in a revision of the Visa Code, such as the mandatory lodging in person of the visa application or the right of applicants to lodge directly at consulates rather than external service providers.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clear majority of Member States that took the floor on the </w:t>
      </w:r>
      <w:r>
        <w:rPr>
          <w:rFonts w:ascii="Times New Roman" w:hAnsi="Times New Roman" w:cs="Times New Roman"/>
          <w:b/>
          <w:noProof/>
          <w:sz w:val="24"/>
          <w:szCs w:val="24"/>
        </w:rPr>
        <w:t>harmonisation of practices regarding the issuing of multiple-entry visas (MEVs)</w:t>
      </w:r>
      <w:r>
        <w:rPr>
          <w:rFonts w:ascii="Times New Roman" w:hAnsi="Times New Roman" w:cs="Times New Roman"/>
          <w:noProof/>
          <w:sz w:val="24"/>
          <w:szCs w:val="24"/>
        </w:rPr>
        <w:t xml:space="preserve"> were in favour of creating clearer rules, possibly using a 'cascade' approach whereby applicants who have lawfully used their previous visas in a certain time span receive MEVs with a progressively longer validity period. Three Member States suggested that the Local Schengen Cooperation among Member States in third countries could play a role in adapting the MEV issuing practices to local circumstances, which would be formally adopted as a Commission implementing act following consultation of the Visa Committee.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a </w:t>
      </w:r>
      <w:r>
        <w:rPr>
          <w:rFonts w:ascii="Times New Roman" w:hAnsi="Times New Roman" w:cs="Times New Roman"/>
          <w:b/>
          <w:noProof/>
          <w:sz w:val="24"/>
          <w:szCs w:val="24"/>
        </w:rPr>
        <w:t>link between visa issuing rules and the cooperation of third countries on readmission</w:t>
      </w:r>
      <w:r>
        <w:rPr>
          <w:rFonts w:ascii="Times New Roman" w:hAnsi="Times New Roman" w:cs="Times New Roman"/>
          <w:noProof/>
          <w:sz w:val="24"/>
          <w:szCs w:val="24"/>
        </w:rPr>
        <w:t xml:space="preserve">, the vast majority of Member States are in favour of using visa policy as a leverage to improve cooperation on readmission. While one Member State was in favour of the legal provisions agreed by Council during the negotiations on the Visa Code recast, many others were more reserved about incorporating very detailed legal provisions into the Visa Code, emphasising that the mechanism for triggering derogations should be as simple as possible and the derogations should be easily applicable so as not to create additional burden for consulates. Five Member States favoured a case-by-case political decision within the existing legal framework, arguing that such an approach would be more efficient and flexible.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level of the visa fee</w:t>
      </w:r>
      <w:r>
        <w:rPr>
          <w:rFonts w:ascii="Times New Roman" w:hAnsi="Times New Roman" w:cs="Times New Roman"/>
          <w:noProof/>
          <w:sz w:val="24"/>
          <w:szCs w:val="24"/>
        </w:rPr>
        <w:t>, almost all Member States favoured an increase, but they recognised that it is impossible to calculate the unique 'cost' of processing a visa application. Several Member States therefore suggested no longer linking the visa fee to the administrative costs, but rather taking a political decision to set it at a certain level. Some Member States argued that any increase should be modest so not to prevent travel for tourism purpose. A handful of Member States suggested that the level of the visa fee could be country specific, with a role for Local Schengen Cooperation in helping determine the appropriate fee, whereas others recalled the need for a straightforward and simple system. One Member State suggested that higher fees (+50%) be charged when visas are issued at the external borders. A number of Member States noted that the reduced visa fee applied under the Visa Facilitation Agreements certainly does not cover the administrative costs. Two Member States were explicitly in favour of applying a progressive fee linked to the length of validity of the visa applied for; however, another Member State recalled that such a system could create additional administrative burden in terms of appeals and reimbursements in case the visa issued does not correspond to the fee paid.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Member States declared their satisfaction with the </w:t>
      </w:r>
      <w:r>
        <w:rPr>
          <w:rFonts w:ascii="Times New Roman" w:hAnsi="Times New Roman" w:cs="Times New Roman"/>
          <w:b/>
          <w:noProof/>
          <w:sz w:val="24"/>
          <w:szCs w:val="24"/>
        </w:rPr>
        <w:t>cooperation with external service providers</w:t>
      </w:r>
      <w:r>
        <w:rPr>
          <w:rFonts w:ascii="Times New Roman" w:hAnsi="Times New Roman" w:cs="Times New Roman"/>
          <w:noProof/>
          <w:sz w:val="24"/>
          <w:szCs w:val="24"/>
        </w:rPr>
        <w:t>, which they consider indispensable for visa processing. Most Member States would be in favour of strengthening the legal framework so that it reflects this reality, including more stringent rules on monitoring. Some Member States argued for an increase in the service fee (now fixed at maximum 50% of the visa fee, i.e. 30 EUR) charged by external service providers in specific third countries.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digitalisation of visa processing</w:t>
      </w:r>
      <w:r>
        <w:rPr>
          <w:rFonts w:ascii="Times New Roman" w:hAnsi="Times New Roman" w:cs="Times New Roman"/>
          <w:noProof/>
          <w:sz w:val="24"/>
          <w:szCs w:val="24"/>
        </w:rPr>
        <w:t xml:space="preserve">, all Member States that took the floor argued that priority should be given to the development of a digital visa, whereas fully on-line applications are a rather long term perspective. Studies should be launched on both issues, although some Member States preferred to wait until EES and ETIAS are in place before proceeding further on digital visas.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differentiation of </w:t>
      </w:r>
      <w:r>
        <w:rPr>
          <w:rFonts w:ascii="Times New Roman" w:hAnsi="Times New Roman" w:cs="Times New Roman"/>
          <w:b/>
          <w:noProof/>
          <w:sz w:val="24"/>
          <w:szCs w:val="24"/>
        </w:rPr>
        <w:t>visa requirements based on nationality</w:t>
      </w:r>
      <w:r>
        <w:rPr>
          <w:rFonts w:ascii="Times New Roman" w:hAnsi="Times New Roman" w:cs="Times New Roman"/>
          <w:noProof/>
          <w:sz w:val="24"/>
          <w:szCs w:val="24"/>
        </w:rPr>
        <w:t xml:space="preserve"> or on individual travellers' profile, a handful of Member States would be in favour of further discussions on differentiating between travellers, while some others noted that such an individual approach could raise problems regarding visa reciprocity. A number of Member States suggested a critical revision of Annex II (visa-free countries) to Regulation 539/2001. The clear majority of Member States, though, preferred to maintain to the current nationality-based system; only once ETIAS and EES are firmly in place could another approach be considered. A majority of Member States considered that there is no need to revise Regulation 539/2001 at this point in time.</w:t>
      </w:r>
    </w:p>
    <w:p>
      <w:pPr>
        <w:spacing w:before="120" w:after="120" w:line="240" w:lineRule="auto"/>
        <w:jc w:val="both"/>
        <w:rPr>
          <w:rFonts w:ascii="Times New Roman" w:hAnsi="Times New Roman" w:cs="Times New Roman"/>
          <w:b/>
          <w:i/>
          <w:noProof/>
          <w:sz w:val="24"/>
          <w:szCs w:val="24"/>
        </w:rPr>
      </w:pPr>
    </w:p>
    <w:p>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2. Members of the European Parliament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services participated in a meeting on 12 December 2017 in Strasbourg, where the coordinators of the political groups in the LIBE committee and the rapporteurs and shadow rapporteurs on the legislative proposals of the 2014 visa package gave their views on the modernisation of the EU's visa policy.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MEPs from the </w:t>
      </w:r>
      <w:r>
        <w:rPr>
          <w:rFonts w:ascii="Times New Roman" w:hAnsi="Times New Roman" w:cs="Times New Roman"/>
          <w:b/>
          <w:noProof/>
          <w:sz w:val="24"/>
          <w:szCs w:val="24"/>
        </w:rPr>
        <w:t xml:space="preserve">EPP group </w:t>
      </w:r>
      <w:r>
        <w:rPr>
          <w:rFonts w:ascii="Times New Roman" w:hAnsi="Times New Roman" w:cs="Times New Roman"/>
          <w:noProof/>
          <w:sz w:val="24"/>
          <w:szCs w:val="24"/>
        </w:rPr>
        <w:t>considered that time had been lost since the 2014 proposals, in part because of Parliament's position on humanitarian visas. They asked not to lose sight of the economic dimension of visa policy (tourism, business travel) and considered external service providers to be essential for facilitating visa applications. In general the MEPs expressed general support for the Commission's approach on the targeted revision of the Visa Code. There was general scepticism about disconnecting visa policy from nationality. There was also concern about how the discussion on visa policy would influence other files on the table in the legal migration and security fields.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S&amp;D</w:t>
      </w:r>
      <w:r>
        <w:rPr>
          <w:rFonts w:ascii="Times New Roman" w:hAnsi="Times New Roman" w:cs="Times New Roman"/>
          <w:noProof/>
          <w:sz w:val="24"/>
          <w:szCs w:val="24"/>
        </w:rPr>
        <w:t xml:space="preserve"> </w:t>
      </w:r>
      <w:r>
        <w:rPr>
          <w:rFonts w:ascii="Times New Roman" w:hAnsi="Times New Roman" w:cs="Times New Roman"/>
          <w:b/>
          <w:noProof/>
          <w:sz w:val="24"/>
          <w:szCs w:val="24"/>
        </w:rPr>
        <w:t>group</w:t>
      </w:r>
      <w:r>
        <w:rPr>
          <w:rFonts w:ascii="Times New Roman" w:hAnsi="Times New Roman" w:cs="Times New Roman"/>
          <w:noProof/>
          <w:sz w:val="24"/>
          <w:szCs w:val="24"/>
        </w:rPr>
        <w:t xml:space="preserve"> expressed scepticism, but was looking forward to see Commission proposals. Instead of working towards partnerships with third countries, the Commission seemed to focus on the EU's narrow self-interest by promoting only the tourism of rich people. "Facilitations" would in reality just mean that more personal data was entered into more and more databases. A link between visa policy and readmission was not enough and real partnerships with the countries concerned were needed instead. </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ECR group </w:t>
      </w:r>
      <w:r>
        <w:rPr>
          <w:rFonts w:ascii="Times New Roman" w:hAnsi="Times New Roman" w:cs="Times New Roman"/>
          <w:noProof/>
          <w:sz w:val="24"/>
          <w:szCs w:val="24"/>
        </w:rPr>
        <w:t>recalled that the original aim of visa policy was always the prevention of migratory and security risks. However, they agreed that now the situation had changed dramatically with the terror attacks in the past few months and years. There was full support for the intention to lower administrative burdens; IT solutions could be of great help in this respect. It was necessary to link visa policy to readmission and applicants should pay the full cost of the visa procedure. The group was opposed to full harmonisation of visa issuing practices; while there could be coordination, it should remain up to MS to take the final decision. Nationality should remain the primary criterion for visa policy.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ALDE group</w:t>
      </w:r>
      <w:r>
        <w:rPr>
          <w:rFonts w:ascii="Times New Roman" w:hAnsi="Times New Roman" w:cs="Times New Roman"/>
          <w:noProof/>
          <w:sz w:val="24"/>
          <w:szCs w:val="24"/>
        </w:rPr>
        <w:t xml:space="preserve"> supported the enlargement of discussions to security and migration concerns, in addition to the economic dimension. They could back a revision of the visa fee and suggested varying fees depending on third countries' cooperation on readmission. This, however, would exclude any move away from nationality as the criterion for defining visa requirements, an idea which was met with scepticism. The group was radically in favour of harmonising practices between Member States, especially as regards the issuing of multiple-entry visas.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GUE-NGL group</w:t>
      </w:r>
      <w:r>
        <w:rPr>
          <w:rFonts w:ascii="Times New Roman" w:hAnsi="Times New Roman" w:cs="Times New Roman"/>
          <w:noProof/>
          <w:sz w:val="24"/>
          <w:szCs w:val="24"/>
        </w:rPr>
        <w:t xml:space="preserve"> wondered if there were no security and migration concerns in 2014. Simplification and modernisation were already the objectives of the 2014 proposal, so they were not convinced by a change of strategy. While it might be necessary to harmonise practices on multiple-entry visas, the group considered that Commission lacked coherence by not proposing to harmonise asylum policies upwards, too. The group was against raising the visa fee, since this would further limit the right to mobility. Suggestions to move away from nationality as the defining criterion would contradict any link of visa policy with readmission.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Greens-EFA group</w:t>
      </w:r>
      <w:r>
        <w:rPr>
          <w:rFonts w:ascii="Times New Roman" w:hAnsi="Times New Roman" w:cs="Times New Roman"/>
          <w:noProof/>
          <w:sz w:val="24"/>
          <w:szCs w:val="24"/>
        </w:rPr>
        <w:t xml:space="preserve"> was not satisfied with the link with readmission and warned of unintended consequences in the cooperation with partner countries. They favoured harmonisation as long as it was upwards and recalled their support for the touring visa. IT solutions needed to be carefully assessed for their data protection impact; the same must be done if there is a move away from nationality towards more individualised approaches, which they look upon favourably.</w:t>
      </w:r>
    </w:p>
    <w:p>
      <w:pPr>
        <w:spacing w:before="120" w:after="120" w:line="240" w:lineRule="auto"/>
        <w:jc w:val="both"/>
        <w:rPr>
          <w:rFonts w:ascii="Times New Roman" w:hAnsi="Times New Roman" w:cs="Times New Roman"/>
          <w:b/>
          <w:i/>
          <w:noProof/>
          <w:sz w:val="24"/>
          <w:szCs w:val="24"/>
        </w:rPr>
      </w:pPr>
    </w:p>
    <w:p>
      <w:pPr>
        <w:keepNext/>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3. Stakeholders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services organised a targeted consultation meeting with stakeholders on 20 November 2017. 16 persons representing 12 organisations from the fields of travel, tourism, shipping and air transport were present.</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Many also provided written contributions after the meeting.</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w:t>
      </w:r>
      <w:r>
        <w:rPr>
          <w:rFonts w:ascii="Times New Roman" w:hAnsi="Times New Roman" w:cs="Times New Roman"/>
          <w:b/>
          <w:noProof/>
          <w:sz w:val="24"/>
          <w:szCs w:val="24"/>
        </w:rPr>
        <w:t>reduction of administrative burdens</w:t>
      </w:r>
      <w:r>
        <w:rPr>
          <w:rFonts w:ascii="Times New Roman" w:hAnsi="Times New Roman" w:cs="Times New Roman"/>
          <w:noProof/>
          <w:sz w:val="24"/>
          <w:szCs w:val="24"/>
        </w:rPr>
        <w:t>, the association representing business travellers noted that facilitations should be available for business travellers that often need to depart on short notice and that cannot be without their passport for several weeks.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tourism industry associations noted that native language support, a single point of complete information to the public and a user-friendly and culturally-sensitive approach to applicants was essential. The application form should be simplified and the advance deadline for lodging applications extended. Applications from persons who had already been granted visas should be handled more flexibly and visas on arrival should be considered. The question of which Member State is competent for an application causes problems, especially if this country is not represented locally. Applicants should be able to lodge their application at any consulate that is located close to their residence. Travel medical insurance should not be required at the time of lodging application. Generally, requirements for supporting documents should be harmonised and their number reduced;  the requirement for confirmed hotel reservations should be replaced by an agency guarantee that accommodation will be booked after the final group size is known, or by sufficient own means.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association representing performing arts highlighted that other administrative burdens, such as work permits, also play a large role. The credibility of the inviting agency/sponsor in the EU should be part of the assessment for providing facilitations. The association also regretted that following the withdrawal of the touring visa proposal, the legal gap regarding stays over 90 days without staying for 90 days in any single Member State will remain.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maritime transport associations, speaking also on behalf of the European Sectoral Social Dialogue Committee, noted that the new proposal should take into account seafarers' working conditions. Processing time should be reduced (10 days) and applications should be allowed longer in advance (9 months). In exceptional circumstances, applications at the border should be facilitated. The previous visa history, also regarding other countries (US, Australia), should be considered.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airlines noted that the visa process should not be a barrier to travel and information to the public should be as clear as possible.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issuing of multiple-entry visas</w:t>
      </w:r>
      <w:r>
        <w:rPr>
          <w:rFonts w:ascii="Times New Roman" w:hAnsi="Times New Roman" w:cs="Times New Roman"/>
          <w:noProof/>
          <w:sz w:val="24"/>
          <w:szCs w:val="24"/>
        </w:rPr>
        <w:t>, all associations were in favour of expanding the issuing of MEVs with a longer validity to bona fide applicants, including tourists. From a business traveller perspective, MEVs facilitate travel at short notice. From a tourism perspective, MEVs should be considered as a marketing tool: On the first visit, tourists go to the most-visited sites; by incentivising repeat visits, lesser-known regions in the EU would benefit from more sustainable tourism. For maritime transport, MEVs would reduce the complexity of crew changes and decrease the need for visas at the border. The airlines suggested using PNR data on applicants' travel history for identifying frequent travellers and issuing MEVs.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associations noted that </w:t>
      </w:r>
      <w:r>
        <w:rPr>
          <w:rFonts w:ascii="Times New Roman" w:hAnsi="Times New Roman" w:cs="Times New Roman"/>
          <w:b/>
          <w:noProof/>
          <w:sz w:val="24"/>
          <w:szCs w:val="24"/>
        </w:rPr>
        <w:t>visa fees</w:t>
      </w:r>
      <w:r>
        <w:rPr>
          <w:rFonts w:ascii="Times New Roman" w:hAnsi="Times New Roman" w:cs="Times New Roman"/>
          <w:noProof/>
          <w:sz w:val="24"/>
          <w:szCs w:val="24"/>
        </w:rPr>
        <w:t xml:space="preserve"> around the world are not cost-based and the EU should set it with regard to the practice of "competitors". Most considered the fee of 60 EUR reasonable and did not support an increase. The cost of the visa process should be seen as a marketing cost and shouldn't be covered entirely by the fee: the money spent (and taxes paid) by travellers in the EU needs to be taken into account. Measures should also be taken to reduce the indirect costs of the application process, such as travel to the consulate.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associations appreciated the services provided by </w:t>
      </w:r>
      <w:r>
        <w:rPr>
          <w:rFonts w:ascii="Times New Roman" w:hAnsi="Times New Roman" w:cs="Times New Roman"/>
          <w:b/>
          <w:noProof/>
          <w:sz w:val="24"/>
          <w:szCs w:val="24"/>
        </w:rPr>
        <w:t>external service providers</w:t>
      </w:r>
      <w:r>
        <w:rPr>
          <w:rFonts w:ascii="Times New Roman" w:hAnsi="Times New Roman" w:cs="Times New Roman"/>
          <w:noProof/>
          <w:sz w:val="24"/>
          <w:szCs w:val="24"/>
        </w:rPr>
        <w:t>, but considered that more competition between them was necessary to keep standards up. The performing arts association insisted on maintaining the possibility of lodging applications directly at consulates.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associations urged speedy progress in moving towards an </w:t>
      </w:r>
      <w:r>
        <w:rPr>
          <w:rFonts w:ascii="Times New Roman" w:hAnsi="Times New Roman" w:cs="Times New Roman"/>
          <w:b/>
          <w:noProof/>
          <w:sz w:val="24"/>
          <w:szCs w:val="24"/>
        </w:rPr>
        <w:t>electronic visa and online applications</w:t>
      </w:r>
      <w:r>
        <w:rPr>
          <w:rFonts w:ascii="Times New Roman" w:hAnsi="Times New Roman" w:cs="Times New Roman"/>
          <w:noProof/>
          <w:sz w:val="24"/>
          <w:szCs w:val="24"/>
        </w:rPr>
        <w:t>. Any studies that might still be necessary should be targeted on technical questions.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differentiation of visa requirement based on nationality</w:t>
      </w:r>
      <w:r>
        <w:rPr>
          <w:rFonts w:ascii="Times New Roman" w:hAnsi="Times New Roman" w:cs="Times New Roman"/>
          <w:noProof/>
          <w:sz w:val="24"/>
          <w:szCs w:val="24"/>
        </w:rPr>
        <w:t xml:space="preserve"> or on individual travellers' profile, most associations warned of the complexity of introducing further criteria besides nationality. The airlines highlighted that requirements need to be understood by carriers. The hotels associations suggested waiting for the implementation of EES and ETIAS before further options are considered. Some other associations were open to introducing additional criteria besides nationality, such as the country of (permanent) residence. In particular, the performing arts association noted that the purpose of travel could be considered. In the same line, the maritime transport associations underscored that seafarers are low-risk travellers. The association representing business travellers was most supportive of moving away from nationality as the sole criterion, as companies now have staff of all nationalities based all over the world.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associations representing maritime transport expressed strong concern about the possible link between </w:t>
      </w:r>
      <w:r>
        <w:rPr>
          <w:rFonts w:ascii="Times New Roman" w:hAnsi="Times New Roman" w:cs="Times New Roman"/>
          <w:b/>
          <w:noProof/>
          <w:sz w:val="24"/>
          <w:szCs w:val="24"/>
        </w:rPr>
        <w:t>visa policy and cooperation on readmission</w:t>
      </w:r>
      <w:r>
        <w:rPr>
          <w:rFonts w:ascii="Times New Roman" w:hAnsi="Times New Roman" w:cs="Times New Roman"/>
          <w:noProof/>
          <w:sz w:val="24"/>
          <w:szCs w:val="24"/>
        </w:rPr>
        <w:t>. The associations warned that only 15% of their crews come from countries that have concluded readmission agreements with the EU; excluding Russia, this figure drops to 5%. If restrictive measures were imposed on certain nationalities based on the existence or absence of readmission agreements, this would unfairly penalise seafarers and jeopardise the entire industry.</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II. Open public consultation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public consultation was open for 10 weeks (24 November 2017 – 2 February 2018) and attracted a total of 1929 responses, of which 1849 were from individual respondents and 80 represented organisations. Respondents answering on behalf of an organisation could also upload a document in order to provide additional information or raise specific points which were not covered by the questionnaire.</w:t>
      </w:r>
      <w:r>
        <w:rPr>
          <w:rStyle w:val="FootnoteReference"/>
          <w:rFonts w:ascii="Times New Roman" w:eastAsia="Times New Roman" w:hAnsi="Times New Roman"/>
          <w:noProof/>
          <w:sz w:val="24"/>
          <w:szCs w:val="24"/>
        </w:rPr>
        <w:footnoteReference w:id="61"/>
      </w:r>
      <w:r>
        <w:rPr>
          <w:rFonts w:ascii="Times New Roman" w:eastAsia="Times New Roman" w:hAnsi="Times New Roman"/>
          <w:noProof/>
          <w:sz w:val="24"/>
          <w:szCs w:val="24"/>
        </w:rPr>
        <w:t xml:space="preserve"> As the contributions by organisations corresponded to the opinions expressed during the stakeholder consultation (see above), this summary focuses on the responses by individuals.</w:t>
      </w:r>
      <w:r>
        <w:rPr>
          <w:rStyle w:val="FootnoteReference"/>
          <w:rFonts w:ascii="Times New Roman" w:eastAsia="Times New Roman" w:hAnsi="Times New Roman"/>
          <w:noProof/>
          <w:sz w:val="24"/>
          <w:szCs w:val="24"/>
        </w:rPr>
        <w:footnoteReference w:id="62"/>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 large share of the responses received from respondents with Omani or Moroccan nationality or residence (1385 responses, 72%) are suspected to be part of </w:t>
      </w:r>
      <w:r>
        <w:rPr>
          <w:rFonts w:ascii="Times New Roman" w:eastAsia="Times New Roman" w:hAnsi="Times New Roman"/>
          <w:b/>
          <w:noProof/>
          <w:sz w:val="24"/>
          <w:szCs w:val="24"/>
        </w:rPr>
        <w:t>campaigns</w:t>
      </w:r>
      <w:r>
        <w:rPr>
          <w:rFonts w:ascii="Times New Roman" w:eastAsia="Times New Roman" w:hAnsi="Times New Roman"/>
          <w:noProof/>
          <w:sz w:val="24"/>
          <w:szCs w:val="24"/>
        </w:rPr>
        <w:t>, due to the frequency of submissions during a specific period of time and similar patterns in responses. These responses are not included in the general assessment, but are instead considered separately below.</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survey attracted responses from a </w:t>
      </w:r>
      <w:r>
        <w:rPr>
          <w:rFonts w:ascii="Times New Roman" w:eastAsia="Times New Roman" w:hAnsi="Times New Roman"/>
          <w:b/>
          <w:noProof/>
          <w:sz w:val="24"/>
          <w:szCs w:val="24"/>
        </w:rPr>
        <w:t>broad range of nationalities</w:t>
      </w:r>
      <w:r>
        <w:rPr>
          <w:rFonts w:ascii="Times New Roman" w:eastAsia="Times New Roman" w:hAnsi="Times New Roman"/>
          <w:noProof/>
          <w:sz w:val="24"/>
          <w:szCs w:val="24"/>
        </w:rPr>
        <w:t>, but with a weighting towards Belarus (20%) and Russia (18%).</w:t>
      </w:r>
      <w:r>
        <w:rPr>
          <w:rStyle w:val="FootnoteReference"/>
          <w:rFonts w:ascii="Times New Roman" w:eastAsia="Times New Roman" w:hAnsi="Times New Roman"/>
          <w:noProof/>
          <w:sz w:val="24"/>
          <w:szCs w:val="24"/>
        </w:rPr>
        <w:footnoteReference w:id="63"/>
      </w:r>
      <w:r>
        <w:rPr>
          <w:rFonts w:ascii="Times New Roman" w:eastAsia="Times New Roman" w:hAnsi="Times New Roman"/>
          <w:noProof/>
          <w:sz w:val="24"/>
          <w:szCs w:val="24"/>
        </w:rPr>
        <w:t xml:space="preserve"> Nationals of Colombia (5%) and Ukraine (2%) submitted responses despite these nationalities being visa-free. Respondents had generally applied for Schengen visas in the last five years (89%), with more than 95% reporting that their visa was issued. 63% of respondents </w:t>
      </w:r>
      <w:r>
        <w:rPr>
          <w:rFonts w:ascii="Times New Roman" w:eastAsia="Times New Roman" w:hAnsi="Times New Roman"/>
          <w:b/>
          <w:noProof/>
          <w:sz w:val="24"/>
          <w:szCs w:val="24"/>
        </w:rPr>
        <w:t>travel frequently</w:t>
      </w:r>
      <w:r>
        <w:rPr>
          <w:rFonts w:ascii="Times New Roman" w:eastAsia="Times New Roman" w:hAnsi="Times New Roman"/>
          <w:noProof/>
          <w:sz w:val="24"/>
          <w:szCs w:val="24"/>
        </w:rPr>
        <w:t xml:space="preserve"> to the Schengen area (more than twice per year).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As </w:t>
      </w:r>
      <w:r>
        <w:rPr>
          <w:rFonts w:ascii="Times New Roman" w:eastAsia="Times New Roman" w:hAnsi="Times New Roman"/>
          <w:b/>
          <w:noProof/>
          <w:sz w:val="24"/>
          <w:szCs w:val="24"/>
        </w:rPr>
        <w:t>purpose of travel</w:t>
      </w:r>
      <w:r>
        <w:rPr>
          <w:rFonts w:ascii="Times New Roman" w:eastAsia="Times New Roman" w:hAnsi="Times New Roman"/>
          <w:noProof/>
          <w:sz w:val="24"/>
          <w:szCs w:val="24"/>
        </w:rPr>
        <w:t>, 43% of respondents named tourism, 21% business or professional purposes, 16% participation in  political, scientific, cultural, sports or religious events, and 11% participation in short-term internship or exchange programmes. Family visits as travel purpose accounted for 5% of the replies, with 4% of respondents citing unspecified other reasons.</w:t>
      </w:r>
    </w:p>
    <w:p>
      <w:pPr>
        <w:spacing w:before="120" w:after="120" w:line="240" w:lineRule="auto"/>
        <w:jc w:val="both"/>
        <w:rPr>
          <w:rFonts w:ascii="Times New Roman" w:eastAsia="Times New Roman" w:hAnsi="Times New Roman"/>
          <w:bCs/>
          <w:noProof/>
          <w:sz w:val="24"/>
          <w:szCs w:val="24"/>
        </w:rPr>
      </w:pPr>
      <w:r>
        <w:rPr>
          <w:noProof/>
          <w:lang w:val="en-US"/>
        </w:rPr>
        <w:drawing>
          <wp:inline distT="0" distB="0" distL="0" distR="0">
            <wp:extent cx="5494867" cy="3183466"/>
            <wp:effectExtent l="0" t="0" r="10795" b="171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before="120" w:after="120" w:line="240" w:lineRule="auto"/>
        <w:jc w:val="both"/>
        <w:rPr>
          <w:rFonts w:ascii="Times New Roman" w:eastAsia="Times New Roman" w:hAnsi="Times New Roman"/>
          <w:bCs/>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Cs/>
          <w:noProof/>
          <w:sz w:val="24"/>
          <w:szCs w:val="24"/>
        </w:rPr>
        <w:t xml:space="preserve">In order to </w:t>
      </w:r>
      <w:r>
        <w:rPr>
          <w:rFonts w:ascii="Times New Roman" w:eastAsia="Times New Roman" w:hAnsi="Times New Roman"/>
          <w:b/>
          <w:bCs/>
          <w:noProof/>
          <w:sz w:val="24"/>
          <w:szCs w:val="24"/>
        </w:rPr>
        <w:t>apply for a visa</w:t>
      </w:r>
      <w:r>
        <w:rPr>
          <w:rFonts w:ascii="Times New Roman" w:eastAsia="Times New Roman" w:hAnsi="Times New Roman"/>
          <w:bCs/>
          <w:noProof/>
          <w:sz w:val="24"/>
          <w:szCs w:val="24"/>
        </w:rPr>
        <w:t>, m</w:t>
      </w:r>
      <w:r>
        <w:rPr>
          <w:rFonts w:ascii="Times New Roman" w:eastAsia="Times New Roman" w:hAnsi="Times New Roman"/>
          <w:noProof/>
          <w:sz w:val="24"/>
          <w:szCs w:val="24"/>
        </w:rPr>
        <w:t>ost respondents (90%) did not have to travel abroad. Of respondents who did have to travel, including internal travel, many had to travel substantial distances. 13% of respondents travelled at least 500km, and 17% travelled for five hours or more. Most respondents (78%) considered that the three-month limit for lodging short-stay visa applications before the trip could be more flexible, helping applicants to avoid peak periods/long waiting times at consulates and/or better plan their visits. A majority of respondents knew of the opportunity to lodge applications directly at consulates (75%), but 15% decided to apply via an external service provider.</w:t>
      </w:r>
    </w:p>
    <w:p>
      <w:pPr>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It is a general practice for consulates to require applicants to make an </w:t>
      </w:r>
      <w:r>
        <w:rPr>
          <w:rFonts w:ascii="Times New Roman" w:eastAsia="Times New Roman" w:hAnsi="Times New Roman"/>
          <w:b/>
          <w:bCs/>
          <w:noProof/>
          <w:sz w:val="24"/>
          <w:szCs w:val="24"/>
        </w:rPr>
        <w:t>appointment to lodge their visa application</w:t>
      </w:r>
      <w:r>
        <w:rPr>
          <w:rFonts w:ascii="Times New Roman" w:eastAsia="Times New Roman" w:hAnsi="Times New Roman"/>
          <w:bCs/>
          <w:noProof/>
          <w:sz w:val="24"/>
          <w:szCs w:val="24"/>
        </w:rPr>
        <w:t>. The appointments are supposed to take place within two weeks of the dates on which they are requested. However, 28% of respondents who required appointments signalled that they did not get appointments within two weeks. In addition, 30% of respondents believed the two-week timeframe to be unacceptable, as consulates do not allow urgent applications to be made directly without appointments. On the other hand, 29% of respondents considered a two-week timeframe for appointments to be acceptable, given that in urgent cases, the requirement to make appointments is waived.</w:t>
      </w:r>
    </w:p>
    <w:p>
      <w:pPr>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With regard to </w:t>
      </w:r>
      <w:r>
        <w:rPr>
          <w:rFonts w:ascii="Times New Roman" w:eastAsia="Times New Roman" w:hAnsi="Times New Roman"/>
          <w:b/>
          <w:bCs/>
          <w:noProof/>
          <w:sz w:val="24"/>
          <w:szCs w:val="24"/>
        </w:rPr>
        <w:t>facilitations for repeat applicants</w:t>
      </w:r>
      <w:r>
        <w:rPr>
          <w:rFonts w:ascii="Times New Roman" w:eastAsia="Times New Roman" w:hAnsi="Times New Roman"/>
          <w:bCs/>
          <w:noProof/>
          <w:sz w:val="24"/>
          <w:szCs w:val="24"/>
        </w:rPr>
        <w:t>, only 16% of frequent travellers had been offered any such benefits. Of this group, the most common benefit was receipt of multiple-entry visas for longer periods than applied for (60%). Other less-frequent benefits cited on multiple occasions included not having to apply in person (11%) and not having to present certain document(s) regarding journey purpose (6%), accommodation (6%), or situation in home country (5%).</w:t>
      </w:r>
    </w:p>
    <w:p>
      <w:pPr>
        <w:spacing w:before="120" w:after="120" w:line="240" w:lineRule="auto"/>
        <w:jc w:val="both"/>
        <w:rPr>
          <w:rFonts w:ascii="Times New Roman" w:eastAsia="Times New Roman" w:hAnsi="Times New Roman"/>
          <w:bCs/>
          <w:noProof/>
          <w:sz w:val="24"/>
          <w:szCs w:val="24"/>
        </w:rPr>
      </w:pPr>
    </w:p>
    <w:p>
      <w:pPr>
        <w:spacing w:before="120" w:after="120" w:line="240" w:lineRule="auto"/>
        <w:jc w:val="both"/>
        <w:rPr>
          <w:rFonts w:ascii="Times New Roman" w:eastAsia="Times New Roman" w:hAnsi="Times New Roman"/>
          <w:bCs/>
          <w:noProof/>
          <w:sz w:val="24"/>
          <w:szCs w:val="24"/>
        </w:rPr>
      </w:pPr>
      <w:r>
        <w:rPr>
          <w:noProof/>
          <w:lang w:val="en-US"/>
        </w:rPr>
        <w:drawing>
          <wp:inline distT="0" distB="0" distL="0" distR="0">
            <wp:extent cx="5434641" cy="3122762"/>
            <wp:effectExtent l="0" t="0" r="13970" b="2095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before="120" w:after="120" w:line="240" w:lineRule="auto"/>
        <w:jc w:val="both"/>
        <w:rPr>
          <w:rFonts w:ascii="Times New Roman" w:eastAsia="Times New Roman" w:hAnsi="Times New Roman"/>
          <w:bCs/>
          <w:noProof/>
          <w:sz w:val="24"/>
          <w:szCs w:val="24"/>
        </w:rPr>
      </w:pPr>
    </w:p>
    <w:p>
      <w:pPr>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While respondents paid visa fees of either 60 or 35 EUR, the average </w:t>
      </w:r>
      <w:r>
        <w:rPr>
          <w:rFonts w:ascii="Times New Roman" w:eastAsia="Times New Roman" w:hAnsi="Times New Roman"/>
          <w:b/>
          <w:bCs/>
          <w:noProof/>
          <w:sz w:val="24"/>
          <w:szCs w:val="24"/>
        </w:rPr>
        <w:t>indirect</w:t>
      </w:r>
      <w:r>
        <w:rPr>
          <w:rFonts w:ascii="Times New Roman" w:eastAsia="Times New Roman" w:hAnsi="Times New Roman"/>
          <w:bCs/>
          <w:noProof/>
          <w:sz w:val="24"/>
          <w:szCs w:val="24"/>
        </w:rPr>
        <w:t xml:space="preserve"> </w:t>
      </w:r>
      <w:r>
        <w:rPr>
          <w:rFonts w:ascii="Times New Roman" w:eastAsia="Times New Roman" w:hAnsi="Times New Roman"/>
          <w:b/>
          <w:bCs/>
          <w:noProof/>
          <w:sz w:val="24"/>
          <w:szCs w:val="24"/>
        </w:rPr>
        <w:t xml:space="preserve">cost of the visa application </w:t>
      </w:r>
      <w:r>
        <w:rPr>
          <w:rFonts w:ascii="Times New Roman" w:eastAsia="Times New Roman" w:hAnsi="Times New Roman"/>
          <w:bCs/>
          <w:noProof/>
          <w:sz w:val="24"/>
          <w:szCs w:val="24"/>
        </w:rPr>
        <w:t>can be even higher: applicants reported spending on average EUR 45 for travel medical insurance and around EUR 60 for travelling to the consulate or visa application centre (with a wide distribution: some respondents reported costs of EUR 20 or less, while others had to spend more than EUR 100 to reach the consulate or external service provider). The time required to collect supporting documents and lodge a visa application was repeatedly mentioned as a significant cause of additional costs. The length of the procedure was also identified as the most difficult aspect of the visa procedure by 26% or respondents.</w:t>
      </w:r>
    </w:p>
    <w:p>
      <w:pPr>
        <w:spacing w:before="120" w:after="120" w:line="240" w:lineRule="auto"/>
        <w:jc w:val="both"/>
        <w:rPr>
          <w:rFonts w:ascii="Times New Roman" w:eastAsia="Times New Roman" w:hAnsi="Times New Roman"/>
          <w:bCs/>
          <w:noProof/>
          <w:sz w:val="24"/>
          <w:szCs w:val="24"/>
        </w:rPr>
      </w:pPr>
    </w:p>
    <w:p>
      <w:pPr>
        <w:spacing w:before="120" w:after="120" w:line="240" w:lineRule="auto"/>
        <w:jc w:val="both"/>
        <w:rPr>
          <w:rFonts w:ascii="Times New Roman" w:eastAsia="Times New Roman" w:hAnsi="Times New Roman"/>
          <w:bCs/>
          <w:noProof/>
          <w:sz w:val="24"/>
          <w:szCs w:val="24"/>
        </w:rPr>
      </w:pPr>
      <w:r>
        <w:rPr>
          <w:noProof/>
          <w:lang w:val="en-US"/>
        </w:rPr>
        <w:drawing>
          <wp:inline distT="0" distB="0" distL="0" distR="0">
            <wp:extent cx="5433237" cy="3327991"/>
            <wp:effectExtent l="0" t="0" r="15240" b="254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The entire visa procedure took between 10 and 30 days for around half of respondents (47%), while 40% were able to receive their visas in under 10 days. 13% of respondents reported that it took more than one month before they could collect their passports.</w:t>
      </w:r>
    </w:p>
    <w:p>
      <w:pPr>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81% of respondents had applied for </w:t>
      </w:r>
      <w:r>
        <w:rPr>
          <w:rFonts w:ascii="Times New Roman" w:eastAsia="Times New Roman" w:hAnsi="Times New Roman"/>
          <w:b/>
          <w:bCs/>
          <w:noProof/>
          <w:sz w:val="24"/>
          <w:szCs w:val="24"/>
        </w:rPr>
        <w:t>multiple-entry visas</w:t>
      </w:r>
      <w:r>
        <w:rPr>
          <w:rFonts w:ascii="Times New Roman" w:eastAsia="Times New Roman" w:hAnsi="Times New Roman"/>
          <w:bCs/>
          <w:noProof/>
          <w:sz w:val="24"/>
          <w:szCs w:val="24"/>
        </w:rPr>
        <w:t>, either because of their regular travel needs (64%) or because they had been told that this was the best way to obtain at least a single-entry visa (17%). While 82% of respondents who were issued visas had received multiple-entry visas, the largest share of respondents (66%) reported receiving visas with validity of less than one year. Only 5% of respondents reported receiving visas with validity of between four and five years. Of respondents who received multiple-entry visas, around half (53%) reported having taken or intending to take between one and three spontaneous trips to the EU during their visas' validity periods.</w:t>
      </w:r>
    </w:p>
    <w:p>
      <w:pPr>
        <w:spacing w:before="120" w:after="120" w:line="240" w:lineRule="auto"/>
        <w:jc w:val="both"/>
        <w:rPr>
          <w:rFonts w:ascii="Times New Roman" w:eastAsia="Times New Roman" w:hAnsi="Times New Roman"/>
          <w:bCs/>
          <w:noProof/>
          <w:sz w:val="24"/>
          <w:szCs w:val="24"/>
        </w:rPr>
      </w:pPr>
    </w:p>
    <w:p>
      <w:pPr>
        <w:spacing w:before="120" w:after="120" w:line="240" w:lineRule="auto"/>
        <w:jc w:val="both"/>
        <w:rPr>
          <w:rFonts w:ascii="Times New Roman" w:eastAsia="Times New Roman" w:hAnsi="Times New Roman"/>
          <w:bCs/>
          <w:noProof/>
          <w:sz w:val="24"/>
          <w:szCs w:val="24"/>
        </w:rPr>
      </w:pPr>
      <w:r>
        <w:rPr>
          <w:noProof/>
          <w:lang w:val="en-US"/>
        </w:rPr>
        <w:drawing>
          <wp:inline distT="0" distB="0" distL="0" distR="0">
            <wp:extent cx="5545667" cy="3564466"/>
            <wp:effectExtent l="0" t="0" r="17145" b="1714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imes New Roman" w:eastAsia="Times New Roman" w:hAnsi="Times New Roman"/>
          <w:bCs/>
          <w:noProof/>
          <w:sz w:val="24"/>
          <w:szCs w:val="24"/>
          <w:highlight w:val="yellow"/>
        </w:rPr>
        <w:t xml:space="preserve"> </w:t>
      </w:r>
    </w:p>
    <w:p>
      <w:pPr>
        <w:spacing w:before="120" w:after="120" w:line="240" w:lineRule="auto"/>
        <w:jc w:val="both"/>
        <w:rPr>
          <w:rFonts w:ascii="Times New Roman" w:eastAsia="Times New Roman" w:hAnsi="Times New Roman"/>
          <w:bCs/>
          <w:noProof/>
          <w:sz w:val="24"/>
          <w:szCs w:val="24"/>
        </w:rPr>
      </w:pPr>
    </w:p>
    <w:p>
      <w:pPr>
        <w:keepNext/>
        <w:pBdr>
          <w:top w:val="single" w:sz="4" w:space="1" w:color="auto"/>
          <w:left w:val="single" w:sz="4" w:space="4" w:color="auto"/>
          <w:bottom w:val="single" w:sz="4" w:space="1" w:color="auto"/>
          <w:right w:val="single" w:sz="4" w:space="4" w:color="auto"/>
        </w:pBdr>
        <w:spacing w:before="120" w:after="120" w:line="240" w:lineRule="auto"/>
        <w:rPr>
          <w:rFonts w:ascii="Times New Roman" w:eastAsia="Times New Roman" w:hAnsi="Times New Roman"/>
          <w:b/>
          <w:noProof/>
          <w:sz w:val="24"/>
          <w:szCs w:val="24"/>
        </w:rPr>
      </w:pPr>
      <w:r>
        <w:rPr>
          <w:rFonts w:ascii="Times New Roman" w:eastAsia="Times New Roman" w:hAnsi="Times New Roman"/>
          <w:b/>
          <w:noProof/>
          <w:sz w:val="24"/>
          <w:szCs w:val="24"/>
        </w:rPr>
        <w:t>Selected responses to the open questions on obtaining MEVs:</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i/>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After having obtained several multiple entry Schengen visas, I was issued a single entry visa by the German Embassy despite my request of a multiple entry one and submitting insurance for 180 days. I had another trip to Austria literally 10 days after my return from Germany so I applied for another Schengen visa at the Austrian Embassy which took longer than usual so I had to retrieve my passport one day before departure to Germany and send it back after my return. That was undue hassle.</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eastAsia="Times New Roman" w:hAnsi="Times New Roman"/>
          <w:i/>
          <w:noProof/>
          <w:sz w:val="24"/>
          <w:szCs w:val="24"/>
        </w:rPr>
      </w:pPr>
      <w:r>
        <w:rPr>
          <w:rFonts w:ascii="Times New Roman" w:eastAsia="Times New Roman" w:hAnsi="Times New Roman"/>
          <w:i/>
          <w:noProof/>
          <w:sz w:val="24"/>
          <w:szCs w:val="24"/>
        </w:rPr>
        <w:t>A respondent from Jordan</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i/>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Last year I received a one-year Greek multiple entry visa and travelled to Schengen countries 3 times. Since I used it correctly, this year I received a three-year Greek visa. It's very nice and right, but the most countries don't give such long visas even to active travellers.</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eastAsia="Times New Roman" w:hAnsi="Times New Roman"/>
          <w:i/>
          <w:noProof/>
          <w:sz w:val="24"/>
          <w:szCs w:val="24"/>
        </w:rPr>
      </w:pPr>
      <w:r>
        <w:rPr>
          <w:rFonts w:ascii="Times New Roman" w:eastAsia="Times New Roman" w:hAnsi="Times New Roman"/>
          <w:i/>
          <w:noProof/>
          <w:sz w:val="24"/>
          <w:szCs w:val="24"/>
        </w:rPr>
        <w:t>A respondent from Russia</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i/>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I have found that some countries give multiple entry visa for longer duration (8 months and 3 years in my case) considering your past travels to Schengen countries but other countries […] did not consider my multiple entry request despite of showing my years of travel through Schengen countries. In fact, I lived in Spain for over 4 years in the past, and even that was not considered. I found this dissimilarity between Schengen states for difficult.</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eastAsia="Times New Roman" w:hAnsi="Times New Roman"/>
          <w:i/>
          <w:noProof/>
          <w:sz w:val="24"/>
          <w:szCs w:val="24"/>
        </w:rPr>
      </w:pPr>
      <w:r>
        <w:rPr>
          <w:rFonts w:ascii="Times New Roman" w:eastAsia="Times New Roman" w:hAnsi="Times New Roman"/>
          <w:i/>
          <w:noProof/>
          <w:sz w:val="24"/>
          <w:szCs w:val="24"/>
        </w:rPr>
        <w:t>A respondent from Ireland</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i/>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Use of multiple entry visas makes travel to EU countries so much easier that the border doesn't feel like an Iron Curtain anymore. It facilitates the short occasional trips, for business or personal purposes. I think getting multi visas should be encouraged, especially for young people.</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eastAsia="Times New Roman" w:hAnsi="Times New Roman"/>
          <w:i/>
          <w:noProof/>
          <w:sz w:val="24"/>
          <w:szCs w:val="24"/>
        </w:rPr>
      </w:pPr>
      <w:r>
        <w:rPr>
          <w:rFonts w:ascii="Times New Roman" w:eastAsia="Times New Roman" w:hAnsi="Times New Roman"/>
          <w:i/>
          <w:noProof/>
          <w:sz w:val="24"/>
          <w:szCs w:val="24"/>
        </w:rPr>
        <w:t>A respondent from Russia</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eastAsia="Times New Roman" w:hAnsi="Times New Roman"/>
          <w:i/>
          <w:noProof/>
          <w:sz w:val="24"/>
          <w:szCs w:val="24"/>
        </w:rPr>
      </w:pP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i/>
          <w:noProof/>
          <w:sz w:val="24"/>
          <w:szCs w:val="24"/>
        </w:rPr>
      </w:pPr>
      <w:r>
        <w:rPr>
          <w:rFonts w:ascii="Times New Roman" w:eastAsia="Times New Roman" w:hAnsi="Times New Roman"/>
          <w:i/>
          <w:noProof/>
          <w:sz w:val="24"/>
          <w:szCs w:val="24"/>
        </w:rPr>
        <w:t>I found that some consulates are more reluctant to give a multiple entry long term visa.</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eastAsia="Times New Roman" w:hAnsi="Times New Roman"/>
          <w:i/>
          <w:noProof/>
          <w:sz w:val="24"/>
          <w:szCs w:val="24"/>
        </w:rPr>
      </w:pPr>
      <w:r>
        <w:rPr>
          <w:rFonts w:ascii="Times New Roman" w:eastAsia="Times New Roman" w:hAnsi="Times New Roman"/>
          <w:i/>
          <w:noProof/>
          <w:sz w:val="24"/>
          <w:szCs w:val="24"/>
        </w:rPr>
        <w:t>A respondent from Israel</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i/>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There are certain documents that one Member State might require whereas others might not. That said, the bulk of the required documents are identical. Moreover, Member States' willingness to issue visas for multiple entries with longer validity period varies extensively […].</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eastAsia="Times New Roman" w:hAnsi="Times New Roman"/>
          <w:i/>
          <w:noProof/>
          <w:sz w:val="24"/>
          <w:szCs w:val="24"/>
        </w:rPr>
      </w:pPr>
      <w:r>
        <w:rPr>
          <w:rFonts w:ascii="Times New Roman" w:eastAsia="Times New Roman" w:hAnsi="Times New Roman"/>
          <w:i/>
          <w:noProof/>
          <w:sz w:val="24"/>
          <w:szCs w:val="24"/>
        </w:rPr>
        <w:t>A respondent from Turkey</w:t>
      </w:r>
    </w:p>
    <w:p>
      <w:pPr>
        <w:spacing w:before="120" w:after="120" w:line="240" w:lineRule="auto"/>
        <w:jc w:val="both"/>
        <w:rPr>
          <w:rFonts w:ascii="Times New Roman" w:eastAsia="Times New Roman" w:hAnsi="Times New Roman"/>
          <w:bCs/>
          <w:noProof/>
          <w:sz w:val="24"/>
          <w:szCs w:val="24"/>
        </w:rPr>
      </w:pPr>
    </w:p>
    <w:p>
      <w:pPr>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When respondents were asked to </w:t>
      </w:r>
      <w:r>
        <w:rPr>
          <w:rFonts w:ascii="Times New Roman" w:eastAsia="Times New Roman" w:hAnsi="Times New Roman"/>
          <w:b/>
          <w:bCs/>
          <w:noProof/>
          <w:sz w:val="24"/>
          <w:szCs w:val="24"/>
        </w:rPr>
        <w:t>rate different aspects of the visa procedure</w:t>
      </w:r>
      <w:r>
        <w:rPr>
          <w:rFonts w:ascii="Times New Roman" w:eastAsia="Times New Roman" w:hAnsi="Times New Roman"/>
          <w:bCs/>
          <w:noProof/>
          <w:sz w:val="24"/>
          <w:szCs w:val="24"/>
        </w:rPr>
        <w:t xml:space="preserve"> according to their difficulty, the length of the procedure</w:t>
      </w:r>
      <w:r>
        <w:rPr>
          <w:rFonts w:ascii="Times New Roman" w:eastAsia="Times New Roman" w:hAnsi="Times New Roman"/>
          <w:b/>
          <w:bCs/>
          <w:noProof/>
          <w:sz w:val="24"/>
          <w:szCs w:val="24"/>
        </w:rPr>
        <w:t xml:space="preserve"> </w:t>
      </w:r>
      <w:r>
        <w:rPr>
          <w:rFonts w:ascii="Times New Roman" w:eastAsia="Times New Roman" w:hAnsi="Times New Roman"/>
          <w:bCs/>
          <w:noProof/>
          <w:sz w:val="24"/>
          <w:szCs w:val="24"/>
        </w:rPr>
        <w:t>was rated as "most difficult" by the greatest proportion of respondents (26%), followed by the total cost of the procedure including the visa fee (24%) and the requirement to apply in person (24%). Conversely, obtaining travel medical insurance was rated "least difficult" by the greatest proportion of respondents (46%), followed by the behaviour of the officials/persons involved in the processing (29%) and getting access to information about the visa procedure process (29%).</w:t>
      </w:r>
    </w:p>
    <w:p>
      <w:pPr>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79% of respondents' experiences would not deter them from travelling to the Schengen area again. Around half of frequent travellers noticed no changes to the visa procedure in recent years (55%), while 23% thought the procedure had improved and a further 22% thought the procedure had become worse.</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Cs/>
          <w:noProof/>
          <w:sz w:val="24"/>
          <w:szCs w:val="24"/>
        </w:rPr>
        <w:t xml:space="preserve">Among respondents who had experience of applying at different consulates, 37% stated that there were </w:t>
      </w:r>
      <w:r>
        <w:rPr>
          <w:rFonts w:ascii="Times New Roman" w:eastAsia="Times New Roman" w:hAnsi="Times New Roman"/>
          <w:b/>
          <w:bCs/>
          <w:noProof/>
          <w:sz w:val="24"/>
          <w:szCs w:val="24"/>
        </w:rPr>
        <w:t>notable differences between Member States</w:t>
      </w:r>
      <w:r>
        <w:rPr>
          <w:rFonts w:ascii="Times New Roman" w:eastAsia="Times New Roman" w:hAnsi="Times New Roman"/>
          <w:bCs/>
          <w:noProof/>
          <w:sz w:val="24"/>
          <w:szCs w:val="24"/>
        </w:rPr>
        <w:t xml:space="preserve">. Where </w:t>
      </w:r>
      <w:r>
        <w:rPr>
          <w:rFonts w:ascii="Times New Roman" w:eastAsia="Times New Roman" w:hAnsi="Times New Roman"/>
          <w:noProof/>
          <w:sz w:val="24"/>
          <w:szCs w:val="24"/>
        </w:rPr>
        <w:t>issues existed, these included differing documentation requirements, differing policies on the validity of the issued visas, and varying consideration of previous travel and visa history. However, among respondents who also had experience of applying for visas to the UK, Ireland, Canada, the US, Japan, Australia or New Zealand, 65% considered the Schengen visa procedure to be easier and more straightforward.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Respondents' comments in the free-text fields generally supported the answers given elsewhere in the questionnaire. Most frequently, respondents criticised the requirement to buy plane tickets in advance, the level of the visa fee in comparison to average salaries (especially for young people, families and retired persons), the insufficient consideration of prior visa and travel history, and the difficulty in obtaining long-validity MEVs. Some respondents also complained that refusals could appear illogical and did not fully consider individual circumstances, while others took issue with the behaviour of staff members at consulates or external service providers, leading them to conclude that the process was humiliating.</w:t>
      </w:r>
    </w:p>
    <w:p>
      <w:pPr>
        <w:spacing w:before="120" w:after="12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b/>
          <w:i/>
          <w:noProof/>
          <w:sz w:val="24"/>
          <w:szCs w:val="24"/>
        </w:rPr>
      </w:pPr>
      <w:r>
        <w:rPr>
          <w:rFonts w:ascii="Times New Roman" w:eastAsia="Times New Roman" w:hAnsi="Times New Roman"/>
          <w:i/>
          <w:noProof/>
          <w:sz w:val="24"/>
          <w:szCs w:val="24"/>
        </w:rPr>
        <w:t>Suspected campaigns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public consultation received responses from two suspected campaigns. Beginning in the morning of 14 January 2018, 1094 responses were submitted by respondents with Omani nationality or residence. These responses demonstrate patterns suggesting automatic or semi-automatic submission, for example the submission of 659 responses (60%) almost every minute between 8.43am and 15.00 on 14 January 2018. However, the responses also bear signs of authentic content, for example a range of relevant free-text comments. The responses broadly match the public consultation's wider results.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Beginning in the evening of 22 January 2018, the public consultation also received 291 responses from respondents with Moroccan nationality or residence. 222 of these responses (76%) were received in a 48-hour period following midnight on 23 January 2018. The responses again bear signs of authenticity, for example a range of relevant free-text comments, and broadly match the public consultation's wider results.</w:t>
      </w:r>
    </w:p>
    <w:p>
      <w:pPr>
        <w:rPr>
          <w:rFonts w:ascii="Times New Roman" w:hAnsi="Times New Roman" w:cs="Times New Roman"/>
          <w:b/>
          <w:noProof/>
          <w:sz w:val="24"/>
          <w:szCs w:val="24"/>
        </w:rPr>
      </w:pP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III. Overall messages from the consultation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consultation provided a good evidence base for improving the visa procedure and showed that on a variety of topics, there was a large consensus between stakeholders, including visa applicants. This is most notable regarding the different practices between Member States when issuing </w:t>
      </w:r>
      <w:r>
        <w:rPr>
          <w:rFonts w:ascii="Times New Roman" w:hAnsi="Times New Roman" w:cs="Times New Roman"/>
          <w:b/>
          <w:noProof/>
          <w:sz w:val="24"/>
          <w:szCs w:val="24"/>
        </w:rPr>
        <w:t>long-validity multiple-entry visas</w:t>
      </w:r>
      <w:r>
        <w:rPr>
          <w:rFonts w:ascii="Times New Roman" w:hAnsi="Times New Roman" w:cs="Times New Roman"/>
          <w:noProof/>
          <w:sz w:val="24"/>
          <w:szCs w:val="24"/>
        </w:rPr>
        <w:t xml:space="preserve">, where the lack of harmonisation and predictability was criticised by applicants in the public consultation and by stakeholders, just as Member States and Members of the European Parliament acknowledged the need for further harmonisation. Contrary to Member States, applicants are not favourable to increasing the </w:t>
      </w:r>
      <w:r>
        <w:rPr>
          <w:rFonts w:ascii="Times New Roman" w:hAnsi="Times New Roman" w:cs="Times New Roman"/>
          <w:b/>
          <w:noProof/>
          <w:sz w:val="24"/>
          <w:szCs w:val="24"/>
        </w:rPr>
        <w:t>visa fee</w:t>
      </w:r>
      <w:r>
        <w:rPr>
          <w:rFonts w:ascii="Times New Roman" w:hAnsi="Times New Roman" w:cs="Times New Roman"/>
          <w:noProof/>
          <w:sz w:val="24"/>
          <w:szCs w:val="24"/>
        </w:rPr>
        <w:t xml:space="preserve">. However, their responses showed that this is not the decisive factor in the overall cost of travel or the visa application, and stakeholder groups were not overwhelmingly hostile to a modest increase.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Views diverged more strongly on other issues raised in the consultation, notably the </w:t>
      </w:r>
      <w:r>
        <w:rPr>
          <w:rFonts w:ascii="Times New Roman" w:hAnsi="Times New Roman" w:cs="Times New Roman"/>
          <w:b/>
          <w:noProof/>
          <w:sz w:val="24"/>
          <w:szCs w:val="24"/>
        </w:rPr>
        <w:t>digitalisation of the visa procedure</w:t>
      </w:r>
      <w:r>
        <w:rPr>
          <w:rFonts w:ascii="Times New Roman" w:hAnsi="Times New Roman" w:cs="Times New Roman"/>
          <w:noProof/>
          <w:sz w:val="24"/>
          <w:szCs w:val="24"/>
        </w:rPr>
        <w:t xml:space="preserve"> and the possible further </w:t>
      </w:r>
      <w:r>
        <w:rPr>
          <w:rFonts w:ascii="Times New Roman" w:hAnsi="Times New Roman" w:cs="Times New Roman"/>
          <w:b/>
          <w:noProof/>
          <w:sz w:val="24"/>
          <w:szCs w:val="24"/>
        </w:rPr>
        <w:t xml:space="preserve">individualisation of visa requirements. </w:t>
      </w:r>
      <w:r>
        <w:rPr>
          <w:rFonts w:ascii="Times New Roman" w:hAnsi="Times New Roman" w:cs="Times New Roman"/>
          <w:noProof/>
          <w:sz w:val="24"/>
          <w:szCs w:val="24"/>
        </w:rPr>
        <w:t>These matters therefore appear to need further discussion and reflection.</w:t>
      </w:r>
    </w:p>
    <w:p>
      <w:pPr>
        <w:rPr>
          <w:noProof/>
        </w:rPr>
      </w:pPr>
    </w:p>
    <w:p>
      <w:pPr>
        <w:rPr>
          <w:noProof/>
        </w:rPr>
      </w:pPr>
    </w:p>
    <w:p>
      <w:pPr>
        <w:rPr>
          <w:rFonts w:ascii="Times New Roman" w:eastAsia="Times New Roman" w:hAnsi="Times New Roman"/>
          <w:b/>
          <w:noProof/>
          <w:sz w:val="24"/>
          <w:szCs w:val="24"/>
        </w:rPr>
      </w:pPr>
      <w:r>
        <w:rPr>
          <w:rFonts w:ascii="Times New Roman" w:eastAsia="Times New Roman" w:hAnsi="Times New Roman"/>
          <w:b/>
          <w:noProof/>
          <w:sz w:val="24"/>
          <w:szCs w:val="24"/>
        </w:rPr>
        <w:br w:type="page"/>
      </w:r>
    </w:p>
    <w:p>
      <w:p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List of organisations that submitted position papers or additional information </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Alibaba Group, People's Republic of China.</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Allied for Startups, Belgium.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Analytical Centre on Globalization and Regional Cooperation (ACGRC), Armenia.</w:t>
      </w:r>
    </w:p>
    <w:p>
      <w:pPr>
        <w:pStyle w:val="ListParagraph"/>
        <w:numPr>
          <w:ilvl w:val="0"/>
          <w:numId w:val="26"/>
        </w:numPr>
        <w:spacing w:before="120" w:after="120" w:line="240" w:lineRule="auto"/>
        <w:ind w:left="709"/>
        <w:jc w:val="both"/>
        <w:rPr>
          <w:rFonts w:ascii="Times New Roman" w:eastAsia="Times New Roman" w:hAnsi="Times New Roman"/>
          <w:noProof/>
          <w:sz w:val="24"/>
          <w:szCs w:val="24"/>
          <w:lang w:val="it-IT"/>
        </w:rPr>
      </w:pPr>
      <w:r>
        <w:rPr>
          <w:rFonts w:ascii="Times New Roman" w:eastAsia="Times New Roman" w:hAnsi="Times New Roman"/>
          <w:noProof/>
          <w:sz w:val="24"/>
          <w:szCs w:val="24"/>
          <w:lang w:val="it-IT"/>
        </w:rPr>
        <w:t>Armenian Progressive Youth NGO, Armenia.</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Association of Corporate Travel Executives, United States of America.</w:t>
      </w:r>
    </w:p>
    <w:p>
      <w:pPr>
        <w:pStyle w:val="ListParagraph"/>
        <w:numPr>
          <w:ilvl w:val="0"/>
          <w:numId w:val="26"/>
        </w:numPr>
        <w:spacing w:before="120" w:after="120" w:line="240" w:lineRule="auto"/>
        <w:ind w:left="709"/>
        <w:jc w:val="both"/>
        <w:rPr>
          <w:rFonts w:ascii="Times New Roman" w:eastAsia="Times New Roman" w:hAnsi="Times New Roman"/>
          <w:noProof/>
          <w:sz w:val="24"/>
          <w:szCs w:val="24"/>
          <w:lang w:val="nl-NL"/>
        </w:rPr>
      </w:pPr>
      <w:r>
        <w:rPr>
          <w:rFonts w:ascii="Times New Roman" w:eastAsia="Times New Roman" w:hAnsi="Times New Roman"/>
          <w:noProof/>
          <w:sz w:val="24"/>
          <w:szCs w:val="24"/>
          <w:lang w:val="nl-NL"/>
        </w:rPr>
        <w:t>BV Kustvaartbedrijf Moerman, The Netherlands.</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Chamber of Shipping of America, United States of America</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i/>
          <w:noProof/>
          <w:sz w:val="24"/>
          <w:szCs w:val="24"/>
        </w:rPr>
        <w:t>Cirque du Soleil</w:t>
      </w:r>
      <w:r>
        <w:rPr>
          <w:rFonts w:ascii="Times New Roman" w:eastAsia="Times New Roman" w:hAnsi="Times New Roman"/>
          <w:noProof/>
          <w:sz w:val="24"/>
          <w:szCs w:val="24"/>
        </w:rPr>
        <w:t>, Canada.</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Confcommercio – Confturismo, Italy.</w:t>
      </w:r>
    </w:p>
    <w:p>
      <w:pPr>
        <w:pStyle w:val="ListParagraph"/>
        <w:numPr>
          <w:ilvl w:val="0"/>
          <w:numId w:val="26"/>
        </w:numPr>
        <w:spacing w:before="120" w:after="120" w:line="240" w:lineRule="auto"/>
        <w:ind w:left="709"/>
        <w:jc w:val="both"/>
        <w:rPr>
          <w:rFonts w:ascii="Times New Roman" w:eastAsia="Times New Roman" w:hAnsi="Times New Roman"/>
          <w:noProof/>
          <w:sz w:val="24"/>
          <w:szCs w:val="24"/>
          <w:lang w:val="es-ES"/>
        </w:rPr>
      </w:pPr>
      <w:r>
        <w:rPr>
          <w:rFonts w:ascii="Times New Roman" w:eastAsia="Times New Roman" w:hAnsi="Times New Roman"/>
          <w:noProof/>
          <w:sz w:val="24"/>
          <w:szCs w:val="24"/>
          <w:lang w:val="es-ES"/>
        </w:rPr>
        <w:t>Confederación Española de Hoteles y Alojamientos Turísticos, Spain.</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Coordinating Committee for International Voluntary Service (CCIVS), France.</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Council for Global Immigration, United States of America.</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Cruise Lines International Association (CLIA) Europe, Belgium.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lang w:val="de-DE"/>
        </w:rPr>
      </w:pPr>
      <w:r>
        <w:rPr>
          <w:rFonts w:ascii="Times New Roman" w:eastAsia="Times New Roman" w:hAnsi="Times New Roman"/>
          <w:noProof/>
          <w:sz w:val="24"/>
          <w:szCs w:val="24"/>
          <w:lang w:val="de-DE"/>
        </w:rPr>
        <w:t>Deutsche Sportjugend im DOSB e.V., Germany.</w:t>
      </w:r>
    </w:p>
    <w:p>
      <w:pPr>
        <w:pStyle w:val="ListParagraph"/>
        <w:numPr>
          <w:ilvl w:val="0"/>
          <w:numId w:val="26"/>
        </w:numPr>
        <w:spacing w:before="120" w:after="120" w:line="240" w:lineRule="auto"/>
        <w:ind w:left="709"/>
        <w:jc w:val="both"/>
        <w:rPr>
          <w:rFonts w:ascii="Times New Roman" w:eastAsia="Times New Roman" w:hAnsi="Times New Roman"/>
          <w:noProof/>
          <w:sz w:val="24"/>
          <w:szCs w:val="24"/>
          <w:lang w:val="de-DE"/>
        </w:rPr>
      </w:pPr>
      <w:r>
        <w:rPr>
          <w:rFonts w:ascii="Times New Roman" w:eastAsia="Times New Roman" w:hAnsi="Times New Roman"/>
          <w:noProof/>
          <w:sz w:val="24"/>
          <w:szCs w:val="24"/>
        </w:rPr>
        <w:t>ECTAA - National travel agents' and tour operators' association, Belgium.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European Olympic Committees, Italy.</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European Students' Union, Belgium.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European Tourism Association, Belgium.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European Tourism Manifesto for Growth and Jobs, Belgium.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European Travel Commission, Belgium.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Feld Entertainment, Inc., United States of America</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Global Business Travel Association, United States of America.</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Hong Kong Shipowners Association, Hong Kong</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HOTREC – The Umbrella Association of Hotels, Restaurants, Pubs and Cafés in Europe, Belgium.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lang w:val="fr-BE"/>
        </w:rPr>
      </w:pPr>
      <w:r>
        <w:rPr>
          <w:rFonts w:ascii="Times New Roman" w:eastAsia="Times New Roman" w:hAnsi="Times New Roman"/>
          <w:noProof/>
          <w:sz w:val="24"/>
          <w:szCs w:val="24"/>
          <w:lang w:val="fr-BE"/>
        </w:rPr>
        <w:t>International Air Transport Association, Canada.</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International Association of Amusement Parks and Attractions, Belgium.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International Chamber of Shipping, United Kingdom.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International Organization for Migration (IOM) - UN Migration Agency, Switzerland.</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ITAMA MOBILITY, France.</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Justice and Peace, The Netherlands.</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Network for the European Private Sector in Tourism, Belgium.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Newland Chase, United Kingdom.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Pearle*- Live Performance Europe, Belgium.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Public Union of Belarusian Pensioners "Nasha Pakalenne", Belarus.</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Royal Association of Netherlands Shipowners (KVNR), The Netherlands.</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Royal Caribbean Cruises Ltd., United States of America.</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Service Civil International - Catalonia Branch, Spain.</w:t>
      </w:r>
    </w:p>
    <w:p>
      <w:pPr>
        <w:pStyle w:val="ListParagraph"/>
        <w:numPr>
          <w:ilvl w:val="0"/>
          <w:numId w:val="26"/>
        </w:numPr>
        <w:spacing w:before="120" w:after="120" w:line="240" w:lineRule="auto"/>
        <w:ind w:left="709"/>
        <w:jc w:val="both"/>
        <w:rPr>
          <w:rFonts w:ascii="Times New Roman" w:eastAsia="Times New Roman" w:hAnsi="Times New Roman"/>
          <w:noProof/>
          <w:sz w:val="24"/>
          <w:szCs w:val="24"/>
          <w:lang w:val="de-DE"/>
        </w:rPr>
      </w:pPr>
      <w:r>
        <w:rPr>
          <w:rFonts w:ascii="Times New Roman" w:eastAsia="Times New Roman" w:hAnsi="Times New Roman"/>
          <w:noProof/>
          <w:sz w:val="24"/>
          <w:szCs w:val="24"/>
          <w:lang w:val="de-DE"/>
        </w:rPr>
        <w:t>Service Civil International - Deutscher Zweig e.V., Germany.</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The Offshore Partners B.V., The Netherlands.</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UEFA - Union of European Football Associations, Switzerland.</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UK Chamber of Shipping, United Kingdom.</w:t>
      </w:r>
    </w:p>
    <w:p>
      <w:pPr>
        <w:pStyle w:val="ListParagraph"/>
        <w:numPr>
          <w:ilvl w:val="0"/>
          <w:numId w:val="26"/>
        </w:numPr>
        <w:spacing w:before="120" w:after="120" w:line="240" w:lineRule="auto"/>
        <w:ind w:left="709"/>
        <w:jc w:val="both"/>
        <w:rPr>
          <w:rFonts w:ascii="Times New Roman" w:eastAsia="Times New Roman" w:hAnsi="Times New Roman"/>
          <w:noProof/>
          <w:sz w:val="24"/>
          <w:szCs w:val="24"/>
          <w:lang w:val="it-IT"/>
        </w:rPr>
      </w:pPr>
      <w:r>
        <w:rPr>
          <w:rFonts w:ascii="Times New Roman" w:eastAsia="Times New Roman" w:hAnsi="Times New Roman"/>
          <w:noProof/>
          <w:sz w:val="24"/>
          <w:szCs w:val="24"/>
          <w:lang w:val="it-IT"/>
        </w:rPr>
        <w:t>UNIMED - Unione delle Università del Mediterraneo, Italy.</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Union of Greek Shipowners (UGS), Greece.</w:t>
      </w:r>
    </w:p>
    <w:p>
      <w:pPr>
        <w:pStyle w:val="ListParagraph"/>
        <w:numPr>
          <w:ilvl w:val="0"/>
          <w:numId w:val="26"/>
        </w:numPr>
        <w:spacing w:before="120" w:after="120" w:line="240" w:lineRule="auto"/>
        <w:ind w:left="709"/>
        <w:jc w:val="both"/>
        <w:rPr>
          <w:rFonts w:ascii="Times New Roman" w:eastAsia="Times New Roman" w:hAnsi="Times New Roman"/>
          <w:noProof/>
          <w:sz w:val="24"/>
          <w:szCs w:val="24"/>
          <w:lang w:val="de-DE"/>
        </w:rPr>
      </w:pPr>
      <w:r>
        <w:rPr>
          <w:rFonts w:ascii="Times New Roman" w:eastAsia="Times New Roman" w:hAnsi="Times New Roman"/>
          <w:noProof/>
          <w:sz w:val="24"/>
          <w:szCs w:val="24"/>
          <w:lang w:val="de-DE"/>
        </w:rPr>
        <w:t>VisaWie? Gegen Diskriminierende Visaverfahren, Germany.</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Voluntary Workcamps Association of Nigeria, Nigeria.</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World Travel &amp; Tourism Council, United Kingdom. </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Joined contribution of Educational and Cultural Bridges, APY – Armenian Progressive Youth, Youth Alliance Via Networking, United Youth, and Yeghvard youth ecological NGO.</w:t>
      </w:r>
    </w:p>
    <w:p>
      <w:pPr>
        <w:pStyle w:val="ListParagraph"/>
        <w:numPr>
          <w:ilvl w:val="0"/>
          <w:numId w:val="26"/>
        </w:numPr>
        <w:spacing w:before="120" w:after="120" w:line="240" w:lineRule="auto"/>
        <w:ind w:left="709"/>
        <w:jc w:val="both"/>
        <w:rPr>
          <w:rFonts w:ascii="Times New Roman" w:eastAsia="Times New Roman" w:hAnsi="Times New Roman"/>
          <w:noProof/>
          <w:sz w:val="24"/>
          <w:szCs w:val="24"/>
        </w:rPr>
      </w:pPr>
      <w:r>
        <w:rPr>
          <w:rFonts w:ascii="Times New Roman" w:eastAsia="Times New Roman" w:hAnsi="Times New Roman"/>
          <w:noProof/>
          <w:sz w:val="24"/>
          <w:szCs w:val="24"/>
        </w:rPr>
        <w:t>Joined contribution of European Community Shipowners' Associations, European Transport Workers' Federation, International Chamber of Shipping, and International Transport Workers' Federation.</w:t>
      </w:r>
    </w:p>
    <w:p>
      <w:pPr>
        <w:jc w:val="both"/>
        <w:rPr>
          <w:rFonts w:ascii="Times New Roman" w:hAnsi="Times New Roman" w:cs="Times New Roman"/>
          <w:noProof/>
          <w:sz w:val="24"/>
        </w:rPr>
      </w:pPr>
      <w:r>
        <w:rPr>
          <w:rFonts w:ascii="Times New Roman" w:hAnsi="Times New Roman" w:cs="Times New Roman"/>
          <w:noProof/>
          <w:sz w:val="24"/>
        </w:rPr>
        <w:t>The responses to the open public consultation that respondents agreed could be published will be available on the dedicated consultation webpage.</w:t>
      </w:r>
    </w:p>
    <w:p>
      <w:pPr>
        <w:rPr>
          <w:rFonts w:ascii="Times New Roman" w:eastAsia="Times New Roman" w:hAnsi="Times New Roman" w:cs="Times New Roman"/>
          <w:b/>
          <w:noProof/>
          <w:sz w:val="32"/>
          <w:szCs w:val="20"/>
        </w:rPr>
      </w:pPr>
      <w:r>
        <w:rPr>
          <w:noProof/>
        </w:rPr>
        <w:br w:type="page"/>
      </w:r>
    </w:p>
    <w:p>
      <w:pPr>
        <w:pStyle w:val="AnnexTitle"/>
        <w:rPr>
          <w:noProof/>
        </w:rPr>
      </w:pPr>
      <w:bookmarkStart w:id="75" w:name="_Toc507148514"/>
      <w:r>
        <w:rPr>
          <w:noProof/>
        </w:rPr>
        <w:t>Annex 3: Who is affected and how?</w:t>
      </w:r>
      <w:bookmarkEnd w:id="75"/>
    </w:p>
    <w:p>
      <w:pPr>
        <w:pStyle w:val="Heading1"/>
        <w:numPr>
          <w:ilvl w:val="0"/>
          <w:numId w:val="25"/>
        </w:numPr>
        <w:rPr>
          <w:noProof/>
        </w:rPr>
      </w:pPr>
      <w:bookmarkStart w:id="76" w:name="_Toc503285264"/>
      <w:bookmarkStart w:id="77" w:name="_Toc505007390"/>
      <w:bookmarkStart w:id="78" w:name="_Toc507148515"/>
      <w:r>
        <w:rPr>
          <w:noProof/>
        </w:rPr>
        <w:t>Practical implications of the initiative</w:t>
      </w:r>
      <w:bookmarkEnd w:id="76"/>
      <w:bookmarkEnd w:id="77"/>
      <w:bookmarkEnd w:id="78"/>
    </w:p>
    <w:p>
      <w:pPr>
        <w:pStyle w:val="Heading2"/>
        <w:numPr>
          <w:ilvl w:val="1"/>
          <w:numId w:val="4"/>
        </w:numPr>
        <w:spacing w:before="240"/>
        <w:rPr>
          <w:noProof/>
        </w:rPr>
      </w:pPr>
      <w:bookmarkStart w:id="79" w:name="_Toc505007391"/>
      <w:bookmarkStart w:id="80" w:name="_Toc507148516"/>
      <w:r>
        <w:rPr>
          <w:noProof/>
        </w:rPr>
        <w:t>Insufficient financial resources</w:t>
      </w:r>
      <w:bookmarkEnd w:id="79"/>
      <w:bookmarkEnd w:id="80"/>
    </w:p>
    <w:tbl>
      <w:tblPr>
        <w:tblStyle w:val="TableGrid"/>
        <w:tblW w:w="10348" w:type="dxa"/>
        <w:tblInd w:w="-459" w:type="dxa"/>
        <w:tblLook w:val="04A0" w:firstRow="1" w:lastRow="0" w:firstColumn="1" w:lastColumn="0" w:noHBand="0" w:noVBand="1"/>
      </w:tblPr>
      <w:tblGrid>
        <w:gridCol w:w="2552"/>
        <w:gridCol w:w="7796"/>
      </w:tblGrid>
      <w:tr>
        <w:tc>
          <w:tcPr>
            <w:tcW w:w="2552" w:type="dxa"/>
            <w:shd w:val="clear" w:color="auto" w:fill="C6D9F1" w:themeFill="text2" w:themeFillTint="33"/>
            <w:vAlign w:val="center"/>
          </w:tcPr>
          <w:p>
            <w:pPr>
              <w:tabs>
                <w:tab w:val="num" w:pos="425"/>
              </w:tabs>
              <w:jc w:val="center"/>
              <w:rPr>
                <w:b/>
                <w:i/>
                <w:noProof/>
              </w:rPr>
            </w:pPr>
            <w:r>
              <w:rPr>
                <w:b/>
                <w:i/>
                <w:noProof/>
              </w:rPr>
              <w:t>Who?</w:t>
            </w:r>
          </w:p>
        </w:tc>
        <w:tc>
          <w:tcPr>
            <w:tcW w:w="7796" w:type="dxa"/>
            <w:shd w:val="clear" w:color="auto" w:fill="C6D9F1" w:themeFill="text2" w:themeFillTint="33"/>
            <w:vAlign w:val="center"/>
          </w:tcPr>
          <w:p>
            <w:pPr>
              <w:tabs>
                <w:tab w:val="num" w:pos="425"/>
              </w:tabs>
              <w:jc w:val="center"/>
              <w:rPr>
                <w:b/>
                <w:i/>
                <w:noProof/>
              </w:rPr>
            </w:pPr>
            <w:r>
              <w:rPr>
                <w:b/>
                <w:i/>
                <w:noProof/>
              </w:rPr>
              <w:t>How?</w:t>
            </w:r>
          </w:p>
        </w:tc>
      </w:tr>
      <w:tr>
        <w:tc>
          <w:tcPr>
            <w:tcW w:w="2552" w:type="dxa"/>
          </w:tcPr>
          <w:p>
            <w:pPr>
              <w:spacing w:before="120" w:after="120" w:line="276" w:lineRule="auto"/>
              <w:rPr>
                <w:noProof/>
              </w:rPr>
            </w:pPr>
            <w:r>
              <w:rPr>
                <w:noProof/>
              </w:rPr>
              <w:t>Citizens/Consumers</w:t>
            </w:r>
          </w:p>
        </w:tc>
        <w:tc>
          <w:tcPr>
            <w:tcW w:w="7796" w:type="dxa"/>
          </w:tcPr>
          <w:p>
            <w:pPr>
              <w:spacing w:before="120" w:after="120" w:line="276" w:lineRule="auto"/>
              <w:jc w:val="both"/>
              <w:rPr>
                <w:noProof/>
              </w:rPr>
            </w:pPr>
            <w:r>
              <w:rPr>
                <w:noProof/>
              </w:rPr>
              <w:t xml:space="preserve">Increasing the current common visa fee from EUR 60 to EUR 80 will lead to additional costs for </w:t>
            </w:r>
            <w:r>
              <w:rPr>
                <w:noProof/>
                <w:u w:val="single"/>
              </w:rPr>
              <w:t>visa applicants</w:t>
            </w:r>
            <w:r>
              <w:rPr>
                <w:noProof/>
              </w:rPr>
              <w:t>.</w:t>
            </w:r>
          </w:p>
        </w:tc>
      </w:tr>
      <w:tr>
        <w:tc>
          <w:tcPr>
            <w:tcW w:w="2552" w:type="dxa"/>
          </w:tcPr>
          <w:p>
            <w:pPr>
              <w:spacing w:before="120" w:after="120" w:line="276" w:lineRule="auto"/>
              <w:rPr>
                <w:noProof/>
              </w:rPr>
            </w:pPr>
            <w:r>
              <w:rPr>
                <w:noProof/>
              </w:rPr>
              <w:t>Administrations</w:t>
            </w:r>
          </w:p>
        </w:tc>
        <w:tc>
          <w:tcPr>
            <w:tcW w:w="7796" w:type="dxa"/>
          </w:tcPr>
          <w:p>
            <w:pPr>
              <w:spacing w:before="120" w:after="120" w:line="276" w:lineRule="auto"/>
              <w:jc w:val="both"/>
              <w:rPr>
                <w:noProof/>
              </w:rPr>
            </w:pPr>
            <w:r>
              <w:rPr>
                <w:noProof/>
                <w:u w:val="single"/>
              </w:rPr>
              <w:t>Member States</w:t>
            </w:r>
            <w:r>
              <w:rPr>
                <w:noProof/>
              </w:rPr>
              <w:t xml:space="preserve"> (consulates in third countries acting as the </w:t>
            </w:r>
            <w:r>
              <w:rPr>
                <w:noProof/>
                <w:u w:val="single"/>
              </w:rPr>
              <w:t>visa-issuing authorities)</w:t>
            </w:r>
            <w:r>
              <w:rPr>
                <w:noProof/>
              </w:rPr>
              <w:t xml:space="preserve"> will benefit from more financial resources due to increased visa fees. This will allow for better staffing, better training of the consulate staff and faster procedures.</w:t>
            </w:r>
          </w:p>
        </w:tc>
      </w:tr>
      <w:tr>
        <w:tc>
          <w:tcPr>
            <w:tcW w:w="2552" w:type="dxa"/>
          </w:tcPr>
          <w:p>
            <w:pPr>
              <w:spacing w:before="120" w:after="120" w:line="276" w:lineRule="auto"/>
              <w:rPr>
                <w:noProof/>
              </w:rPr>
            </w:pPr>
            <w:r>
              <w:rPr>
                <w:noProof/>
              </w:rPr>
              <w:t>Businesses</w:t>
            </w:r>
          </w:p>
        </w:tc>
        <w:tc>
          <w:tcPr>
            <w:tcW w:w="7796" w:type="dxa"/>
          </w:tcPr>
          <w:p>
            <w:pPr>
              <w:spacing w:before="120" w:after="120" w:line="276" w:lineRule="auto"/>
              <w:jc w:val="both"/>
              <w:rPr>
                <w:noProof/>
              </w:rPr>
            </w:pPr>
            <w:r>
              <w:rPr>
                <w:noProof/>
              </w:rPr>
              <w:t>No direct implications.</w:t>
            </w:r>
          </w:p>
          <w:p>
            <w:pPr>
              <w:spacing w:before="120" w:after="120" w:line="276" w:lineRule="auto"/>
              <w:jc w:val="both"/>
              <w:rPr>
                <w:noProof/>
              </w:rPr>
            </w:pPr>
            <w:r>
              <w:rPr>
                <w:noProof/>
              </w:rPr>
              <w:t xml:space="preserve">Change in travel behaviour, and hence impact on businesses in the </w:t>
            </w:r>
            <w:r>
              <w:rPr>
                <w:noProof/>
                <w:u w:val="single"/>
              </w:rPr>
              <w:t>travel and tourism industry</w:t>
            </w:r>
            <w:r>
              <w:rPr>
                <w:noProof/>
              </w:rPr>
              <w:t xml:space="preserve">, is expected to be negligible. </w:t>
            </w:r>
          </w:p>
        </w:tc>
      </w:tr>
    </w:tbl>
    <w:p>
      <w:pPr>
        <w:rPr>
          <w:noProof/>
        </w:rPr>
      </w:pPr>
    </w:p>
    <w:p>
      <w:pPr>
        <w:pStyle w:val="Heading2"/>
        <w:numPr>
          <w:ilvl w:val="1"/>
          <w:numId w:val="4"/>
        </w:numPr>
        <w:spacing w:before="240"/>
        <w:rPr>
          <w:noProof/>
        </w:rPr>
      </w:pPr>
      <w:bookmarkStart w:id="81" w:name="_Toc505007392"/>
      <w:bookmarkStart w:id="82" w:name="_Toc507148517"/>
      <w:bookmarkStart w:id="83" w:name="_Toc503285265"/>
      <w:r>
        <w:rPr>
          <w:noProof/>
        </w:rPr>
        <w:t>Repeated visa procedures</w:t>
      </w:r>
      <w:bookmarkEnd w:id="81"/>
      <w:bookmarkEnd w:id="82"/>
    </w:p>
    <w:tbl>
      <w:tblPr>
        <w:tblStyle w:val="TableGrid"/>
        <w:tblW w:w="10348" w:type="dxa"/>
        <w:tblInd w:w="-459" w:type="dxa"/>
        <w:tblLook w:val="04A0" w:firstRow="1" w:lastRow="0" w:firstColumn="1" w:lastColumn="0" w:noHBand="0" w:noVBand="1"/>
      </w:tblPr>
      <w:tblGrid>
        <w:gridCol w:w="2552"/>
        <w:gridCol w:w="7796"/>
      </w:tblGrid>
      <w:tr>
        <w:tc>
          <w:tcPr>
            <w:tcW w:w="2552" w:type="dxa"/>
            <w:shd w:val="clear" w:color="auto" w:fill="C6D9F1" w:themeFill="text2" w:themeFillTint="33"/>
            <w:vAlign w:val="center"/>
          </w:tcPr>
          <w:p>
            <w:pPr>
              <w:tabs>
                <w:tab w:val="num" w:pos="425"/>
              </w:tabs>
              <w:jc w:val="center"/>
              <w:rPr>
                <w:b/>
                <w:i/>
                <w:noProof/>
              </w:rPr>
            </w:pPr>
            <w:r>
              <w:rPr>
                <w:b/>
                <w:i/>
                <w:noProof/>
              </w:rPr>
              <w:t>Who?</w:t>
            </w:r>
          </w:p>
        </w:tc>
        <w:tc>
          <w:tcPr>
            <w:tcW w:w="7796" w:type="dxa"/>
            <w:shd w:val="clear" w:color="auto" w:fill="C6D9F1" w:themeFill="text2" w:themeFillTint="33"/>
            <w:vAlign w:val="center"/>
          </w:tcPr>
          <w:p>
            <w:pPr>
              <w:tabs>
                <w:tab w:val="num" w:pos="425"/>
              </w:tabs>
              <w:jc w:val="center"/>
              <w:rPr>
                <w:b/>
                <w:i/>
                <w:noProof/>
              </w:rPr>
            </w:pPr>
            <w:r>
              <w:rPr>
                <w:b/>
                <w:i/>
                <w:noProof/>
              </w:rPr>
              <w:t>How?</w:t>
            </w:r>
          </w:p>
        </w:tc>
      </w:tr>
      <w:tr>
        <w:tc>
          <w:tcPr>
            <w:tcW w:w="2552" w:type="dxa"/>
          </w:tcPr>
          <w:p>
            <w:pPr>
              <w:spacing w:before="120" w:after="120" w:line="276" w:lineRule="auto"/>
              <w:rPr>
                <w:noProof/>
              </w:rPr>
            </w:pPr>
            <w:r>
              <w:rPr>
                <w:noProof/>
              </w:rPr>
              <w:t>Citizens/Consumers</w:t>
            </w:r>
          </w:p>
        </w:tc>
        <w:tc>
          <w:tcPr>
            <w:tcW w:w="7796" w:type="dxa"/>
          </w:tcPr>
          <w:p>
            <w:pPr>
              <w:spacing w:before="120" w:after="120" w:line="276" w:lineRule="auto"/>
              <w:jc w:val="both"/>
              <w:rPr>
                <w:noProof/>
              </w:rPr>
            </w:pPr>
            <w:r>
              <w:rPr>
                <w:noProof/>
                <w:u w:val="single"/>
              </w:rPr>
              <w:t>Frequent travellers</w:t>
            </w:r>
            <w:r>
              <w:rPr>
                <w:noProof/>
              </w:rPr>
              <w:t>, especially business people, family members and affluent tourists, will benefit from more MEV with longer validity, reducing the number of times they have to apply for a visa and thus the expenses they have to bear. This will increase their ability to travel spontaneously to the Schengen area.</w:t>
            </w:r>
          </w:p>
        </w:tc>
      </w:tr>
      <w:tr>
        <w:tc>
          <w:tcPr>
            <w:tcW w:w="2552" w:type="dxa"/>
          </w:tcPr>
          <w:p>
            <w:pPr>
              <w:spacing w:before="120" w:after="120" w:line="276" w:lineRule="auto"/>
              <w:rPr>
                <w:noProof/>
              </w:rPr>
            </w:pPr>
            <w:r>
              <w:rPr>
                <w:noProof/>
              </w:rPr>
              <w:t>Administrations</w:t>
            </w:r>
          </w:p>
        </w:tc>
        <w:tc>
          <w:tcPr>
            <w:tcW w:w="7796" w:type="dxa"/>
          </w:tcPr>
          <w:p>
            <w:pPr>
              <w:spacing w:before="120" w:after="120" w:line="276" w:lineRule="auto"/>
              <w:jc w:val="both"/>
              <w:rPr>
                <w:noProof/>
              </w:rPr>
            </w:pPr>
            <w:r>
              <w:rPr>
                <w:noProof/>
                <w:u w:val="single"/>
              </w:rPr>
              <w:t>Member States' visa-issuing authorities</w:t>
            </w:r>
            <w:r>
              <w:rPr>
                <w:noProof/>
              </w:rPr>
              <w:t xml:space="preserve"> will benefit from lower number of visa applications. They will therefore be able to make savings and focus on the first-time applicants.</w:t>
            </w:r>
          </w:p>
        </w:tc>
      </w:tr>
      <w:tr>
        <w:tc>
          <w:tcPr>
            <w:tcW w:w="2552" w:type="dxa"/>
          </w:tcPr>
          <w:p>
            <w:pPr>
              <w:spacing w:before="120" w:after="120" w:line="276" w:lineRule="auto"/>
              <w:rPr>
                <w:noProof/>
              </w:rPr>
            </w:pPr>
            <w:r>
              <w:rPr>
                <w:noProof/>
              </w:rPr>
              <w:t>Businesses</w:t>
            </w:r>
          </w:p>
        </w:tc>
        <w:tc>
          <w:tcPr>
            <w:tcW w:w="7796" w:type="dxa"/>
          </w:tcPr>
          <w:p>
            <w:pPr>
              <w:spacing w:before="120" w:after="120" w:line="276" w:lineRule="auto"/>
              <w:jc w:val="both"/>
              <w:rPr>
                <w:noProof/>
              </w:rPr>
            </w:pPr>
            <w:r>
              <w:rPr>
                <w:noProof/>
              </w:rPr>
              <w:t>No direct implications.</w:t>
            </w:r>
          </w:p>
          <w:p>
            <w:pPr>
              <w:spacing w:before="120" w:after="120" w:line="276" w:lineRule="auto"/>
              <w:jc w:val="both"/>
              <w:rPr>
                <w:noProof/>
              </w:rPr>
            </w:pPr>
            <w:r>
              <w:rPr>
                <w:noProof/>
              </w:rPr>
              <w:t xml:space="preserve">Holders of MEV with long validity will be more flexible in planning and are more likely to make spontaneous trips and tour less-visited regions in the Schengen area, bringing additional revenue to businesses in the </w:t>
            </w:r>
            <w:r>
              <w:rPr>
                <w:noProof/>
                <w:u w:val="single"/>
              </w:rPr>
              <w:t>travel and tourism industry</w:t>
            </w:r>
            <w:r>
              <w:rPr>
                <w:noProof/>
              </w:rPr>
              <w:t>, strengthening their competitiveness and employment.</w:t>
            </w:r>
          </w:p>
        </w:tc>
      </w:tr>
    </w:tbl>
    <w:p>
      <w:pPr>
        <w:rPr>
          <w:noProof/>
        </w:rPr>
      </w:pPr>
    </w:p>
    <w:p>
      <w:pPr>
        <w:pStyle w:val="Heading2"/>
        <w:numPr>
          <w:ilvl w:val="1"/>
          <w:numId w:val="4"/>
        </w:numPr>
        <w:spacing w:before="240"/>
        <w:rPr>
          <w:noProof/>
        </w:rPr>
      </w:pPr>
      <w:bookmarkStart w:id="84" w:name="_Toc505007393"/>
      <w:bookmarkStart w:id="85" w:name="_Toc507148518"/>
      <w:r>
        <w:rPr>
          <w:noProof/>
        </w:rPr>
        <w:t>Return of irregular migrants</w:t>
      </w:r>
      <w:bookmarkEnd w:id="84"/>
      <w:bookmarkEnd w:id="85"/>
    </w:p>
    <w:tbl>
      <w:tblPr>
        <w:tblStyle w:val="TableGrid"/>
        <w:tblW w:w="10348" w:type="dxa"/>
        <w:tblInd w:w="-459" w:type="dxa"/>
        <w:tblLook w:val="04A0" w:firstRow="1" w:lastRow="0" w:firstColumn="1" w:lastColumn="0" w:noHBand="0" w:noVBand="1"/>
      </w:tblPr>
      <w:tblGrid>
        <w:gridCol w:w="2552"/>
        <w:gridCol w:w="7796"/>
      </w:tblGrid>
      <w:tr>
        <w:tc>
          <w:tcPr>
            <w:tcW w:w="2552" w:type="dxa"/>
            <w:shd w:val="clear" w:color="auto" w:fill="C6D9F1" w:themeFill="text2" w:themeFillTint="33"/>
            <w:vAlign w:val="center"/>
          </w:tcPr>
          <w:p>
            <w:pPr>
              <w:tabs>
                <w:tab w:val="num" w:pos="425"/>
              </w:tabs>
              <w:jc w:val="center"/>
              <w:rPr>
                <w:b/>
                <w:i/>
                <w:noProof/>
              </w:rPr>
            </w:pPr>
            <w:r>
              <w:rPr>
                <w:b/>
                <w:i/>
                <w:noProof/>
              </w:rPr>
              <w:t>Who?</w:t>
            </w:r>
          </w:p>
        </w:tc>
        <w:tc>
          <w:tcPr>
            <w:tcW w:w="7796" w:type="dxa"/>
            <w:shd w:val="clear" w:color="auto" w:fill="C6D9F1" w:themeFill="text2" w:themeFillTint="33"/>
            <w:vAlign w:val="center"/>
          </w:tcPr>
          <w:p>
            <w:pPr>
              <w:tabs>
                <w:tab w:val="num" w:pos="425"/>
              </w:tabs>
              <w:jc w:val="center"/>
              <w:rPr>
                <w:b/>
                <w:i/>
                <w:noProof/>
              </w:rPr>
            </w:pPr>
            <w:r>
              <w:rPr>
                <w:b/>
                <w:i/>
                <w:noProof/>
              </w:rPr>
              <w:t>How?</w:t>
            </w:r>
          </w:p>
        </w:tc>
      </w:tr>
      <w:tr>
        <w:tc>
          <w:tcPr>
            <w:tcW w:w="2552" w:type="dxa"/>
          </w:tcPr>
          <w:p>
            <w:pPr>
              <w:spacing w:before="120" w:after="120" w:line="276" w:lineRule="auto"/>
              <w:rPr>
                <w:noProof/>
              </w:rPr>
            </w:pPr>
            <w:r>
              <w:rPr>
                <w:noProof/>
              </w:rPr>
              <w:t>Citizens/Consumers</w:t>
            </w:r>
          </w:p>
        </w:tc>
        <w:tc>
          <w:tcPr>
            <w:tcW w:w="7796" w:type="dxa"/>
          </w:tcPr>
          <w:p>
            <w:pPr>
              <w:spacing w:before="120" w:after="120" w:line="276" w:lineRule="auto"/>
              <w:jc w:val="both"/>
              <w:rPr>
                <w:noProof/>
              </w:rPr>
            </w:pPr>
            <w:r>
              <w:rPr>
                <w:noProof/>
              </w:rPr>
              <w:t xml:space="preserve">If and where the negative incentives are applied, </w:t>
            </w:r>
            <w:r>
              <w:rPr>
                <w:noProof/>
                <w:u w:val="single"/>
              </w:rPr>
              <w:t>visa applicants</w:t>
            </w:r>
            <w:r>
              <w:rPr>
                <w:noProof/>
              </w:rPr>
              <w:t xml:space="preserve"> who are nationals of the concerned third country may experience more difficult procedures when applying for Schengen visa. The concerned groups, i.e. in the first phase holders of diplomatic and service passports and in the second phase holders of ordinary passports, will incur additional costs or will not be granted MEV as a result of these measures.</w:t>
            </w:r>
          </w:p>
          <w:p>
            <w:pPr>
              <w:spacing w:before="120" w:after="120" w:line="276" w:lineRule="auto"/>
              <w:jc w:val="both"/>
              <w:rPr>
                <w:noProof/>
              </w:rPr>
            </w:pPr>
            <w:r>
              <w:rPr>
                <w:noProof/>
              </w:rPr>
              <w:t xml:space="preserve">The European </w:t>
            </w:r>
            <w:r>
              <w:rPr>
                <w:noProof/>
                <w:u w:val="single"/>
              </w:rPr>
              <w:t>citizens and society</w:t>
            </w:r>
            <w:r>
              <w:rPr>
                <w:noProof/>
              </w:rPr>
              <w:t xml:space="preserve"> at large will benefit from higher rates of return of irregular migrants, resulting in higher security and a deterrent effect on potential future irregular migrants.</w:t>
            </w:r>
          </w:p>
        </w:tc>
      </w:tr>
      <w:tr>
        <w:tc>
          <w:tcPr>
            <w:tcW w:w="2552" w:type="dxa"/>
          </w:tcPr>
          <w:p>
            <w:pPr>
              <w:spacing w:before="120" w:after="120" w:line="276" w:lineRule="auto"/>
              <w:rPr>
                <w:noProof/>
              </w:rPr>
            </w:pPr>
            <w:r>
              <w:rPr>
                <w:noProof/>
              </w:rPr>
              <w:t>Administrations</w:t>
            </w:r>
          </w:p>
        </w:tc>
        <w:tc>
          <w:tcPr>
            <w:tcW w:w="7796" w:type="dxa"/>
          </w:tcPr>
          <w:p>
            <w:pPr>
              <w:spacing w:before="120" w:after="120" w:line="276" w:lineRule="auto"/>
              <w:jc w:val="both"/>
              <w:rPr>
                <w:noProof/>
              </w:rPr>
            </w:pPr>
            <w:r>
              <w:rPr>
                <w:noProof/>
              </w:rPr>
              <w:t xml:space="preserve">The improved return rates will have positive impacts in terms of cost savings for </w:t>
            </w:r>
            <w:r>
              <w:rPr>
                <w:noProof/>
                <w:u w:val="single"/>
              </w:rPr>
              <w:t>Member States' authorities</w:t>
            </w:r>
            <w:r>
              <w:rPr>
                <w:noProof/>
              </w:rPr>
              <w:t xml:space="preserve"> and better acceptance of the EU migration policy.</w:t>
            </w:r>
          </w:p>
        </w:tc>
      </w:tr>
      <w:tr>
        <w:tc>
          <w:tcPr>
            <w:tcW w:w="2552" w:type="dxa"/>
          </w:tcPr>
          <w:p>
            <w:pPr>
              <w:spacing w:before="120" w:after="120" w:line="276" w:lineRule="auto"/>
              <w:rPr>
                <w:noProof/>
              </w:rPr>
            </w:pPr>
            <w:r>
              <w:rPr>
                <w:noProof/>
              </w:rPr>
              <w:t>Businesses</w:t>
            </w:r>
          </w:p>
        </w:tc>
        <w:tc>
          <w:tcPr>
            <w:tcW w:w="7796" w:type="dxa"/>
          </w:tcPr>
          <w:p>
            <w:pPr>
              <w:spacing w:before="120" w:after="120" w:line="276" w:lineRule="auto"/>
              <w:jc w:val="both"/>
              <w:rPr>
                <w:noProof/>
              </w:rPr>
            </w:pPr>
            <w:r>
              <w:rPr>
                <w:noProof/>
              </w:rPr>
              <w:t>No direct implications.</w:t>
            </w:r>
          </w:p>
          <w:p>
            <w:pPr>
              <w:spacing w:before="120" w:after="120" w:line="276" w:lineRule="auto"/>
              <w:jc w:val="both"/>
              <w:rPr>
                <w:noProof/>
              </w:rPr>
            </w:pPr>
            <w:r>
              <w:rPr>
                <w:noProof/>
              </w:rPr>
              <w:t xml:space="preserve">The proposed measures would be taken against countries with high levels of irregular migration, which generally do not carry great importance for the EU in terms of tourism. The overall impact on businesses in the </w:t>
            </w:r>
            <w:r>
              <w:rPr>
                <w:noProof/>
                <w:u w:val="single"/>
              </w:rPr>
              <w:t>travel and tourism</w:t>
            </w:r>
            <w:r>
              <w:rPr>
                <w:noProof/>
              </w:rPr>
              <w:t xml:space="preserve"> industry will therefore be non-existent or very weak.</w:t>
            </w:r>
          </w:p>
        </w:tc>
      </w:tr>
    </w:tbl>
    <w:p>
      <w:pPr>
        <w:rPr>
          <w:noProof/>
        </w:rPr>
      </w:pPr>
    </w:p>
    <w:p>
      <w:pPr>
        <w:keepNext/>
        <w:numPr>
          <w:ilvl w:val="0"/>
          <w:numId w:val="4"/>
        </w:numPr>
        <w:spacing w:before="240" w:after="240" w:line="240" w:lineRule="auto"/>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Summary of costs and benefits</w:t>
      </w:r>
      <w:bookmarkEnd w:id="83"/>
    </w:p>
    <w:p>
      <w:pPr>
        <w:pStyle w:val="ListParagraph"/>
        <w:ind w:left="0"/>
        <w:jc w:val="both"/>
        <w:rPr>
          <w:rFonts w:ascii="Times New Roman" w:hAnsi="Times New Roman" w:cs="Times New Roman"/>
          <w:noProof/>
        </w:rPr>
      </w:pPr>
      <w:r>
        <w:rPr>
          <w:rFonts w:ascii="Times New Roman" w:hAnsi="Times New Roman" w:cs="Times New Roman"/>
          <w:noProof/>
        </w:rPr>
        <w:t xml:space="preserve">The tables below summarise the costs and benefits for the preferred option. Given the lack of available data, the tables have been filled to the extent possible. Many benefits cannot be monetised. For instance, Member States do not provide data on the costs of housing irregular migrants or other administrative costs. Similarly there are no precise data available on Member States' costs of issuing visas. Higher security cannot be monetised either. </w:t>
      </w:r>
    </w:p>
    <w:p>
      <w:pPr>
        <w:pStyle w:val="ListParagraph"/>
        <w:ind w:left="0"/>
        <w:jc w:val="both"/>
        <w:rPr>
          <w:rFonts w:ascii="Times New Roman" w:hAnsi="Times New Roman" w:cs="Times New Roman"/>
          <w:noProof/>
        </w:rPr>
      </w:pPr>
    </w:p>
    <w:tbl>
      <w:tblPr>
        <w:tblStyle w:val="CV12"/>
        <w:tblW w:w="10377"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567"/>
        <w:gridCol w:w="2280"/>
        <w:gridCol w:w="4530"/>
      </w:tblGrid>
      <w:tr>
        <w:tc>
          <w:tcPr>
            <w:tcW w:w="10377" w:type="dxa"/>
            <w:gridSpan w:val="3"/>
            <w:tcBorders>
              <w:top w:val="double" w:sz="4" w:space="0" w:color="auto"/>
              <w:bottom w:val="single" w:sz="4" w:space="0" w:color="auto"/>
            </w:tcBorders>
            <w:shd w:val="clear" w:color="auto" w:fill="C6D9F1" w:themeFill="text2" w:themeFillTint="33"/>
            <w:vAlign w:val="center"/>
          </w:tcPr>
          <w:p>
            <w:pPr>
              <w:tabs>
                <w:tab w:val="num" w:pos="425"/>
              </w:tabs>
              <w:spacing w:line="276" w:lineRule="auto"/>
              <w:jc w:val="center"/>
              <w:rPr>
                <w:b/>
                <w:i/>
                <w:noProof/>
                <w:sz w:val="22"/>
              </w:rPr>
            </w:pPr>
            <w:r>
              <w:rPr>
                <w:b/>
                <w:i/>
                <w:noProof/>
                <w:sz w:val="22"/>
              </w:rPr>
              <w:t>I. Overview of Benefits – Preferred options</w:t>
            </w:r>
          </w:p>
        </w:tc>
      </w:tr>
      <w:tr>
        <w:tc>
          <w:tcPr>
            <w:tcW w:w="3567" w:type="dxa"/>
            <w:tcBorders>
              <w:top w:val="single" w:sz="4" w:space="0" w:color="auto"/>
            </w:tcBorders>
            <w:shd w:val="clear" w:color="auto" w:fill="C6D9F1" w:themeFill="text2" w:themeFillTint="33"/>
            <w:vAlign w:val="center"/>
          </w:tcPr>
          <w:p>
            <w:pPr>
              <w:tabs>
                <w:tab w:val="num" w:pos="425"/>
              </w:tabs>
              <w:spacing w:line="276" w:lineRule="auto"/>
              <w:jc w:val="center"/>
              <w:rPr>
                <w:b/>
                <w:i/>
                <w:noProof/>
                <w:sz w:val="22"/>
              </w:rPr>
            </w:pPr>
            <w:r>
              <w:rPr>
                <w:b/>
                <w:i/>
                <w:noProof/>
                <w:sz w:val="22"/>
              </w:rPr>
              <w:t>Description</w:t>
            </w:r>
          </w:p>
        </w:tc>
        <w:tc>
          <w:tcPr>
            <w:tcW w:w="2280" w:type="dxa"/>
            <w:tcBorders>
              <w:top w:val="single" w:sz="4" w:space="0" w:color="auto"/>
            </w:tcBorders>
            <w:shd w:val="clear" w:color="auto" w:fill="C6D9F1" w:themeFill="text2" w:themeFillTint="33"/>
            <w:vAlign w:val="center"/>
          </w:tcPr>
          <w:p>
            <w:pPr>
              <w:tabs>
                <w:tab w:val="num" w:pos="425"/>
              </w:tabs>
              <w:spacing w:line="276" w:lineRule="auto"/>
              <w:jc w:val="center"/>
              <w:rPr>
                <w:b/>
                <w:i/>
                <w:noProof/>
                <w:sz w:val="22"/>
              </w:rPr>
            </w:pPr>
            <w:r>
              <w:rPr>
                <w:b/>
                <w:i/>
                <w:noProof/>
                <w:sz w:val="22"/>
              </w:rPr>
              <w:t>Amount</w:t>
            </w:r>
          </w:p>
        </w:tc>
        <w:tc>
          <w:tcPr>
            <w:tcW w:w="4530" w:type="dxa"/>
            <w:tcBorders>
              <w:top w:val="single" w:sz="4" w:space="0" w:color="auto"/>
            </w:tcBorders>
            <w:shd w:val="clear" w:color="auto" w:fill="C6D9F1" w:themeFill="text2" w:themeFillTint="33"/>
            <w:tcMar>
              <w:top w:w="57" w:type="dxa"/>
              <w:left w:w="57" w:type="dxa"/>
              <w:bottom w:w="57" w:type="dxa"/>
              <w:right w:w="57" w:type="dxa"/>
            </w:tcMar>
            <w:vAlign w:val="center"/>
          </w:tcPr>
          <w:p>
            <w:pPr>
              <w:tabs>
                <w:tab w:val="num" w:pos="425"/>
              </w:tabs>
              <w:spacing w:line="276" w:lineRule="auto"/>
              <w:jc w:val="center"/>
              <w:rPr>
                <w:b/>
                <w:i/>
                <w:noProof/>
                <w:sz w:val="22"/>
              </w:rPr>
            </w:pPr>
            <w:r>
              <w:rPr>
                <w:b/>
                <w:i/>
                <w:noProof/>
                <w:sz w:val="22"/>
              </w:rPr>
              <w:t>Comments</w:t>
            </w:r>
          </w:p>
        </w:tc>
      </w:tr>
      <w:tr>
        <w:tc>
          <w:tcPr>
            <w:tcW w:w="10377" w:type="dxa"/>
            <w:gridSpan w:val="3"/>
            <w:tcBorders>
              <w:top w:val="double" w:sz="4" w:space="0" w:color="auto"/>
            </w:tcBorders>
            <w:shd w:val="clear" w:color="auto" w:fill="F2F2F2" w:themeFill="background1" w:themeFillShade="F2"/>
            <w:vAlign w:val="center"/>
          </w:tcPr>
          <w:p>
            <w:pPr>
              <w:tabs>
                <w:tab w:val="num" w:pos="425"/>
              </w:tabs>
              <w:spacing w:line="276" w:lineRule="auto"/>
              <w:jc w:val="center"/>
              <w:rPr>
                <w:b/>
                <w:i/>
                <w:noProof/>
                <w:sz w:val="22"/>
              </w:rPr>
            </w:pPr>
            <w:r>
              <w:rPr>
                <w:b/>
                <w:i/>
                <w:noProof/>
                <w:sz w:val="22"/>
              </w:rPr>
              <w:t>Direct benefits</w:t>
            </w:r>
          </w:p>
        </w:tc>
      </w:tr>
      <w:tr>
        <w:tc>
          <w:tcPr>
            <w:tcW w:w="3567" w:type="dxa"/>
            <w:tcBorders>
              <w:top w:val="double" w:sz="4" w:space="0" w:color="auto"/>
            </w:tcBorders>
          </w:tcPr>
          <w:p>
            <w:pPr>
              <w:tabs>
                <w:tab w:val="num" w:pos="425"/>
              </w:tabs>
              <w:spacing w:line="276" w:lineRule="auto"/>
              <w:rPr>
                <w:noProof/>
                <w:sz w:val="22"/>
              </w:rPr>
            </w:pPr>
            <w:r>
              <w:rPr>
                <w:noProof/>
                <w:sz w:val="22"/>
              </w:rPr>
              <w:t>Additional revenue from visa fee</w:t>
            </w:r>
          </w:p>
        </w:tc>
        <w:tc>
          <w:tcPr>
            <w:tcW w:w="2280" w:type="dxa"/>
            <w:tcBorders>
              <w:top w:val="double" w:sz="4" w:space="0" w:color="auto"/>
            </w:tcBorders>
            <w:tcMar>
              <w:top w:w="57" w:type="dxa"/>
              <w:left w:w="57" w:type="dxa"/>
              <w:bottom w:w="57" w:type="dxa"/>
              <w:right w:w="57" w:type="dxa"/>
            </w:tcMar>
          </w:tcPr>
          <w:p>
            <w:pPr>
              <w:tabs>
                <w:tab w:val="num" w:pos="425"/>
              </w:tabs>
              <w:spacing w:line="276" w:lineRule="auto"/>
              <w:rPr>
                <w:noProof/>
                <w:sz w:val="22"/>
              </w:rPr>
            </w:pPr>
            <w:r>
              <w:rPr>
                <w:noProof/>
                <w:sz w:val="22"/>
              </w:rPr>
              <w:t>EUR 205 million</w:t>
            </w:r>
          </w:p>
        </w:tc>
        <w:tc>
          <w:tcPr>
            <w:tcW w:w="4530" w:type="dxa"/>
            <w:tcBorders>
              <w:top w:val="double" w:sz="4" w:space="0" w:color="auto"/>
            </w:tcBorders>
            <w:tcMar>
              <w:top w:w="57" w:type="dxa"/>
              <w:left w:w="57" w:type="dxa"/>
              <w:bottom w:w="57" w:type="dxa"/>
              <w:right w:w="57" w:type="dxa"/>
            </w:tcMar>
          </w:tcPr>
          <w:p>
            <w:pPr>
              <w:tabs>
                <w:tab w:val="num" w:pos="425"/>
              </w:tabs>
              <w:spacing w:line="276" w:lineRule="auto"/>
              <w:jc w:val="both"/>
              <w:rPr>
                <w:noProof/>
                <w:sz w:val="22"/>
              </w:rPr>
            </w:pPr>
            <w:r>
              <w:rPr>
                <w:noProof/>
                <w:sz w:val="22"/>
                <w:u w:val="single"/>
              </w:rPr>
              <w:t>Member States</w:t>
            </w:r>
            <w:r>
              <w:rPr>
                <w:noProof/>
                <w:sz w:val="22"/>
              </w:rPr>
              <w:t>' visa-issuing authorities are the beneficiaries.</w:t>
            </w:r>
          </w:p>
        </w:tc>
      </w:tr>
      <w:tr>
        <w:tc>
          <w:tcPr>
            <w:tcW w:w="3567" w:type="dxa"/>
            <w:tcBorders>
              <w:bottom w:val="nil"/>
            </w:tcBorders>
          </w:tcPr>
          <w:p>
            <w:pPr>
              <w:tabs>
                <w:tab w:val="num" w:pos="425"/>
              </w:tabs>
              <w:spacing w:line="276" w:lineRule="auto"/>
              <w:rPr>
                <w:noProof/>
                <w:sz w:val="22"/>
              </w:rPr>
            </w:pPr>
            <w:r>
              <w:rPr>
                <w:noProof/>
                <w:sz w:val="22"/>
              </w:rPr>
              <w:t>Savings in administrative costs (due to more issuing of MEV with long validity and higher return rates)</w:t>
            </w:r>
          </w:p>
        </w:tc>
        <w:tc>
          <w:tcPr>
            <w:tcW w:w="2280" w:type="dxa"/>
            <w:tcBorders>
              <w:bottom w:val="single" w:sz="4" w:space="0" w:color="auto"/>
            </w:tcBorders>
            <w:tcMar>
              <w:top w:w="57" w:type="dxa"/>
              <w:left w:w="57" w:type="dxa"/>
              <w:bottom w:w="57" w:type="dxa"/>
              <w:right w:w="57" w:type="dxa"/>
            </w:tcMar>
          </w:tcPr>
          <w:p>
            <w:pPr>
              <w:tabs>
                <w:tab w:val="num" w:pos="425"/>
              </w:tabs>
              <w:spacing w:line="276" w:lineRule="auto"/>
              <w:rPr>
                <w:noProof/>
                <w:sz w:val="22"/>
              </w:rPr>
            </w:pPr>
            <w:r>
              <w:rPr>
                <w:noProof/>
                <w:sz w:val="22"/>
              </w:rPr>
              <w:t xml:space="preserve">Not quantifiable due to lack of data </w:t>
            </w:r>
          </w:p>
        </w:tc>
        <w:tc>
          <w:tcPr>
            <w:tcW w:w="4530" w:type="dxa"/>
            <w:tcBorders>
              <w:bottom w:val="single" w:sz="4" w:space="0" w:color="auto"/>
            </w:tcBorders>
            <w:tcMar>
              <w:top w:w="57" w:type="dxa"/>
              <w:left w:w="57" w:type="dxa"/>
              <w:bottom w:w="57" w:type="dxa"/>
              <w:right w:w="57" w:type="dxa"/>
            </w:tcMar>
          </w:tcPr>
          <w:p>
            <w:pPr>
              <w:spacing w:after="200" w:line="276" w:lineRule="auto"/>
              <w:rPr>
                <w:noProof/>
                <w:sz w:val="22"/>
              </w:rPr>
            </w:pPr>
            <w:r>
              <w:rPr>
                <w:noProof/>
                <w:sz w:val="22"/>
                <w:u w:val="single"/>
              </w:rPr>
              <w:t>Member States'</w:t>
            </w:r>
            <w:r>
              <w:rPr>
                <w:noProof/>
                <w:sz w:val="22"/>
              </w:rPr>
              <w:t xml:space="preserve"> visa, asylum and police authorities are the main beneficiaries.</w:t>
            </w:r>
          </w:p>
        </w:tc>
      </w:tr>
      <w:tr>
        <w:tc>
          <w:tcPr>
            <w:tcW w:w="3567" w:type="dxa"/>
            <w:tcBorders>
              <w:top w:val="single" w:sz="4" w:space="0" w:color="auto"/>
              <w:bottom w:val="double" w:sz="4" w:space="0" w:color="auto"/>
            </w:tcBorders>
          </w:tcPr>
          <w:p>
            <w:pPr>
              <w:tabs>
                <w:tab w:val="num" w:pos="425"/>
              </w:tabs>
              <w:spacing w:line="276" w:lineRule="auto"/>
              <w:rPr>
                <w:noProof/>
                <w:sz w:val="22"/>
              </w:rPr>
            </w:pPr>
            <w:r>
              <w:rPr>
                <w:noProof/>
                <w:sz w:val="22"/>
              </w:rPr>
              <w:t>Savings in visa application costs</w:t>
            </w:r>
          </w:p>
        </w:tc>
        <w:tc>
          <w:tcPr>
            <w:tcW w:w="2280" w:type="dxa"/>
            <w:tcBorders>
              <w:top w:val="single" w:sz="4" w:space="0" w:color="auto"/>
              <w:bottom w:val="double" w:sz="4" w:space="0" w:color="auto"/>
            </w:tcBorders>
            <w:tcMar>
              <w:top w:w="57" w:type="dxa"/>
              <w:left w:w="57" w:type="dxa"/>
              <w:bottom w:w="57" w:type="dxa"/>
              <w:right w:w="57" w:type="dxa"/>
            </w:tcMar>
          </w:tcPr>
          <w:p>
            <w:pPr>
              <w:tabs>
                <w:tab w:val="num" w:pos="425"/>
              </w:tabs>
              <w:rPr>
                <w:noProof/>
                <w:sz w:val="22"/>
              </w:rPr>
            </w:pPr>
            <w:r>
              <w:rPr>
                <w:noProof/>
                <w:sz w:val="22"/>
              </w:rPr>
              <w:t>Not quantifiable due to lack of data</w:t>
            </w:r>
          </w:p>
        </w:tc>
        <w:tc>
          <w:tcPr>
            <w:tcW w:w="4530" w:type="dxa"/>
            <w:tcBorders>
              <w:top w:val="single" w:sz="4" w:space="0" w:color="auto"/>
              <w:bottom w:val="double" w:sz="4" w:space="0" w:color="auto"/>
            </w:tcBorders>
            <w:tcMar>
              <w:top w:w="57" w:type="dxa"/>
              <w:left w:w="57" w:type="dxa"/>
              <w:bottom w:w="57" w:type="dxa"/>
              <w:right w:w="57" w:type="dxa"/>
            </w:tcMar>
          </w:tcPr>
          <w:p>
            <w:pPr>
              <w:tabs>
                <w:tab w:val="num" w:pos="425"/>
              </w:tabs>
              <w:jc w:val="both"/>
              <w:rPr>
                <w:noProof/>
                <w:sz w:val="22"/>
              </w:rPr>
            </w:pPr>
            <w:r>
              <w:rPr>
                <w:noProof/>
                <w:sz w:val="22"/>
                <w:u w:val="single"/>
              </w:rPr>
              <w:t>Frequent travellers</w:t>
            </w:r>
            <w:r>
              <w:rPr>
                <w:noProof/>
                <w:sz w:val="22"/>
              </w:rPr>
              <w:t xml:space="preserve"> will benefit from more MEV with long validity.</w:t>
            </w:r>
          </w:p>
        </w:tc>
      </w:tr>
      <w:tr>
        <w:tc>
          <w:tcPr>
            <w:tcW w:w="10377" w:type="dxa"/>
            <w:gridSpan w:val="3"/>
            <w:shd w:val="clear" w:color="auto" w:fill="F2F2F2" w:themeFill="background1" w:themeFillShade="F2"/>
            <w:vAlign w:val="center"/>
          </w:tcPr>
          <w:p>
            <w:pPr>
              <w:tabs>
                <w:tab w:val="num" w:pos="425"/>
              </w:tabs>
              <w:spacing w:line="276" w:lineRule="auto"/>
              <w:jc w:val="center"/>
              <w:rPr>
                <w:b/>
                <w:i/>
                <w:noProof/>
                <w:sz w:val="22"/>
              </w:rPr>
            </w:pPr>
            <w:r>
              <w:rPr>
                <w:b/>
                <w:i/>
                <w:noProof/>
                <w:sz w:val="22"/>
              </w:rPr>
              <w:t>Indirect benefits</w:t>
            </w:r>
          </w:p>
        </w:tc>
      </w:tr>
      <w:tr>
        <w:tc>
          <w:tcPr>
            <w:tcW w:w="3567" w:type="dxa"/>
            <w:tcBorders>
              <w:top w:val="double" w:sz="4" w:space="0" w:color="auto"/>
            </w:tcBorders>
          </w:tcPr>
          <w:p>
            <w:pPr>
              <w:tabs>
                <w:tab w:val="num" w:pos="425"/>
              </w:tabs>
              <w:spacing w:line="276" w:lineRule="auto"/>
              <w:rPr>
                <w:noProof/>
                <w:sz w:val="22"/>
              </w:rPr>
            </w:pPr>
            <w:r>
              <w:rPr>
                <w:noProof/>
                <w:sz w:val="22"/>
              </w:rPr>
              <w:t>Revenue from increased tourism and travel (due to more MEV with long validity)</w:t>
            </w:r>
          </w:p>
        </w:tc>
        <w:tc>
          <w:tcPr>
            <w:tcW w:w="2280" w:type="dxa"/>
            <w:tcBorders>
              <w:top w:val="double" w:sz="4" w:space="0" w:color="auto"/>
            </w:tcBorders>
            <w:tcMar>
              <w:top w:w="57" w:type="dxa"/>
              <w:left w:w="57" w:type="dxa"/>
              <w:bottom w:w="57" w:type="dxa"/>
              <w:right w:w="57" w:type="dxa"/>
            </w:tcMar>
          </w:tcPr>
          <w:p>
            <w:pPr>
              <w:tabs>
                <w:tab w:val="num" w:pos="425"/>
              </w:tabs>
              <w:spacing w:line="276" w:lineRule="auto"/>
              <w:rPr>
                <w:noProof/>
                <w:sz w:val="22"/>
              </w:rPr>
            </w:pPr>
            <w:r>
              <w:rPr>
                <w:noProof/>
                <w:sz w:val="22"/>
              </w:rPr>
              <w:t>Not quantifiable due to lack of data</w:t>
            </w:r>
          </w:p>
        </w:tc>
        <w:tc>
          <w:tcPr>
            <w:tcW w:w="4530" w:type="dxa"/>
            <w:tcBorders>
              <w:top w:val="double" w:sz="4" w:space="0" w:color="auto"/>
            </w:tcBorders>
            <w:tcMar>
              <w:top w:w="57" w:type="dxa"/>
              <w:left w:w="57" w:type="dxa"/>
              <w:bottom w:w="57" w:type="dxa"/>
              <w:right w:w="57" w:type="dxa"/>
            </w:tcMar>
          </w:tcPr>
          <w:p>
            <w:pPr>
              <w:tabs>
                <w:tab w:val="num" w:pos="425"/>
              </w:tabs>
              <w:spacing w:line="276" w:lineRule="auto"/>
              <w:jc w:val="both"/>
              <w:rPr>
                <w:noProof/>
                <w:sz w:val="22"/>
              </w:rPr>
            </w:pPr>
            <w:r>
              <w:rPr>
                <w:noProof/>
                <w:sz w:val="22"/>
              </w:rPr>
              <w:t xml:space="preserve">The </w:t>
            </w:r>
            <w:r>
              <w:rPr>
                <w:noProof/>
                <w:sz w:val="22"/>
                <w:u w:val="single"/>
              </w:rPr>
              <w:t>travel and tourism industry</w:t>
            </w:r>
            <w:r>
              <w:rPr>
                <w:noProof/>
                <w:sz w:val="22"/>
              </w:rPr>
              <w:t xml:space="preserve"> across the Schengen area will be the main beneficiary.</w:t>
            </w:r>
          </w:p>
        </w:tc>
      </w:tr>
      <w:tr>
        <w:tc>
          <w:tcPr>
            <w:tcW w:w="3567" w:type="dxa"/>
          </w:tcPr>
          <w:p>
            <w:pPr>
              <w:tabs>
                <w:tab w:val="num" w:pos="425"/>
              </w:tabs>
              <w:spacing w:line="276" w:lineRule="auto"/>
              <w:rPr>
                <w:noProof/>
                <w:sz w:val="22"/>
              </w:rPr>
            </w:pPr>
            <w:r>
              <w:rPr>
                <w:noProof/>
                <w:sz w:val="22"/>
              </w:rPr>
              <w:t>Higher security (due to more financial resources for visa processing and higher return rates)</w:t>
            </w:r>
          </w:p>
        </w:tc>
        <w:tc>
          <w:tcPr>
            <w:tcW w:w="2280" w:type="dxa"/>
            <w:tcMar>
              <w:top w:w="57" w:type="dxa"/>
              <w:left w:w="57" w:type="dxa"/>
              <w:bottom w:w="57" w:type="dxa"/>
              <w:right w:w="57" w:type="dxa"/>
            </w:tcMar>
          </w:tcPr>
          <w:p>
            <w:pPr>
              <w:tabs>
                <w:tab w:val="num" w:pos="425"/>
              </w:tabs>
              <w:spacing w:line="276" w:lineRule="auto"/>
              <w:rPr>
                <w:noProof/>
                <w:sz w:val="22"/>
              </w:rPr>
            </w:pPr>
            <w:r>
              <w:rPr>
                <w:noProof/>
                <w:sz w:val="22"/>
              </w:rPr>
              <w:t>Not quantifiable in principle</w:t>
            </w:r>
          </w:p>
        </w:tc>
        <w:tc>
          <w:tcPr>
            <w:tcW w:w="4530" w:type="dxa"/>
            <w:tcMar>
              <w:top w:w="57" w:type="dxa"/>
              <w:left w:w="57" w:type="dxa"/>
              <w:bottom w:w="57" w:type="dxa"/>
              <w:right w:w="57" w:type="dxa"/>
            </w:tcMar>
          </w:tcPr>
          <w:p>
            <w:pPr>
              <w:tabs>
                <w:tab w:val="num" w:pos="425"/>
              </w:tabs>
              <w:spacing w:line="276" w:lineRule="auto"/>
              <w:jc w:val="both"/>
              <w:rPr>
                <w:noProof/>
                <w:sz w:val="22"/>
              </w:rPr>
            </w:pPr>
            <w:r>
              <w:rPr>
                <w:noProof/>
                <w:sz w:val="22"/>
              </w:rPr>
              <w:t xml:space="preserve">Main beneficiary are Member States' </w:t>
            </w:r>
            <w:r>
              <w:rPr>
                <w:noProof/>
                <w:sz w:val="22"/>
                <w:u w:val="single"/>
              </w:rPr>
              <w:t>societies</w:t>
            </w:r>
            <w:r>
              <w:rPr>
                <w:noProof/>
                <w:sz w:val="22"/>
              </w:rPr>
              <w:t xml:space="preserve"> at large.</w:t>
            </w:r>
          </w:p>
        </w:tc>
      </w:tr>
    </w:tbl>
    <w:p>
      <w:pPr>
        <w:pStyle w:val="ListParagraph"/>
        <w:ind w:left="0"/>
        <w:jc w:val="both"/>
        <w:rPr>
          <w:rFonts w:ascii="Times New Roman" w:hAnsi="Times New Roman" w:cs="Times New Roman"/>
          <w:noProof/>
        </w:rPr>
      </w:pPr>
    </w:p>
    <w:p>
      <w:pPr>
        <w:pStyle w:val="ListParagraph"/>
        <w:ind w:left="0"/>
        <w:jc w:val="both"/>
        <w:rPr>
          <w:rFonts w:ascii="Times New Roman" w:hAnsi="Times New Roman" w:cs="Times New Roman"/>
          <w:noProof/>
        </w:rPr>
      </w:pPr>
      <w:r>
        <w:rPr>
          <w:rFonts w:ascii="Times New Roman" w:hAnsi="Times New Roman" w:cs="Times New Roman"/>
          <w:noProof/>
        </w:rPr>
        <w:t>As regards the costs, the increase of the visa fee will only create costs for applicants in third countries. No costs are expected as a result of issuing more MEV with long validity.</w:t>
      </w:r>
      <w:r>
        <w:rPr>
          <w:noProof/>
        </w:rPr>
        <w:t xml:space="preserve"> </w:t>
      </w:r>
      <w:r>
        <w:rPr>
          <w:rFonts w:ascii="Times New Roman" w:hAnsi="Times New Roman" w:cs="Times New Roman"/>
          <w:noProof/>
        </w:rPr>
        <w:t>The costs incurred by negative incentives in the visa area linked to readmission will depend on whether negative incentives in visa policy will be applied to third countries and in how many instances. Direct costs might arise for visa applicants in third countries, and indirect costs might arise for tourism businesses in the EU. Those costs cannot be quantified, but are expected to be low.</w:t>
      </w:r>
    </w:p>
    <w:tbl>
      <w:tblPr>
        <w:tblStyle w:val="CV11"/>
        <w:tblW w:w="10428"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93"/>
        <w:gridCol w:w="1610"/>
        <w:gridCol w:w="1134"/>
        <w:gridCol w:w="1446"/>
        <w:gridCol w:w="1418"/>
        <w:gridCol w:w="1417"/>
        <w:gridCol w:w="1134"/>
        <w:gridCol w:w="1276"/>
      </w:tblGrid>
      <w:tr>
        <w:tc>
          <w:tcPr>
            <w:tcW w:w="10428" w:type="dxa"/>
            <w:gridSpan w:val="8"/>
            <w:shd w:val="clear" w:color="auto" w:fill="C6D9F1" w:themeFill="text2" w:themeFillTint="33"/>
            <w:tcMar>
              <w:top w:w="57" w:type="dxa"/>
              <w:left w:w="57" w:type="dxa"/>
              <w:bottom w:w="57" w:type="dxa"/>
              <w:right w:w="57" w:type="dxa"/>
            </w:tcMar>
          </w:tcPr>
          <w:p>
            <w:pPr>
              <w:keepNext/>
              <w:tabs>
                <w:tab w:val="num" w:pos="425"/>
              </w:tabs>
              <w:spacing w:line="276" w:lineRule="auto"/>
              <w:jc w:val="center"/>
              <w:rPr>
                <w:b/>
                <w:i/>
                <w:noProof/>
                <w:sz w:val="22"/>
                <w:szCs w:val="22"/>
              </w:rPr>
            </w:pPr>
            <w:r>
              <w:rPr>
                <w:b/>
                <w:i/>
                <w:noProof/>
                <w:sz w:val="22"/>
                <w:szCs w:val="22"/>
              </w:rPr>
              <w:t>II. Overview of costs – Preferred option (million EUR)</w:t>
            </w:r>
          </w:p>
        </w:tc>
      </w:tr>
      <w:tr>
        <w:trPr>
          <w:trHeight w:val="346"/>
        </w:trPr>
        <w:tc>
          <w:tcPr>
            <w:tcW w:w="2603"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vAlign w:val="bottom"/>
          </w:tcPr>
          <w:p>
            <w:pPr>
              <w:keepNext/>
              <w:tabs>
                <w:tab w:val="num" w:pos="425"/>
              </w:tabs>
              <w:spacing w:line="276" w:lineRule="auto"/>
              <w:rPr>
                <w:b/>
                <w:noProof/>
                <w:sz w:val="22"/>
                <w:szCs w:val="22"/>
              </w:rPr>
            </w:pPr>
            <w:r>
              <w:rPr>
                <w:b/>
                <w:noProof/>
                <w:sz w:val="22"/>
                <w:szCs w:val="22"/>
              </w:rPr>
              <w:t>Preferred options</w:t>
            </w:r>
          </w:p>
        </w:tc>
        <w:tc>
          <w:tcPr>
            <w:tcW w:w="2580" w:type="dxa"/>
            <w:gridSpan w:val="2"/>
            <w:tcBorders>
              <w:left w:val="double" w:sz="4" w:space="0" w:color="auto"/>
            </w:tcBorders>
            <w:tcMar>
              <w:top w:w="57" w:type="dxa"/>
              <w:left w:w="57" w:type="dxa"/>
              <w:bottom w:w="57" w:type="dxa"/>
              <w:right w:w="57" w:type="dxa"/>
            </w:tcMar>
          </w:tcPr>
          <w:p>
            <w:pPr>
              <w:keepNext/>
              <w:tabs>
                <w:tab w:val="num" w:pos="425"/>
              </w:tabs>
              <w:spacing w:line="276" w:lineRule="auto"/>
              <w:jc w:val="center"/>
              <w:rPr>
                <w:noProof/>
                <w:sz w:val="22"/>
                <w:szCs w:val="22"/>
              </w:rPr>
            </w:pPr>
            <w:r>
              <w:rPr>
                <w:noProof/>
                <w:sz w:val="22"/>
                <w:szCs w:val="22"/>
              </w:rPr>
              <w:t xml:space="preserve">Citizens/Consumers </w:t>
            </w:r>
          </w:p>
        </w:tc>
        <w:tc>
          <w:tcPr>
            <w:tcW w:w="2835" w:type="dxa"/>
            <w:gridSpan w:val="2"/>
            <w:tcMar>
              <w:top w:w="57" w:type="dxa"/>
              <w:left w:w="57" w:type="dxa"/>
              <w:bottom w:w="57" w:type="dxa"/>
              <w:right w:w="57" w:type="dxa"/>
            </w:tcMar>
          </w:tcPr>
          <w:p>
            <w:pPr>
              <w:keepNext/>
              <w:tabs>
                <w:tab w:val="num" w:pos="425"/>
              </w:tabs>
              <w:spacing w:line="276" w:lineRule="auto"/>
              <w:jc w:val="center"/>
              <w:rPr>
                <w:noProof/>
                <w:sz w:val="22"/>
                <w:szCs w:val="22"/>
              </w:rPr>
            </w:pPr>
            <w:r>
              <w:rPr>
                <w:noProof/>
                <w:sz w:val="22"/>
                <w:szCs w:val="22"/>
              </w:rPr>
              <w:t>Businesses</w:t>
            </w:r>
          </w:p>
        </w:tc>
        <w:tc>
          <w:tcPr>
            <w:tcW w:w="2410" w:type="dxa"/>
            <w:gridSpan w:val="2"/>
            <w:tcMar>
              <w:top w:w="57" w:type="dxa"/>
              <w:left w:w="57" w:type="dxa"/>
              <w:bottom w:w="57" w:type="dxa"/>
              <w:right w:w="57" w:type="dxa"/>
            </w:tcMar>
          </w:tcPr>
          <w:p>
            <w:pPr>
              <w:keepNext/>
              <w:tabs>
                <w:tab w:val="num" w:pos="425"/>
              </w:tabs>
              <w:spacing w:line="276" w:lineRule="auto"/>
              <w:jc w:val="center"/>
              <w:rPr>
                <w:noProof/>
                <w:sz w:val="22"/>
                <w:szCs w:val="22"/>
              </w:rPr>
            </w:pPr>
            <w:r>
              <w:rPr>
                <w:noProof/>
                <w:sz w:val="22"/>
                <w:szCs w:val="22"/>
              </w:rPr>
              <w:t>Administrations</w:t>
            </w:r>
          </w:p>
        </w:tc>
      </w:tr>
      <w:tr>
        <w:trPr>
          <w:trHeight w:val="346"/>
        </w:trPr>
        <w:tc>
          <w:tcPr>
            <w:tcW w:w="2603"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pPr>
              <w:keepNext/>
              <w:tabs>
                <w:tab w:val="num" w:pos="425"/>
              </w:tabs>
              <w:spacing w:line="276" w:lineRule="auto"/>
              <w:jc w:val="center"/>
              <w:rPr>
                <w:noProof/>
                <w:sz w:val="22"/>
                <w:szCs w:val="22"/>
              </w:rPr>
            </w:pPr>
          </w:p>
        </w:tc>
        <w:tc>
          <w:tcPr>
            <w:tcW w:w="1134" w:type="dxa"/>
            <w:tcBorders>
              <w:left w:val="double" w:sz="4" w:space="0" w:color="auto"/>
              <w:bottom w:val="double" w:sz="4" w:space="0" w:color="auto"/>
            </w:tcBorders>
            <w:tcMar>
              <w:top w:w="57" w:type="dxa"/>
              <w:left w:w="57" w:type="dxa"/>
              <w:bottom w:w="57" w:type="dxa"/>
              <w:right w:w="57" w:type="dxa"/>
            </w:tcMar>
          </w:tcPr>
          <w:p>
            <w:pPr>
              <w:keepNext/>
              <w:tabs>
                <w:tab w:val="num" w:pos="425"/>
              </w:tabs>
              <w:spacing w:line="276" w:lineRule="auto"/>
              <w:jc w:val="center"/>
              <w:rPr>
                <w:noProof/>
                <w:sz w:val="22"/>
                <w:szCs w:val="22"/>
              </w:rPr>
            </w:pPr>
            <w:r>
              <w:rPr>
                <w:noProof/>
                <w:sz w:val="22"/>
                <w:szCs w:val="22"/>
              </w:rPr>
              <w:t>One-off</w:t>
            </w:r>
          </w:p>
        </w:tc>
        <w:tc>
          <w:tcPr>
            <w:tcW w:w="1446" w:type="dxa"/>
            <w:tcBorders>
              <w:bottom w:val="double" w:sz="4" w:space="0" w:color="auto"/>
            </w:tcBorders>
            <w:tcMar>
              <w:top w:w="57" w:type="dxa"/>
              <w:left w:w="57" w:type="dxa"/>
              <w:bottom w:w="57" w:type="dxa"/>
              <w:right w:w="57" w:type="dxa"/>
            </w:tcMar>
          </w:tcPr>
          <w:p>
            <w:pPr>
              <w:keepNext/>
              <w:tabs>
                <w:tab w:val="num" w:pos="425"/>
              </w:tabs>
              <w:spacing w:line="276" w:lineRule="auto"/>
              <w:jc w:val="center"/>
              <w:rPr>
                <w:noProof/>
                <w:sz w:val="22"/>
                <w:szCs w:val="22"/>
              </w:rPr>
            </w:pPr>
            <w:r>
              <w:rPr>
                <w:noProof/>
                <w:sz w:val="22"/>
                <w:szCs w:val="22"/>
              </w:rPr>
              <w:t>Recurrent</w:t>
            </w:r>
          </w:p>
        </w:tc>
        <w:tc>
          <w:tcPr>
            <w:tcW w:w="1418" w:type="dxa"/>
            <w:tcBorders>
              <w:bottom w:val="double" w:sz="4" w:space="0" w:color="auto"/>
            </w:tcBorders>
            <w:tcMar>
              <w:top w:w="57" w:type="dxa"/>
              <w:left w:w="57" w:type="dxa"/>
              <w:bottom w:w="57" w:type="dxa"/>
              <w:right w:w="57" w:type="dxa"/>
            </w:tcMar>
          </w:tcPr>
          <w:p>
            <w:pPr>
              <w:keepNext/>
              <w:tabs>
                <w:tab w:val="num" w:pos="425"/>
              </w:tabs>
              <w:spacing w:line="276" w:lineRule="auto"/>
              <w:jc w:val="center"/>
              <w:rPr>
                <w:noProof/>
                <w:sz w:val="22"/>
                <w:szCs w:val="22"/>
              </w:rPr>
            </w:pPr>
            <w:r>
              <w:rPr>
                <w:noProof/>
                <w:sz w:val="22"/>
                <w:szCs w:val="22"/>
              </w:rPr>
              <w:t>One-off</w:t>
            </w:r>
          </w:p>
        </w:tc>
        <w:tc>
          <w:tcPr>
            <w:tcW w:w="1417" w:type="dxa"/>
            <w:tcBorders>
              <w:bottom w:val="double" w:sz="4" w:space="0" w:color="auto"/>
            </w:tcBorders>
            <w:tcMar>
              <w:top w:w="57" w:type="dxa"/>
              <w:left w:w="57" w:type="dxa"/>
              <w:bottom w:w="57" w:type="dxa"/>
              <w:right w:w="57" w:type="dxa"/>
            </w:tcMar>
          </w:tcPr>
          <w:p>
            <w:pPr>
              <w:keepNext/>
              <w:tabs>
                <w:tab w:val="num" w:pos="425"/>
              </w:tabs>
              <w:spacing w:line="276" w:lineRule="auto"/>
              <w:jc w:val="center"/>
              <w:rPr>
                <w:noProof/>
                <w:sz w:val="22"/>
                <w:szCs w:val="22"/>
              </w:rPr>
            </w:pPr>
            <w:r>
              <w:rPr>
                <w:noProof/>
                <w:sz w:val="22"/>
                <w:szCs w:val="22"/>
              </w:rPr>
              <w:t>Recurrent</w:t>
            </w:r>
          </w:p>
        </w:tc>
        <w:tc>
          <w:tcPr>
            <w:tcW w:w="1134" w:type="dxa"/>
            <w:tcBorders>
              <w:bottom w:val="double" w:sz="4" w:space="0" w:color="auto"/>
            </w:tcBorders>
            <w:tcMar>
              <w:top w:w="57" w:type="dxa"/>
              <w:left w:w="57" w:type="dxa"/>
              <w:bottom w:w="57" w:type="dxa"/>
              <w:right w:w="57" w:type="dxa"/>
            </w:tcMar>
          </w:tcPr>
          <w:p>
            <w:pPr>
              <w:keepNext/>
              <w:tabs>
                <w:tab w:val="num" w:pos="425"/>
              </w:tabs>
              <w:spacing w:line="276" w:lineRule="auto"/>
              <w:jc w:val="center"/>
              <w:rPr>
                <w:noProof/>
                <w:sz w:val="22"/>
                <w:szCs w:val="22"/>
              </w:rPr>
            </w:pPr>
            <w:r>
              <w:rPr>
                <w:noProof/>
                <w:sz w:val="22"/>
                <w:szCs w:val="22"/>
              </w:rPr>
              <w:t>One-off</w:t>
            </w:r>
          </w:p>
        </w:tc>
        <w:tc>
          <w:tcPr>
            <w:tcW w:w="1276" w:type="dxa"/>
            <w:tcBorders>
              <w:bottom w:val="double" w:sz="4" w:space="0" w:color="auto"/>
            </w:tcBorders>
            <w:tcMar>
              <w:top w:w="57" w:type="dxa"/>
              <w:left w:w="57" w:type="dxa"/>
              <w:bottom w:w="57" w:type="dxa"/>
              <w:right w:w="57" w:type="dxa"/>
            </w:tcMar>
          </w:tcPr>
          <w:p>
            <w:pPr>
              <w:keepNext/>
              <w:tabs>
                <w:tab w:val="num" w:pos="425"/>
              </w:tabs>
              <w:spacing w:line="276" w:lineRule="auto"/>
              <w:jc w:val="center"/>
              <w:rPr>
                <w:noProof/>
                <w:sz w:val="22"/>
                <w:szCs w:val="22"/>
              </w:rPr>
            </w:pPr>
            <w:r>
              <w:rPr>
                <w:noProof/>
                <w:sz w:val="22"/>
                <w:szCs w:val="22"/>
              </w:rPr>
              <w:t>Recurrent</w:t>
            </w:r>
          </w:p>
        </w:tc>
      </w:tr>
      <w:tr>
        <w:trPr>
          <w:trHeight w:val="307"/>
        </w:trPr>
        <w:tc>
          <w:tcPr>
            <w:tcW w:w="993" w:type="dxa"/>
            <w:vMerge w:val="restart"/>
            <w:tcMar>
              <w:top w:w="57" w:type="dxa"/>
              <w:left w:w="57" w:type="dxa"/>
              <w:bottom w:w="57" w:type="dxa"/>
              <w:right w:w="57" w:type="dxa"/>
            </w:tcMar>
            <w:vAlign w:val="center"/>
          </w:tcPr>
          <w:p>
            <w:pPr>
              <w:keepNext/>
              <w:tabs>
                <w:tab w:val="num" w:pos="425"/>
              </w:tabs>
              <w:spacing w:line="276" w:lineRule="auto"/>
              <w:jc w:val="center"/>
              <w:rPr>
                <w:noProof/>
                <w:sz w:val="22"/>
                <w:szCs w:val="22"/>
              </w:rPr>
            </w:pPr>
            <w:r>
              <w:rPr>
                <w:b/>
                <w:noProof/>
                <w:sz w:val="22"/>
                <w:szCs w:val="22"/>
              </w:rPr>
              <w:t>1C1</w:t>
            </w:r>
          </w:p>
        </w:tc>
        <w:tc>
          <w:tcPr>
            <w:tcW w:w="1610" w:type="dxa"/>
            <w:tcBorders>
              <w:right w:val="double" w:sz="4" w:space="0" w:color="auto"/>
            </w:tcBorders>
            <w:tcMar>
              <w:top w:w="57" w:type="dxa"/>
              <w:left w:w="57" w:type="dxa"/>
              <w:bottom w:w="57" w:type="dxa"/>
              <w:right w:w="57" w:type="dxa"/>
            </w:tcMar>
            <w:vAlign w:val="center"/>
          </w:tcPr>
          <w:p>
            <w:pPr>
              <w:keepNext/>
              <w:tabs>
                <w:tab w:val="num" w:pos="425"/>
              </w:tabs>
              <w:spacing w:line="276" w:lineRule="auto"/>
              <w:rPr>
                <w:noProof/>
                <w:sz w:val="22"/>
                <w:szCs w:val="22"/>
              </w:rPr>
            </w:pPr>
            <w:r>
              <w:rPr>
                <w:noProof/>
                <w:sz w:val="22"/>
                <w:szCs w:val="22"/>
              </w:rPr>
              <w:t>Direct costs</w:t>
            </w:r>
          </w:p>
        </w:tc>
        <w:tc>
          <w:tcPr>
            <w:tcW w:w="1134" w:type="dxa"/>
            <w:tcBorders>
              <w:left w:val="double" w:sz="4" w:space="0" w:color="auto"/>
            </w:tcBorders>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446" w:type="dxa"/>
            <w:tcMar>
              <w:top w:w="57" w:type="dxa"/>
              <w:left w:w="57" w:type="dxa"/>
              <w:bottom w:w="57" w:type="dxa"/>
              <w:right w:w="57" w:type="dxa"/>
            </w:tcMar>
            <w:vAlign w:val="center"/>
          </w:tcPr>
          <w:p>
            <w:pPr>
              <w:keepNext/>
              <w:tabs>
                <w:tab w:val="num" w:pos="425"/>
              </w:tabs>
              <w:spacing w:line="276" w:lineRule="auto"/>
              <w:jc w:val="center"/>
              <w:rPr>
                <w:noProof/>
                <w:sz w:val="22"/>
                <w:szCs w:val="22"/>
              </w:rPr>
            </w:pPr>
            <w:r>
              <w:rPr>
                <w:noProof/>
                <w:sz w:val="22"/>
                <w:szCs w:val="22"/>
              </w:rPr>
              <w:t>205</w:t>
            </w:r>
            <w:r>
              <w:rPr>
                <w:rStyle w:val="FootnoteReference"/>
                <w:noProof/>
                <w:sz w:val="22"/>
                <w:szCs w:val="22"/>
              </w:rPr>
              <w:footnoteReference w:id="64"/>
            </w:r>
          </w:p>
        </w:tc>
        <w:tc>
          <w:tcPr>
            <w:tcW w:w="1418"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417"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134"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276"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r>
      <w:tr>
        <w:tc>
          <w:tcPr>
            <w:tcW w:w="993" w:type="dxa"/>
            <w:vMerge/>
            <w:tcMar>
              <w:top w:w="57" w:type="dxa"/>
              <w:left w:w="57" w:type="dxa"/>
              <w:bottom w:w="57" w:type="dxa"/>
              <w:right w:w="57" w:type="dxa"/>
            </w:tcMar>
          </w:tcPr>
          <w:p>
            <w:pPr>
              <w:keepNext/>
              <w:tabs>
                <w:tab w:val="num" w:pos="425"/>
              </w:tabs>
              <w:spacing w:line="276" w:lineRule="auto"/>
              <w:rPr>
                <w:noProof/>
                <w:sz w:val="22"/>
                <w:szCs w:val="22"/>
              </w:rPr>
            </w:pPr>
          </w:p>
        </w:tc>
        <w:tc>
          <w:tcPr>
            <w:tcW w:w="1610" w:type="dxa"/>
            <w:tcBorders>
              <w:right w:val="double" w:sz="4" w:space="0" w:color="auto"/>
            </w:tcBorders>
            <w:tcMar>
              <w:top w:w="57" w:type="dxa"/>
              <w:left w:w="57" w:type="dxa"/>
              <w:bottom w:w="57" w:type="dxa"/>
              <w:right w:w="57" w:type="dxa"/>
            </w:tcMar>
          </w:tcPr>
          <w:p>
            <w:pPr>
              <w:keepNext/>
              <w:tabs>
                <w:tab w:val="num" w:pos="425"/>
              </w:tabs>
              <w:spacing w:line="276" w:lineRule="auto"/>
              <w:rPr>
                <w:noProof/>
                <w:sz w:val="22"/>
                <w:szCs w:val="22"/>
              </w:rPr>
            </w:pPr>
            <w:r>
              <w:rPr>
                <w:noProof/>
                <w:sz w:val="22"/>
                <w:szCs w:val="22"/>
              </w:rPr>
              <w:t>Indirect costs</w:t>
            </w:r>
          </w:p>
        </w:tc>
        <w:tc>
          <w:tcPr>
            <w:tcW w:w="1134" w:type="dxa"/>
            <w:tcBorders>
              <w:left w:val="double" w:sz="4" w:space="0" w:color="auto"/>
            </w:tcBorders>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446"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418"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417"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134"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276"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r>
      <w:tr>
        <w:tc>
          <w:tcPr>
            <w:tcW w:w="993" w:type="dxa"/>
            <w:vMerge w:val="restart"/>
            <w:tcMar>
              <w:top w:w="57" w:type="dxa"/>
              <w:left w:w="57" w:type="dxa"/>
              <w:bottom w:w="57" w:type="dxa"/>
              <w:right w:w="57" w:type="dxa"/>
            </w:tcMar>
            <w:vAlign w:val="center"/>
          </w:tcPr>
          <w:p>
            <w:pPr>
              <w:keepNext/>
              <w:tabs>
                <w:tab w:val="num" w:pos="425"/>
              </w:tabs>
              <w:spacing w:line="276" w:lineRule="auto"/>
              <w:jc w:val="center"/>
              <w:rPr>
                <w:b/>
                <w:noProof/>
                <w:sz w:val="22"/>
                <w:szCs w:val="22"/>
              </w:rPr>
            </w:pPr>
            <w:r>
              <w:rPr>
                <w:b/>
                <w:noProof/>
                <w:sz w:val="22"/>
                <w:szCs w:val="22"/>
              </w:rPr>
              <w:t>2C2</w:t>
            </w:r>
          </w:p>
        </w:tc>
        <w:tc>
          <w:tcPr>
            <w:tcW w:w="1610" w:type="dxa"/>
            <w:tcBorders>
              <w:right w:val="double" w:sz="4" w:space="0" w:color="auto"/>
            </w:tcBorders>
            <w:tcMar>
              <w:top w:w="57" w:type="dxa"/>
              <w:left w:w="57" w:type="dxa"/>
              <w:bottom w:w="57" w:type="dxa"/>
              <w:right w:w="57" w:type="dxa"/>
            </w:tcMar>
            <w:vAlign w:val="center"/>
          </w:tcPr>
          <w:p>
            <w:pPr>
              <w:keepNext/>
              <w:tabs>
                <w:tab w:val="num" w:pos="425"/>
              </w:tabs>
              <w:spacing w:line="276" w:lineRule="auto"/>
              <w:rPr>
                <w:noProof/>
                <w:sz w:val="22"/>
                <w:szCs w:val="22"/>
              </w:rPr>
            </w:pPr>
            <w:r>
              <w:rPr>
                <w:noProof/>
                <w:sz w:val="22"/>
                <w:szCs w:val="22"/>
              </w:rPr>
              <w:t>Direct costs</w:t>
            </w:r>
          </w:p>
        </w:tc>
        <w:tc>
          <w:tcPr>
            <w:tcW w:w="1134" w:type="dxa"/>
            <w:tcBorders>
              <w:left w:val="double" w:sz="4" w:space="0" w:color="auto"/>
            </w:tcBorders>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446"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418"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417"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134"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276"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r>
      <w:tr>
        <w:tc>
          <w:tcPr>
            <w:tcW w:w="993" w:type="dxa"/>
            <w:vMerge/>
            <w:tcMar>
              <w:top w:w="57" w:type="dxa"/>
              <w:left w:w="57" w:type="dxa"/>
              <w:bottom w:w="57" w:type="dxa"/>
              <w:right w:w="57" w:type="dxa"/>
            </w:tcMar>
            <w:vAlign w:val="center"/>
          </w:tcPr>
          <w:p>
            <w:pPr>
              <w:keepNext/>
              <w:tabs>
                <w:tab w:val="num" w:pos="425"/>
              </w:tabs>
              <w:spacing w:line="276" w:lineRule="auto"/>
              <w:jc w:val="center"/>
              <w:rPr>
                <w:b/>
                <w:noProof/>
                <w:sz w:val="22"/>
                <w:szCs w:val="22"/>
              </w:rPr>
            </w:pPr>
          </w:p>
        </w:tc>
        <w:tc>
          <w:tcPr>
            <w:tcW w:w="1610" w:type="dxa"/>
            <w:tcBorders>
              <w:right w:val="double" w:sz="4" w:space="0" w:color="auto"/>
            </w:tcBorders>
            <w:tcMar>
              <w:top w:w="57" w:type="dxa"/>
              <w:left w:w="57" w:type="dxa"/>
              <w:bottom w:w="57" w:type="dxa"/>
              <w:right w:w="57" w:type="dxa"/>
            </w:tcMar>
          </w:tcPr>
          <w:p>
            <w:pPr>
              <w:keepNext/>
              <w:tabs>
                <w:tab w:val="num" w:pos="425"/>
              </w:tabs>
              <w:spacing w:line="276" w:lineRule="auto"/>
              <w:rPr>
                <w:noProof/>
                <w:sz w:val="22"/>
                <w:szCs w:val="22"/>
              </w:rPr>
            </w:pPr>
            <w:r>
              <w:rPr>
                <w:noProof/>
                <w:sz w:val="22"/>
                <w:szCs w:val="22"/>
              </w:rPr>
              <w:t>Indirect costs</w:t>
            </w:r>
          </w:p>
        </w:tc>
        <w:tc>
          <w:tcPr>
            <w:tcW w:w="1134" w:type="dxa"/>
            <w:tcBorders>
              <w:left w:val="double" w:sz="4" w:space="0" w:color="auto"/>
            </w:tcBorders>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446"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418"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417"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134"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276"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r>
      <w:tr>
        <w:tc>
          <w:tcPr>
            <w:tcW w:w="993" w:type="dxa"/>
            <w:vMerge w:val="restart"/>
            <w:tcMar>
              <w:top w:w="57" w:type="dxa"/>
              <w:left w:w="57" w:type="dxa"/>
              <w:bottom w:w="57" w:type="dxa"/>
              <w:right w:w="57" w:type="dxa"/>
            </w:tcMar>
            <w:vAlign w:val="center"/>
          </w:tcPr>
          <w:p>
            <w:pPr>
              <w:keepNext/>
              <w:tabs>
                <w:tab w:val="num" w:pos="425"/>
              </w:tabs>
              <w:spacing w:line="276" w:lineRule="auto"/>
              <w:jc w:val="center"/>
              <w:rPr>
                <w:b/>
                <w:noProof/>
                <w:sz w:val="22"/>
                <w:szCs w:val="22"/>
              </w:rPr>
            </w:pPr>
            <w:r>
              <w:rPr>
                <w:b/>
                <w:noProof/>
                <w:sz w:val="22"/>
                <w:szCs w:val="22"/>
              </w:rPr>
              <w:t>3C2</w:t>
            </w:r>
          </w:p>
        </w:tc>
        <w:tc>
          <w:tcPr>
            <w:tcW w:w="1610" w:type="dxa"/>
            <w:tcBorders>
              <w:right w:val="double" w:sz="4" w:space="0" w:color="auto"/>
            </w:tcBorders>
            <w:tcMar>
              <w:top w:w="57" w:type="dxa"/>
              <w:left w:w="57" w:type="dxa"/>
              <w:bottom w:w="57" w:type="dxa"/>
              <w:right w:w="57" w:type="dxa"/>
            </w:tcMar>
            <w:vAlign w:val="center"/>
          </w:tcPr>
          <w:p>
            <w:pPr>
              <w:keepNext/>
              <w:tabs>
                <w:tab w:val="num" w:pos="425"/>
              </w:tabs>
              <w:spacing w:line="276" w:lineRule="auto"/>
              <w:rPr>
                <w:noProof/>
                <w:sz w:val="22"/>
                <w:szCs w:val="22"/>
              </w:rPr>
            </w:pPr>
            <w:r>
              <w:rPr>
                <w:noProof/>
                <w:sz w:val="22"/>
                <w:szCs w:val="22"/>
              </w:rPr>
              <w:t>Direct costs</w:t>
            </w:r>
          </w:p>
        </w:tc>
        <w:tc>
          <w:tcPr>
            <w:tcW w:w="1134" w:type="dxa"/>
            <w:tcBorders>
              <w:left w:val="double" w:sz="4" w:space="0" w:color="auto"/>
            </w:tcBorders>
            <w:tcMar>
              <w:top w:w="57" w:type="dxa"/>
              <w:left w:w="57" w:type="dxa"/>
              <w:bottom w:w="57" w:type="dxa"/>
              <w:right w:w="57" w:type="dxa"/>
            </w:tcMar>
            <w:vAlign w:val="center"/>
          </w:tcPr>
          <w:p>
            <w:pPr>
              <w:spacing w:line="276" w:lineRule="auto"/>
              <w:jc w:val="center"/>
              <w:rPr>
                <w:noProof/>
                <w:sz w:val="22"/>
                <w:szCs w:val="22"/>
              </w:rPr>
            </w:pPr>
            <w:r>
              <w:rPr>
                <w:noProof/>
                <w:sz w:val="22"/>
                <w:szCs w:val="22"/>
              </w:rPr>
              <w:t>n/a</w:t>
            </w:r>
          </w:p>
        </w:tc>
        <w:tc>
          <w:tcPr>
            <w:tcW w:w="1446"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n/a</w:t>
            </w:r>
          </w:p>
        </w:tc>
        <w:tc>
          <w:tcPr>
            <w:tcW w:w="1418"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417"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134"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276"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r>
      <w:tr>
        <w:tc>
          <w:tcPr>
            <w:tcW w:w="993" w:type="dxa"/>
            <w:vMerge/>
            <w:tcMar>
              <w:top w:w="57" w:type="dxa"/>
              <w:left w:w="57" w:type="dxa"/>
              <w:bottom w:w="57" w:type="dxa"/>
              <w:right w:w="57" w:type="dxa"/>
            </w:tcMar>
          </w:tcPr>
          <w:p>
            <w:pPr>
              <w:keepNext/>
              <w:tabs>
                <w:tab w:val="num" w:pos="425"/>
              </w:tabs>
              <w:spacing w:line="276" w:lineRule="auto"/>
              <w:rPr>
                <w:noProof/>
                <w:sz w:val="22"/>
                <w:szCs w:val="22"/>
              </w:rPr>
            </w:pPr>
          </w:p>
        </w:tc>
        <w:tc>
          <w:tcPr>
            <w:tcW w:w="1610" w:type="dxa"/>
            <w:tcBorders>
              <w:right w:val="double" w:sz="4" w:space="0" w:color="auto"/>
            </w:tcBorders>
            <w:tcMar>
              <w:top w:w="57" w:type="dxa"/>
              <w:left w:w="57" w:type="dxa"/>
              <w:bottom w:w="57" w:type="dxa"/>
              <w:right w:w="57" w:type="dxa"/>
            </w:tcMar>
          </w:tcPr>
          <w:p>
            <w:pPr>
              <w:keepNext/>
              <w:tabs>
                <w:tab w:val="num" w:pos="425"/>
              </w:tabs>
              <w:spacing w:line="276" w:lineRule="auto"/>
              <w:rPr>
                <w:noProof/>
                <w:sz w:val="22"/>
                <w:szCs w:val="22"/>
              </w:rPr>
            </w:pPr>
            <w:r>
              <w:rPr>
                <w:noProof/>
                <w:sz w:val="22"/>
                <w:szCs w:val="22"/>
              </w:rPr>
              <w:t>Indirect costs</w:t>
            </w:r>
          </w:p>
        </w:tc>
        <w:tc>
          <w:tcPr>
            <w:tcW w:w="1134" w:type="dxa"/>
            <w:tcBorders>
              <w:left w:val="double" w:sz="4" w:space="0" w:color="auto"/>
            </w:tcBorders>
            <w:tcMar>
              <w:top w:w="57" w:type="dxa"/>
              <w:left w:w="57" w:type="dxa"/>
              <w:bottom w:w="57" w:type="dxa"/>
              <w:right w:w="57" w:type="dxa"/>
            </w:tcMar>
            <w:vAlign w:val="center"/>
          </w:tcPr>
          <w:p>
            <w:pPr>
              <w:spacing w:line="276" w:lineRule="auto"/>
              <w:jc w:val="center"/>
              <w:rPr>
                <w:noProof/>
                <w:sz w:val="22"/>
                <w:szCs w:val="22"/>
              </w:rPr>
            </w:pPr>
            <w:r>
              <w:rPr>
                <w:noProof/>
                <w:sz w:val="22"/>
                <w:szCs w:val="22"/>
              </w:rPr>
              <w:t>n/a</w:t>
            </w:r>
          </w:p>
        </w:tc>
        <w:tc>
          <w:tcPr>
            <w:tcW w:w="1446"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n/a</w:t>
            </w:r>
          </w:p>
        </w:tc>
        <w:tc>
          <w:tcPr>
            <w:tcW w:w="1418"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n/a</w:t>
            </w:r>
          </w:p>
        </w:tc>
        <w:tc>
          <w:tcPr>
            <w:tcW w:w="1417"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n/a</w:t>
            </w:r>
          </w:p>
        </w:tc>
        <w:tc>
          <w:tcPr>
            <w:tcW w:w="1134"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c>
          <w:tcPr>
            <w:tcW w:w="1276" w:type="dxa"/>
            <w:tcMar>
              <w:top w:w="57" w:type="dxa"/>
              <w:left w:w="57" w:type="dxa"/>
              <w:bottom w:w="57" w:type="dxa"/>
              <w:right w:w="57" w:type="dxa"/>
            </w:tcMar>
            <w:vAlign w:val="center"/>
          </w:tcPr>
          <w:p>
            <w:pPr>
              <w:spacing w:line="276" w:lineRule="auto"/>
              <w:jc w:val="center"/>
              <w:rPr>
                <w:noProof/>
                <w:sz w:val="22"/>
                <w:szCs w:val="22"/>
              </w:rPr>
            </w:pPr>
            <w:r>
              <w:rPr>
                <w:noProof/>
                <w:sz w:val="22"/>
                <w:szCs w:val="22"/>
              </w:rPr>
              <w:t>-</w:t>
            </w:r>
          </w:p>
        </w:tc>
      </w:tr>
    </w:tbl>
    <w:p>
      <w:pPr>
        <w:rPr>
          <w:noProof/>
        </w:rPr>
      </w:pPr>
    </w:p>
    <w:p>
      <w:pPr>
        <w:rPr>
          <w:noProof/>
        </w:rPr>
      </w:pPr>
      <w:r>
        <w:rPr>
          <w:noProof/>
        </w:rPr>
        <w:br w:type="page"/>
      </w:r>
    </w:p>
    <w:p>
      <w:pPr>
        <w:pStyle w:val="AnnexTitle"/>
        <w:rPr>
          <w:noProof/>
        </w:rPr>
      </w:pPr>
      <w:bookmarkStart w:id="86" w:name="_Toc507148519"/>
      <w:r>
        <w:rPr>
          <w:noProof/>
        </w:rPr>
        <w:t>Annex 4: Update on the implementation of the Visa Code</w:t>
      </w:r>
      <w:bookmarkEnd w:id="86"/>
    </w:p>
    <w:p>
      <w:pPr>
        <w:pStyle w:val="Heading2"/>
        <w:numPr>
          <w:ilvl w:val="0"/>
          <w:numId w:val="24"/>
        </w:numPr>
        <w:rPr>
          <w:noProof/>
          <w:szCs w:val="24"/>
        </w:rPr>
      </w:pPr>
      <w:bookmarkStart w:id="87" w:name="_Toc505007395"/>
      <w:bookmarkStart w:id="88" w:name="_Toc507148520"/>
      <w:r>
        <w:rPr>
          <w:noProof/>
          <w:szCs w:val="24"/>
        </w:rPr>
        <w:t>Introduction</w:t>
      </w:r>
      <w:bookmarkEnd w:id="87"/>
      <w:bookmarkEnd w:id="88"/>
    </w:p>
    <w:p>
      <w:pPr>
        <w:jc w:val="both"/>
        <w:rPr>
          <w:rFonts w:ascii="Times New Roman" w:hAnsi="Times New Roman" w:cs="Times New Roman"/>
          <w:noProof/>
          <w:sz w:val="24"/>
          <w:szCs w:val="24"/>
        </w:rPr>
      </w:pPr>
      <w:r>
        <w:rPr>
          <w:rFonts w:ascii="Times New Roman" w:hAnsi="Times New Roman" w:cs="Times New Roman"/>
          <w:noProof/>
          <w:sz w:val="24"/>
          <w:szCs w:val="24"/>
        </w:rPr>
        <w:t>The Visa Code</w:t>
      </w:r>
      <w:r>
        <w:rPr>
          <w:rStyle w:val="FootnoteReference"/>
          <w:noProof/>
          <w:sz w:val="24"/>
          <w:szCs w:val="24"/>
        </w:rPr>
        <w:footnoteReference w:id="65"/>
      </w:r>
      <w:r>
        <w:rPr>
          <w:rFonts w:ascii="Times New Roman" w:hAnsi="Times New Roman" w:cs="Times New Roman"/>
          <w:noProof/>
          <w:sz w:val="24"/>
          <w:szCs w:val="24"/>
        </w:rPr>
        <w:t xml:space="preserve"> sets out the procedures and conditions for issuing visas for short stays in the Schengen area. It replaced and consolidated all previous legal acts governing visa-issuing conditions and procedures. One of its overarching aims was therefore the simplification and harmonisation of the way Member States issue Schengen visas. Its main objective is to prevent migratory and security risks while at the same time facilitating legitimate travel.</w:t>
      </w:r>
    </w:p>
    <w:p>
      <w:pPr>
        <w:jc w:val="both"/>
        <w:rPr>
          <w:rFonts w:ascii="Times New Roman" w:hAnsi="Times New Roman" w:cs="Times New Roman"/>
          <w:noProof/>
          <w:sz w:val="24"/>
          <w:szCs w:val="24"/>
        </w:rPr>
      </w:pPr>
      <w:r>
        <w:rPr>
          <w:rFonts w:ascii="Times New Roman" w:hAnsi="Times New Roman" w:cs="Times New Roman"/>
          <w:noProof/>
          <w:sz w:val="24"/>
          <w:szCs w:val="24"/>
        </w:rPr>
        <w:t>Two years after all provisions of the Visa Code became applicable, the Commission was required to report to the European Parliament and the Council on the implementation of the regulation, with an examination of the results achieved. The Commission presented its evaluation in a report</w:t>
      </w:r>
      <w:r>
        <w:rPr>
          <w:rStyle w:val="FootnoteReference"/>
          <w:rFonts w:ascii="Times New Roman" w:hAnsi="Times New Roman" w:cs="Times New Roman"/>
          <w:noProof/>
          <w:szCs w:val="24"/>
        </w:rPr>
        <w:footnoteReference w:id="66"/>
      </w:r>
      <w:r>
        <w:rPr>
          <w:rFonts w:ascii="Times New Roman" w:hAnsi="Times New Roman" w:cs="Times New Roman"/>
          <w:noProof/>
          <w:sz w:val="24"/>
          <w:szCs w:val="24"/>
        </w:rPr>
        <w:t xml:space="preserve"> and accompanying staff working document</w:t>
      </w:r>
      <w:r>
        <w:rPr>
          <w:rStyle w:val="FootnoteReference"/>
          <w:rFonts w:ascii="Times New Roman" w:hAnsi="Times New Roman" w:cs="Times New Roman"/>
          <w:noProof/>
          <w:szCs w:val="24"/>
        </w:rPr>
        <w:footnoteReference w:id="67"/>
      </w:r>
      <w:r>
        <w:rPr>
          <w:rFonts w:ascii="Times New Roman" w:hAnsi="Times New Roman" w:cs="Times New Roman"/>
          <w:noProof/>
          <w:sz w:val="24"/>
          <w:szCs w:val="24"/>
        </w:rPr>
        <w:t xml:space="preserve"> on 1 April 2014. As there have been no substantive changes to the Visa Code since these reports were published, their findings remain generally valid today. Nonetheless, as the political context has significantly changed in the past four years and the Commission services have gathered more experience on the practical implementation of the Visa Code, the present annex provides an updated set of data and evidence compared to the 2014 evaluation.</w:t>
      </w:r>
    </w:p>
    <w:p>
      <w:pPr>
        <w:pStyle w:val="Heading2"/>
        <w:numPr>
          <w:ilvl w:val="0"/>
          <w:numId w:val="24"/>
        </w:numPr>
        <w:rPr>
          <w:noProof/>
          <w:szCs w:val="24"/>
        </w:rPr>
      </w:pPr>
      <w:bookmarkStart w:id="89" w:name="_Toc505007396"/>
      <w:bookmarkStart w:id="90" w:name="_Toc507148521"/>
      <w:r>
        <w:rPr>
          <w:noProof/>
          <w:szCs w:val="24"/>
        </w:rPr>
        <w:t>Context</w:t>
      </w:r>
      <w:bookmarkEnd w:id="89"/>
      <w:bookmarkEnd w:id="90"/>
    </w:p>
    <w:p>
      <w:pPr>
        <w:jc w:val="both"/>
        <w:rPr>
          <w:rFonts w:ascii="Times New Roman" w:hAnsi="Times New Roman" w:cs="Times New Roman"/>
          <w:noProof/>
          <w:sz w:val="24"/>
          <w:szCs w:val="24"/>
        </w:rPr>
      </w:pPr>
      <w:r>
        <w:rPr>
          <w:rFonts w:ascii="Times New Roman" w:hAnsi="Times New Roman" w:cs="Times New Roman"/>
          <w:noProof/>
          <w:sz w:val="24"/>
          <w:szCs w:val="24"/>
        </w:rPr>
        <w:t>Anticipating the 2014 evaluation, in November 2012 the Commission published a first Communication on the "Implementation and development of the common visa policy to spur growth"</w:t>
      </w:r>
      <w:r>
        <w:rPr>
          <w:rStyle w:val="FootnoteReference"/>
          <w:rFonts w:ascii="Times New Roman" w:hAnsi="Times New Roman" w:cs="Times New Roman"/>
          <w:noProof/>
          <w:szCs w:val="24"/>
        </w:rPr>
        <w:footnoteReference w:id="68"/>
      </w:r>
      <w:r>
        <w:rPr>
          <w:rFonts w:ascii="Times New Roman" w:hAnsi="Times New Roman" w:cs="Times New Roman"/>
          <w:noProof/>
          <w:sz w:val="24"/>
          <w:szCs w:val="24"/>
        </w:rPr>
        <w:t>. Both this Communication and the title of the 2014 evaluation ("A smarter visa policy for economic growth") reflect one of the main concerns at the time: the weak economic outlook following the economic crisis since 2008 provided the background for efforts to leverage all possible EU policies to spur growth. The focus was therefore placed on the facilitation of legitimate travel in order to harness its potential for growth and jobs creation. As the 2014 evaluation noted, the direct, indirect and induced lost contribution to GDP resulting from visa requirements amounts to anywhere between EUR4.2 to 12.6 billion, translating to between 80 000 and 250 000 lost jobs.</w:t>
      </w:r>
    </w:p>
    <w:p>
      <w:pPr>
        <w:widowControl w:val="0"/>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 Visa Code does not explicitly mention the objective of economic growth and jobs creation, it is clear that legitimate travel, be it for business, touristic, cultural, family or other reasons, brings economic benefits to the EU. The Visa Code's objective of facilitating the entry into the Schengen area of </w:t>
      </w:r>
      <w:r>
        <w:rPr>
          <w:rFonts w:ascii="Times New Roman" w:hAnsi="Times New Roman" w:cs="Times New Roman"/>
          <w:i/>
          <w:noProof/>
          <w:sz w:val="24"/>
          <w:szCs w:val="24"/>
        </w:rPr>
        <w:t>bona fide</w:t>
      </w:r>
      <w:r>
        <w:rPr>
          <w:rFonts w:ascii="Times New Roman" w:hAnsi="Times New Roman" w:cs="Times New Roman"/>
          <w:noProof/>
          <w:sz w:val="24"/>
          <w:szCs w:val="24"/>
        </w:rPr>
        <w:t xml:space="preserve"> applicants therefore continues to be highly relevant, as it is in the EU's own interest to be 'open' to travellers that boost trade and growth. Furthermore, contacts between peoples and cultures promote mutual understanding and dialogue, contributing to the objectives of the EU in its external relations with third countries. As the 2014 evaluation noted, the provisions in the Visa Code that allow consulates to distinguish between unknown applicants and those who have a positive visa record are not applied sufficiently harmonised manner, leading to lengthy and cumbersome visa procedures even for frequent travellers. This continues to be the case.</w:t>
      </w:r>
    </w:p>
    <w:p>
      <w:pPr>
        <w:jc w:val="both"/>
        <w:rPr>
          <w:rFonts w:ascii="Times New Roman" w:hAnsi="Times New Roman" w:cs="Times New Roman"/>
          <w:noProof/>
          <w:sz w:val="24"/>
          <w:szCs w:val="24"/>
        </w:rPr>
      </w:pPr>
      <w:r>
        <w:rPr>
          <w:rFonts w:ascii="Times New Roman" w:hAnsi="Times New Roman" w:cs="Times New Roman"/>
          <w:noProof/>
          <w:sz w:val="24"/>
          <w:szCs w:val="24"/>
        </w:rPr>
        <w:t>The migration crisis that reached its peak in 2015 and the terror attacks in recent years, however, have shifted the political debate on the Schengen area in general and visa policy in particular towards a reassessment of the balance between migration and security concerns, economic considerations and general external relations. Since the 2014 evaluation was published, the Visa Code's objectives of preventing irregular migration and security risks have therefore come into much sharper focus. All available evidence shows that the application of the Visa Code by the Member States effectively minimises migratory and security risks; holders of short-stay visas were not implicated in either the migratory crisis or the terror attacks. Neither the Member States nor the results of studies and of the stakeholder consultation identify security risks or problems arising from the Visa Code. The full world-wide roll-out of the Visa Information System (VIS), which was completed in February 2016 and which contains electronic records of all short-stay visa applications, further contributed to reducing migratory and security risks and reinforcing the integrity of the Schengen visa procedure.</w:t>
      </w:r>
      <w:r>
        <w:rPr>
          <w:rStyle w:val="FootnoteReference"/>
          <w:rFonts w:ascii="Times New Roman" w:hAnsi="Times New Roman" w:cs="Times New Roman"/>
          <w:noProof/>
          <w:sz w:val="24"/>
          <w:szCs w:val="24"/>
        </w:rPr>
        <w:footnoteReference w:id="69"/>
      </w:r>
    </w:p>
    <w:p>
      <w:pPr>
        <w:jc w:val="both"/>
        <w:rPr>
          <w:rFonts w:ascii="Times New Roman" w:hAnsi="Times New Roman" w:cs="Times New Roman"/>
          <w:noProof/>
          <w:sz w:val="24"/>
          <w:szCs w:val="24"/>
        </w:rPr>
      </w:pPr>
      <w:r>
        <w:rPr>
          <w:rFonts w:ascii="Times New Roman" w:hAnsi="Times New Roman" w:cs="Times New Roman"/>
          <w:noProof/>
          <w:sz w:val="24"/>
          <w:szCs w:val="24"/>
        </w:rPr>
        <w:t>Even so, the changed political context meant that visa policy came into focus as a tool for achieving progress in relations with third countries, as the experience with visa liberalisation had already shown. In this manner, visa policy was called upon to be used more effectively in the EU's cooperation with third countries, specifically in the field of migration management. Accordingly, the European Council of June 2017 called for "reassessing visa policy towards third countries, as needed" as a means of achieving real progress in return and readmission policy. As the Visa Code was not designed with a view towards being used as leverage towards individual third countries, but rather as a means to standardise visa issuing procedures and conditions, it is not entirely adapted to the new political context. The Commission recognised this changed reality in its Communication on the Delivery of the European Agenda on Migration of September 2017</w:t>
      </w:r>
      <w:r>
        <w:rPr>
          <w:rStyle w:val="FootnoteReference"/>
          <w:rFonts w:ascii="Times New Roman" w:hAnsi="Times New Roman" w:cs="Times New Roman"/>
          <w:noProof/>
          <w:szCs w:val="24"/>
        </w:rPr>
        <w:footnoteReference w:id="70"/>
      </w:r>
      <w:r>
        <w:rPr>
          <w:rFonts w:ascii="Times New Roman" w:hAnsi="Times New Roman" w:cs="Times New Roman"/>
          <w:noProof/>
          <w:sz w:val="24"/>
          <w:szCs w:val="24"/>
        </w:rPr>
        <w:t>, where it stated that "some visa-issuing rules (for instance those related to visas with long validity and visa fees) should be reviewed to ensure that they can play a part in our readmission policy." The detailed options for how this could be implemented in the legislation are examined in this Impact Assessment.</w:t>
      </w:r>
    </w:p>
    <w:p>
      <w:pPr>
        <w:pStyle w:val="Heading2"/>
        <w:numPr>
          <w:ilvl w:val="0"/>
          <w:numId w:val="24"/>
        </w:numPr>
        <w:rPr>
          <w:noProof/>
          <w:szCs w:val="24"/>
        </w:rPr>
      </w:pPr>
      <w:bookmarkStart w:id="91" w:name="_Toc505007397"/>
      <w:bookmarkStart w:id="92" w:name="_Toc507148522"/>
      <w:r>
        <w:rPr>
          <w:noProof/>
          <w:szCs w:val="24"/>
        </w:rPr>
        <w:t>Recent evidence on the implementation of the Visa Code</w:t>
      </w:r>
      <w:bookmarkEnd w:id="91"/>
      <w:bookmarkEnd w:id="92"/>
    </w:p>
    <w:p>
      <w:pPr>
        <w:jc w:val="both"/>
        <w:rPr>
          <w:rFonts w:ascii="Times New Roman" w:hAnsi="Times New Roman" w:cs="Times New Roman"/>
          <w:i/>
          <w:noProof/>
          <w:sz w:val="24"/>
          <w:szCs w:val="24"/>
        </w:rPr>
      </w:pPr>
      <w:r>
        <w:rPr>
          <w:rFonts w:ascii="Times New Roman" w:hAnsi="Times New Roman" w:cs="Times New Roman"/>
          <w:i/>
          <w:noProof/>
          <w:sz w:val="24"/>
          <w:szCs w:val="24"/>
        </w:rPr>
        <w:t>3.1. General considerations</w:t>
      </w:r>
    </w:p>
    <w:p>
      <w:pPr>
        <w:jc w:val="both"/>
        <w:rPr>
          <w:rFonts w:ascii="Times New Roman" w:hAnsi="Times New Roman" w:cs="Times New Roman"/>
          <w:noProof/>
          <w:sz w:val="24"/>
          <w:szCs w:val="24"/>
        </w:rPr>
      </w:pPr>
      <w:r>
        <w:rPr>
          <w:rFonts w:ascii="Times New Roman" w:hAnsi="Times New Roman" w:cs="Times New Roman"/>
          <w:noProof/>
          <w:sz w:val="24"/>
          <w:szCs w:val="24"/>
        </w:rPr>
        <w:t>The comprehensive evaluation of the implementation of the Visa Code concluded that the legislation had achieved its overarching objective by modernising and standardising visa procedures and by contributing to the protection of the external borders. While it is impossible to prove the direct impact of the Visa Code on the number of visas applied for, the clarification of the legal framework has contributed to a significant increase in the volume of visa applications processed by the consulates of Member States. As shown in table 1 below, the worldwide applications for Schengen visas increased by more than 50% between 2009 (before the entry into force of the Visa Code) and 2016, from 10.2 to 15.2 million. While there has been a decline since the peak reached in 2013, this can be attributed to economic difficulties in Russia, the number one source country for visa applications. Preliminary figures for 2017 suggest that the number of applications could have been around 16 million again.</w:t>
      </w:r>
    </w:p>
    <w:p>
      <w:pPr>
        <w:jc w:val="both"/>
        <w:rPr>
          <w:rFonts w:ascii="Times New Roman" w:hAnsi="Times New Roman" w:cs="Times New Roman"/>
          <w:b/>
          <w:noProof/>
          <w:sz w:val="24"/>
          <w:szCs w:val="24"/>
        </w:rPr>
      </w:pPr>
      <w:r>
        <w:rPr>
          <w:rFonts w:ascii="Times New Roman" w:hAnsi="Times New Roman" w:cs="Times New Roman"/>
          <w:b/>
          <w:noProof/>
          <w:sz w:val="24"/>
          <w:szCs w:val="24"/>
        </w:rPr>
        <w:t>Table 1: Schengen visa applications worldwide, 2009-2016</w:t>
      </w:r>
    </w:p>
    <w:tbl>
      <w:tblPr>
        <w:tblW w:w="5000" w:type="pct"/>
        <w:tblLayout w:type="fixed"/>
        <w:tblLook w:val="04A0" w:firstRow="1" w:lastRow="0" w:firstColumn="1" w:lastColumn="0" w:noHBand="0" w:noVBand="1"/>
      </w:tblPr>
      <w:tblGrid>
        <w:gridCol w:w="1103"/>
        <w:gridCol w:w="868"/>
        <w:gridCol w:w="870"/>
        <w:gridCol w:w="869"/>
        <w:gridCol w:w="869"/>
        <w:gridCol w:w="867"/>
        <w:gridCol w:w="869"/>
        <w:gridCol w:w="869"/>
        <w:gridCol w:w="869"/>
        <w:gridCol w:w="781"/>
      </w:tblGrid>
      <w:tr>
        <w:trPr>
          <w:trHeight w:val="391"/>
        </w:trPr>
        <w:tc>
          <w:tcPr>
            <w:tcW w:w="624" w:type="pct"/>
            <w:tcBorders>
              <w:top w:val="single" w:sz="8" w:space="0" w:color="4F6228"/>
              <w:left w:val="single" w:sz="8" w:space="0" w:color="4F6228"/>
              <w:bottom w:val="single" w:sz="8" w:space="0" w:color="4F6228"/>
              <w:right w:val="single" w:sz="4" w:space="0" w:color="4F6228"/>
            </w:tcBorders>
            <w:shd w:val="clear" w:color="76933C" w:fill="76933C"/>
            <w:vAlign w:val="center"/>
            <w:hideMark/>
          </w:tcPr>
          <w:p>
            <w:pPr>
              <w:widowControl w:val="0"/>
              <w:spacing w:after="0" w:line="240" w:lineRule="auto"/>
              <w:jc w:val="both"/>
              <w:rPr>
                <w:rFonts w:ascii="Calibri" w:eastAsia="Times New Roman" w:hAnsi="Calibri" w:cs="Times New Roman"/>
                <w:noProof/>
                <w:color w:val="FFFFFF"/>
                <w:sz w:val="16"/>
                <w:lang w:eastAsia="en-GB"/>
              </w:rPr>
            </w:pPr>
            <w:r>
              <w:rPr>
                <w:rFonts w:ascii="Calibri" w:eastAsia="Times New Roman" w:hAnsi="Calibri" w:cs="Times New Roman"/>
                <w:noProof/>
                <w:color w:val="FFFFFF"/>
                <w:sz w:val="16"/>
                <w:lang w:eastAsia="en-GB"/>
              </w:rPr>
              <w:t>Schengen State</w:t>
            </w:r>
          </w:p>
        </w:tc>
        <w:tc>
          <w:tcPr>
            <w:tcW w:w="491" w:type="pct"/>
            <w:tcBorders>
              <w:top w:val="single" w:sz="8" w:space="0" w:color="4F6228"/>
              <w:left w:val="single" w:sz="8" w:space="0" w:color="4F6228"/>
              <w:bottom w:val="nil"/>
              <w:right w:val="single" w:sz="4" w:space="0" w:color="4F6228"/>
            </w:tcBorders>
            <w:shd w:val="clear" w:color="76933C" w:fill="76933C"/>
            <w:vAlign w:val="center"/>
            <w:hideMark/>
          </w:tcPr>
          <w:p>
            <w:pPr>
              <w:widowControl w:val="0"/>
              <w:spacing w:after="0" w:line="240" w:lineRule="auto"/>
              <w:jc w:val="both"/>
              <w:rPr>
                <w:rFonts w:ascii="Calibri" w:eastAsia="Times New Roman" w:hAnsi="Calibri" w:cs="Times New Roman"/>
                <w:noProof/>
                <w:color w:val="FFFFFF"/>
                <w:sz w:val="16"/>
                <w:lang w:eastAsia="en-GB"/>
              </w:rPr>
            </w:pPr>
            <w:r>
              <w:rPr>
                <w:rFonts w:ascii="Calibri" w:eastAsia="Times New Roman" w:hAnsi="Calibri" w:cs="Times New Roman"/>
                <w:noProof/>
                <w:color w:val="FFFFFF"/>
                <w:sz w:val="16"/>
                <w:lang w:eastAsia="en-GB"/>
              </w:rPr>
              <w:t>2009</w:t>
            </w:r>
          </w:p>
        </w:tc>
        <w:tc>
          <w:tcPr>
            <w:tcW w:w="492" w:type="pct"/>
            <w:tcBorders>
              <w:top w:val="single" w:sz="8" w:space="0" w:color="4F6228"/>
              <w:left w:val="single" w:sz="8" w:space="0" w:color="4F6228"/>
              <w:bottom w:val="nil"/>
              <w:right w:val="single" w:sz="4" w:space="0" w:color="4F6228"/>
            </w:tcBorders>
            <w:shd w:val="clear" w:color="76933C" w:fill="76933C"/>
            <w:vAlign w:val="center"/>
            <w:hideMark/>
          </w:tcPr>
          <w:p>
            <w:pPr>
              <w:widowControl w:val="0"/>
              <w:spacing w:after="0" w:line="240" w:lineRule="auto"/>
              <w:jc w:val="both"/>
              <w:rPr>
                <w:rFonts w:ascii="Calibri" w:eastAsia="Times New Roman" w:hAnsi="Calibri" w:cs="Times New Roman"/>
                <w:noProof/>
                <w:color w:val="FFFFFF"/>
                <w:sz w:val="16"/>
                <w:lang w:eastAsia="en-GB"/>
              </w:rPr>
            </w:pPr>
            <w:r>
              <w:rPr>
                <w:rFonts w:ascii="Calibri" w:eastAsia="Times New Roman" w:hAnsi="Calibri" w:cs="Times New Roman"/>
                <w:noProof/>
                <w:color w:val="FFFFFF"/>
                <w:sz w:val="16"/>
                <w:lang w:eastAsia="en-GB"/>
              </w:rPr>
              <w:t>2010</w:t>
            </w:r>
          </w:p>
        </w:tc>
        <w:tc>
          <w:tcPr>
            <w:tcW w:w="492" w:type="pct"/>
            <w:tcBorders>
              <w:top w:val="single" w:sz="8" w:space="0" w:color="4F6228"/>
              <w:left w:val="single" w:sz="8" w:space="0" w:color="4F6228"/>
              <w:bottom w:val="nil"/>
              <w:right w:val="single" w:sz="4" w:space="0" w:color="4F6228"/>
            </w:tcBorders>
            <w:shd w:val="clear" w:color="76933C" w:fill="76933C"/>
            <w:vAlign w:val="center"/>
            <w:hideMark/>
          </w:tcPr>
          <w:p>
            <w:pPr>
              <w:widowControl w:val="0"/>
              <w:spacing w:after="0" w:line="240" w:lineRule="auto"/>
              <w:jc w:val="both"/>
              <w:rPr>
                <w:rFonts w:ascii="Calibri" w:eastAsia="Times New Roman" w:hAnsi="Calibri" w:cs="Times New Roman"/>
                <w:noProof/>
                <w:color w:val="FFFFFF"/>
                <w:sz w:val="16"/>
                <w:lang w:eastAsia="en-GB"/>
              </w:rPr>
            </w:pPr>
            <w:r>
              <w:rPr>
                <w:rFonts w:ascii="Calibri" w:eastAsia="Times New Roman" w:hAnsi="Calibri" w:cs="Times New Roman"/>
                <w:noProof/>
                <w:color w:val="FFFFFF"/>
                <w:sz w:val="16"/>
                <w:lang w:eastAsia="en-GB"/>
              </w:rPr>
              <w:t>2011</w:t>
            </w:r>
          </w:p>
        </w:tc>
        <w:tc>
          <w:tcPr>
            <w:tcW w:w="492" w:type="pct"/>
            <w:tcBorders>
              <w:top w:val="single" w:sz="8" w:space="0" w:color="4F6228"/>
              <w:left w:val="single" w:sz="8" w:space="0" w:color="4F6228"/>
              <w:bottom w:val="nil"/>
              <w:right w:val="single" w:sz="4" w:space="0" w:color="4F6228"/>
            </w:tcBorders>
            <w:shd w:val="clear" w:color="76933C" w:fill="76933C"/>
            <w:vAlign w:val="center"/>
            <w:hideMark/>
          </w:tcPr>
          <w:p>
            <w:pPr>
              <w:widowControl w:val="0"/>
              <w:spacing w:after="0" w:line="240" w:lineRule="auto"/>
              <w:jc w:val="both"/>
              <w:rPr>
                <w:rFonts w:ascii="Calibri" w:eastAsia="Times New Roman" w:hAnsi="Calibri" w:cs="Times New Roman"/>
                <w:noProof/>
                <w:color w:val="FFFFFF"/>
                <w:sz w:val="16"/>
                <w:lang w:eastAsia="en-GB"/>
              </w:rPr>
            </w:pPr>
            <w:r>
              <w:rPr>
                <w:rFonts w:ascii="Calibri" w:eastAsia="Times New Roman" w:hAnsi="Calibri" w:cs="Times New Roman"/>
                <w:noProof/>
                <w:color w:val="FFFFFF"/>
                <w:sz w:val="16"/>
                <w:lang w:eastAsia="en-GB"/>
              </w:rPr>
              <w:t>2012</w:t>
            </w:r>
          </w:p>
        </w:tc>
        <w:tc>
          <w:tcPr>
            <w:tcW w:w="491" w:type="pct"/>
            <w:tcBorders>
              <w:top w:val="single" w:sz="8" w:space="0" w:color="4F6228"/>
              <w:left w:val="single" w:sz="8" w:space="0" w:color="4F6228"/>
              <w:bottom w:val="nil"/>
              <w:right w:val="single" w:sz="4" w:space="0" w:color="4F6228"/>
            </w:tcBorders>
            <w:shd w:val="clear" w:color="76933C" w:fill="76933C"/>
            <w:vAlign w:val="center"/>
            <w:hideMark/>
          </w:tcPr>
          <w:p>
            <w:pPr>
              <w:widowControl w:val="0"/>
              <w:spacing w:after="0" w:line="240" w:lineRule="auto"/>
              <w:jc w:val="both"/>
              <w:rPr>
                <w:rFonts w:ascii="Calibri" w:eastAsia="Times New Roman" w:hAnsi="Calibri" w:cs="Times New Roman"/>
                <w:noProof/>
                <w:color w:val="FFFFFF"/>
                <w:sz w:val="16"/>
                <w:lang w:eastAsia="en-GB"/>
              </w:rPr>
            </w:pPr>
            <w:r>
              <w:rPr>
                <w:rFonts w:ascii="Calibri" w:eastAsia="Times New Roman" w:hAnsi="Calibri" w:cs="Times New Roman"/>
                <w:noProof/>
                <w:color w:val="FFFFFF"/>
                <w:sz w:val="16"/>
                <w:lang w:eastAsia="en-GB"/>
              </w:rPr>
              <w:t>2013</w:t>
            </w:r>
          </w:p>
        </w:tc>
        <w:tc>
          <w:tcPr>
            <w:tcW w:w="492" w:type="pct"/>
            <w:tcBorders>
              <w:top w:val="single" w:sz="8" w:space="0" w:color="4F6228"/>
              <w:left w:val="single" w:sz="8" w:space="0" w:color="4F6228"/>
              <w:bottom w:val="nil"/>
              <w:right w:val="single" w:sz="4" w:space="0" w:color="4F6228"/>
            </w:tcBorders>
            <w:shd w:val="clear" w:color="76933C" w:fill="76933C"/>
            <w:vAlign w:val="center"/>
            <w:hideMark/>
          </w:tcPr>
          <w:p>
            <w:pPr>
              <w:widowControl w:val="0"/>
              <w:spacing w:after="0" w:line="240" w:lineRule="auto"/>
              <w:jc w:val="both"/>
              <w:rPr>
                <w:rFonts w:ascii="Calibri" w:eastAsia="Times New Roman" w:hAnsi="Calibri" w:cs="Times New Roman"/>
                <w:noProof/>
                <w:color w:val="FFFFFF"/>
                <w:sz w:val="16"/>
                <w:lang w:eastAsia="en-GB"/>
              </w:rPr>
            </w:pPr>
            <w:r>
              <w:rPr>
                <w:rFonts w:ascii="Calibri" w:eastAsia="Times New Roman" w:hAnsi="Calibri" w:cs="Times New Roman"/>
                <w:noProof/>
                <w:color w:val="FFFFFF"/>
                <w:sz w:val="16"/>
                <w:lang w:eastAsia="en-GB"/>
              </w:rPr>
              <w:t>2014</w:t>
            </w:r>
          </w:p>
        </w:tc>
        <w:tc>
          <w:tcPr>
            <w:tcW w:w="492" w:type="pct"/>
            <w:tcBorders>
              <w:top w:val="single" w:sz="8" w:space="0" w:color="4F6228"/>
              <w:left w:val="single" w:sz="8" w:space="0" w:color="4F6228"/>
              <w:bottom w:val="nil"/>
              <w:right w:val="single" w:sz="4" w:space="0" w:color="4F6228"/>
            </w:tcBorders>
            <w:shd w:val="clear" w:color="76933C" w:fill="76933C"/>
            <w:vAlign w:val="center"/>
            <w:hideMark/>
          </w:tcPr>
          <w:p>
            <w:pPr>
              <w:widowControl w:val="0"/>
              <w:spacing w:after="0" w:line="240" w:lineRule="auto"/>
              <w:jc w:val="both"/>
              <w:rPr>
                <w:rFonts w:ascii="Calibri" w:eastAsia="Times New Roman" w:hAnsi="Calibri" w:cs="Times New Roman"/>
                <w:noProof/>
                <w:color w:val="FFFFFF"/>
                <w:sz w:val="16"/>
                <w:lang w:eastAsia="en-GB"/>
              </w:rPr>
            </w:pPr>
            <w:r>
              <w:rPr>
                <w:rFonts w:ascii="Calibri" w:eastAsia="Times New Roman" w:hAnsi="Calibri" w:cs="Times New Roman"/>
                <w:noProof/>
                <w:color w:val="FFFFFF"/>
                <w:sz w:val="16"/>
                <w:lang w:eastAsia="en-GB"/>
              </w:rPr>
              <w:t>2015</w:t>
            </w:r>
          </w:p>
        </w:tc>
        <w:tc>
          <w:tcPr>
            <w:tcW w:w="492" w:type="pct"/>
            <w:tcBorders>
              <w:top w:val="single" w:sz="8" w:space="0" w:color="4F6228"/>
              <w:left w:val="single" w:sz="8" w:space="0" w:color="4F6228"/>
              <w:bottom w:val="nil"/>
              <w:right w:val="single" w:sz="4" w:space="0" w:color="4F6228"/>
            </w:tcBorders>
            <w:shd w:val="clear" w:color="76933C" w:fill="76933C"/>
            <w:vAlign w:val="center"/>
            <w:hideMark/>
          </w:tcPr>
          <w:p>
            <w:pPr>
              <w:widowControl w:val="0"/>
              <w:spacing w:after="0" w:line="240" w:lineRule="auto"/>
              <w:jc w:val="both"/>
              <w:rPr>
                <w:rFonts w:ascii="Calibri" w:eastAsia="Times New Roman" w:hAnsi="Calibri" w:cs="Times New Roman"/>
                <w:noProof/>
                <w:color w:val="FFFFFF"/>
                <w:sz w:val="16"/>
                <w:lang w:eastAsia="en-GB"/>
              </w:rPr>
            </w:pPr>
            <w:r>
              <w:rPr>
                <w:rFonts w:ascii="Calibri" w:eastAsia="Times New Roman" w:hAnsi="Calibri" w:cs="Times New Roman"/>
                <w:noProof/>
                <w:color w:val="FFFFFF"/>
                <w:sz w:val="16"/>
                <w:lang w:eastAsia="en-GB"/>
              </w:rPr>
              <w:t>2016</w:t>
            </w:r>
          </w:p>
        </w:tc>
        <w:tc>
          <w:tcPr>
            <w:tcW w:w="442" w:type="pct"/>
            <w:tcBorders>
              <w:top w:val="single" w:sz="8" w:space="0" w:color="4F6228"/>
              <w:left w:val="single" w:sz="4" w:space="0" w:color="4F6228"/>
              <w:bottom w:val="single" w:sz="8" w:space="0" w:color="4F6228"/>
              <w:right w:val="single" w:sz="8" w:space="0" w:color="4F6228"/>
            </w:tcBorders>
            <w:shd w:val="clear" w:color="76933C" w:fill="76933C"/>
            <w:vAlign w:val="center"/>
            <w:hideMark/>
          </w:tcPr>
          <w:p>
            <w:pPr>
              <w:widowControl w:val="0"/>
              <w:spacing w:after="0" w:line="240" w:lineRule="auto"/>
              <w:jc w:val="both"/>
              <w:rPr>
                <w:rFonts w:ascii="Calibri" w:eastAsia="Times New Roman" w:hAnsi="Calibri" w:cs="Times New Roman"/>
                <w:noProof/>
                <w:color w:val="FFFFFF"/>
                <w:sz w:val="16"/>
                <w:lang w:eastAsia="en-GB"/>
              </w:rPr>
            </w:pPr>
            <w:r>
              <w:rPr>
                <w:rFonts w:ascii="Calibri" w:eastAsia="Times New Roman" w:hAnsi="Calibri" w:cs="Times New Roman"/>
                <w:noProof/>
                <w:color w:val="FFFFFF"/>
                <w:sz w:val="16"/>
                <w:lang w:eastAsia="en-GB"/>
              </w:rPr>
              <w:t>Change 09-16</w:t>
            </w:r>
          </w:p>
        </w:tc>
      </w:tr>
      <w:tr>
        <w:trPr>
          <w:trHeight w:val="6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Austria</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300.210</w:t>
            </w:r>
          </w:p>
        </w:tc>
        <w:tc>
          <w:tcPr>
            <w:tcW w:w="492" w:type="pct"/>
            <w:tcBorders>
              <w:top w:val="single" w:sz="4" w:space="0" w:color="auto"/>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280.328</w:t>
            </w:r>
          </w:p>
        </w:tc>
        <w:tc>
          <w:tcPr>
            <w:tcW w:w="492" w:type="pct"/>
            <w:tcBorders>
              <w:top w:val="single" w:sz="4" w:space="0" w:color="auto"/>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283.540</w:t>
            </w:r>
          </w:p>
        </w:tc>
        <w:tc>
          <w:tcPr>
            <w:tcW w:w="492" w:type="pct"/>
            <w:tcBorders>
              <w:top w:val="single" w:sz="4" w:space="0" w:color="auto"/>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304.798</w:t>
            </w:r>
          </w:p>
        </w:tc>
        <w:tc>
          <w:tcPr>
            <w:tcW w:w="491" w:type="pct"/>
            <w:tcBorders>
              <w:top w:val="single" w:sz="4" w:space="0" w:color="auto"/>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313.579</w:t>
            </w:r>
          </w:p>
        </w:tc>
        <w:tc>
          <w:tcPr>
            <w:tcW w:w="492" w:type="pct"/>
            <w:tcBorders>
              <w:top w:val="single" w:sz="4" w:space="0" w:color="auto"/>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266.356</w:t>
            </w:r>
          </w:p>
        </w:tc>
        <w:tc>
          <w:tcPr>
            <w:tcW w:w="492" w:type="pct"/>
            <w:tcBorders>
              <w:top w:val="single" w:sz="4" w:space="0" w:color="auto"/>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259.167</w:t>
            </w:r>
          </w:p>
        </w:tc>
        <w:tc>
          <w:tcPr>
            <w:tcW w:w="492" w:type="pct"/>
            <w:tcBorders>
              <w:top w:val="single" w:sz="4" w:space="0" w:color="auto"/>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268.388</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-10,6%</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Belgium</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194.029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215.978</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242.857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233.490</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233.273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219.758</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239.500</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219.687</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13,2%</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Czech Republic</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456.503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546.410</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581.931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603.484</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646.719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519.819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421.355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489.920</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7,3%</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Denmark</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82.064</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85.646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94.310</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100.402</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105.119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109.694</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123.951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145.143</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76,9%</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Estonia</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95.837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120.135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144.567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175.360</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201.056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170.731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130.197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122.872</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28,2%</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Finland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795.554</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1.020.825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1.259.643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1.392.048</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1.569.961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1.205.034</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784.286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550.046</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-30,9%</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France</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1.592.527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1.965.777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2.130.471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2.321.534</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2.551.196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2.894.996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3.356.165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3.265.919</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105,1%</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Germany</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1.615.792</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1.730.875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1.707.197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1.844.704</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2.062.979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2.061.137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2.022.870</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2.004.235</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24,0%</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Greece</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616.051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620.270</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768.246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1.001.341</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1.531.383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1.375.287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876.786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986.032</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60,1%</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Hungary</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273.325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253.321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288.415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322.646</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356.869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309.894</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290.798</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295.226</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8,0%</w:t>
            </w:r>
          </w:p>
        </w:tc>
      </w:tr>
      <w:tr>
        <w:trPr>
          <w:trHeight w:val="164"/>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Iceland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493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562</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636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1.088</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2.821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3.923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3.987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5.771</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1070,6%</w:t>
            </w:r>
          </w:p>
        </w:tc>
      </w:tr>
      <w:tr>
        <w:trPr>
          <w:trHeight w:val="11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Italy</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1.087.521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1.327.086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1.516.237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1.706.536</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2.036.829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2.164.545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2.023.343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1.806.938</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66,2%</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Latvia</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120.379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137.432</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163.309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182.496</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205.230</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207.185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164.000</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165.814</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37,7%</w:t>
            </w:r>
          </w:p>
        </w:tc>
      </w:tr>
      <w:tr>
        <w:trPr>
          <w:trHeight w:val="116"/>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Lithuania</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208.029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266.048</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345.765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416.851</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471.838</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463.709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423.189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421.143</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102,4%</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Luxembourg</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5.493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7.822</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9.051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10.555</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11.222</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11.567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10.267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9.902</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80,3%</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Malta</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31.730</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41.754</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33.858</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53.777</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79.559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56.886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39.445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27.767</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-12,5%</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Netherlands</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333.965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386.759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428.206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440.056</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458.824</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485.267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520.809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558.101</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67,1%</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Norway</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103.251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130.837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151.071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130.933</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197.826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179.550</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185.557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188.737</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82,8%</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Poland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586.115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695.990</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912.988</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1.091.395</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1.126.150</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1.125.520</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970.907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1.096.465</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87,1%</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Portugal</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117.189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125.832</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142.754</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148.489</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159.421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183.216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192.220</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204.596</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74,6%</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Slovakia</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64.953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58.607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71.313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75.720</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131.194</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104.988</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76.491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62.472</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-3,8%</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Slovenia</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101.435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52.508</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39.735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42.127</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38.885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26.492</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26.895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25.876</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-74,5%</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Spain</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854.496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1.143.753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1.518.641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1.836.868</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2.080.175</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1.923.016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1.629.753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1.583.848</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85,4%</w:t>
            </w:r>
          </w:p>
        </w:tc>
      </w:tr>
      <w:tr>
        <w:trPr>
          <w:trHeight w:val="70"/>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Sweden</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195.943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206.077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220.567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215.763</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200.543</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191.009</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192.852</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227.005</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15,9%</w:t>
            </w:r>
          </w:p>
        </w:tc>
      </w:tr>
      <w:tr>
        <w:trPr>
          <w:trHeight w:val="70"/>
        </w:trPr>
        <w:tc>
          <w:tcPr>
            <w:tcW w:w="624" w:type="pct"/>
            <w:tcBorders>
              <w:top w:val="nil"/>
              <w:left w:val="single" w:sz="8" w:space="0" w:color="4F6228"/>
              <w:bottom w:val="double" w:sz="6"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Switzerland</w:t>
            </w:r>
          </w:p>
        </w:tc>
        <w:tc>
          <w:tcPr>
            <w:tcW w:w="491" w:type="pct"/>
            <w:tcBorders>
              <w:top w:val="nil"/>
              <w:left w:val="single" w:sz="4" w:space="0" w:color="auto"/>
              <w:bottom w:val="double" w:sz="6" w:space="0" w:color="4F6228"/>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383.207</w:t>
            </w:r>
          </w:p>
        </w:tc>
        <w:tc>
          <w:tcPr>
            <w:tcW w:w="492" w:type="pct"/>
            <w:tcBorders>
              <w:top w:val="nil"/>
              <w:left w:val="nil"/>
              <w:bottom w:val="double" w:sz="6" w:space="0" w:color="4F6228"/>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391.720</w:t>
            </w:r>
          </w:p>
        </w:tc>
        <w:tc>
          <w:tcPr>
            <w:tcW w:w="492" w:type="pct"/>
            <w:tcBorders>
              <w:top w:val="nil"/>
              <w:left w:val="nil"/>
              <w:bottom w:val="double" w:sz="6" w:space="0" w:color="4F6228"/>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428.189</w:t>
            </w:r>
          </w:p>
        </w:tc>
        <w:tc>
          <w:tcPr>
            <w:tcW w:w="492" w:type="pct"/>
            <w:tcBorders>
              <w:top w:val="nil"/>
              <w:left w:val="nil"/>
              <w:bottom w:val="double" w:sz="6" w:space="0" w:color="4F6228"/>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464.512</w:t>
            </w:r>
          </w:p>
        </w:tc>
        <w:tc>
          <w:tcPr>
            <w:tcW w:w="491" w:type="pct"/>
            <w:tcBorders>
              <w:top w:val="nil"/>
              <w:left w:val="nil"/>
              <w:bottom w:val="double" w:sz="6" w:space="0" w:color="4F6228"/>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512.797</w:t>
            </w:r>
          </w:p>
        </w:tc>
        <w:tc>
          <w:tcPr>
            <w:tcW w:w="492" w:type="pct"/>
            <w:tcBorders>
              <w:top w:val="nil"/>
              <w:left w:val="nil"/>
              <w:bottom w:val="double" w:sz="6" w:space="0" w:color="4F6228"/>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466.329</w:t>
            </w:r>
          </w:p>
        </w:tc>
        <w:tc>
          <w:tcPr>
            <w:tcW w:w="492" w:type="pct"/>
            <w:tcBorders>
              <w:top w:val="nil"/>
              <w:left w:val="nil"/>
              <w:bottom w:val="double" w:sz="6" w:space="0" w:color="4F6228"/>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481.886</w:t>
            </w:r>
          </w:p>
        </w:tc>
        <w:tc>
          <w:tcPr>
            <w:tcW w:w="492" w:type="pct"/>
            <w:tcBorders>
              <w:top w:val="nil"/>
              <w:left w:val="nil"/>
              <w:bottom w:val="double" w:sz="6" w:space="0" w:color="4F6228"/>
              <w:right w:val="single" w:sz="4" w:space="0" w:color="auto"/>
            </w:tcBorders>
            <w:shd w:val="clear" w:color="auto" w:fill="auto"/>
            <w:vAlign w:val="center"/>
            <w:hideMark/>
          </w:tcPr>
          <w:p>
            <w:pPr>
              <w:widowControl w:val="0"/>
              <w:spacing w:after="0" w:line="240" w:lineRule="auto"/>
              <w:jc w:val="both"/>
              <w:rPr>
                <w:rFonts w:ascii="Calibri" w:eastAsia="Times New Roman" w:hAnsi="Calibri" w:cs="Times New Roman"/>
                <w:noProof/>
                <w:color w:val="000000"/>
                <w:sz w:val="16"/>
                <w:lang w:eastAsia="en-GB"/>
              </w:rPr>
            </w:pPr>
            <w:r>
              <w:rPr>
                <w:rFonts w:ascii="Calibri" w:eastAsia="Times New Roman" w:hAnsi="Calibri" w:cs="Times New Roman"/>
                <w:noProof/>
                <w:color w:val="000000"/>
                <w:sz w:val="16"/>
                <w:lang w:eastAsia="en-GB"/>
              </w:rPr>
              <w:t>460.653</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noProof/>
                <w:sz w:val="16"/>
                <w:lang w:eastAsia="en-GB"/>
              </w:rPr>
            </w:pPr>
            <w:r>
              <w:rPr>
                <w:rFonts w:ascii="Calibri" w:eastAsia="Times New Roman" w:hAnsi="Calibri" w:cs="Times New Roman"/>
                <w:noProof/>
                <w:sz w:val="16"/>
                <w:lang w:eastAsia="en-GB"/>
              </w:rPr>
              <w:t>20,2%</w:t>
            </w:r>
          </w:p>
        </w:tc>
      </w:tr>
      <w:tr>
        <w:trPr>
          <w:trHeight w:val="391"/>
        </w:trPr>
        <w:tc>
          <w:tcPr>
            <w:tcW w:w="624" w:type="pct"/>
            <w:tcBorders>
              <w:top w:val="nil"/>
              <w:left w:val="single" w:sz="8" w:space="0" w:color="4F6228"/>
              <w:bottom w:val="single" w:sz="4" w:space="0" w:color="4F6228"/>
              <w:right w:val="nil"/>
            </w:tcBorders>
            <w:shd w:val="clear" w:color="000000" w:fill="C4D79B"/>
            <w:vAlign w:val="center"/>
            <w:hideMark/>
          </w:tcPr>
          <w:p>
            <w:pPr>
              <w:widowControl w:val="0"/>
              <w:spacing w:after="0" w:line="240" w:lineRule="auto"/>
              <w:jc w:val="both"/>
              <w:rPr>
                <w:rFonts w:ascii="Calibri" w:eastAsia="Times New Roman" w:hAnsi="Calibri" w:cs="Times New Roman"/>
                <w:b/>
                <w:bCs/>
                <w:noProof/>
                <w:color w:val="000000"/>
                <w:sz w:val="16"/>
                <w:lang w:eastAsia="en-GB"/>
              </w:rPr>
            </w:pPr>
            <w:r>
              <w:rPr>
                <w:rFonts w:ascii="Calibri" w:eastAsia="Times New Roman" w:hAnsi="Calibri" w:cs="Times New Roman"/>
                <w:b/>
                <w:bCs/>
                <w:noProof/>
                <w:color w:val="000000"/>
                <w:sz w:val="16"/>
                <w:lang w:eastAsia="en-GB"/>
              </w:rPr>
              <w:t>Total Schengen</w:t>
            </w:r>
          </w:p>
        </w:tc>
        <w:tc>
          <w:tcPr>
            <w:tcW w:w="491" w:type="pct"/>
            <w:tcBorders>
              <w:top w:val="nil"/>
              <w:left w:val="single" w:sz="4" w:space="0" w:color="auto"/>
              <w:bottom w:val="single" w:sz="4" w:space="0" w:color="auto"/>
              <w:right w:val="single" w:sz="4" w:space="0" w:color="auto"/>
            </w:tcBorders>
            <w:shd w:val="clear" w:color="auto" w:fill="auto"/>
            <w:vAlign w:val="center"/>
            <w:hideMark/>
          </w:tcPr>
          <w:p>
            <w:pPr>
              <w:widowControl w:val="0"/>
              <w:spacing w:after="0" w:line="240" w:lineRule="auto"/>
              <w:ind w:left="-85"/>
              <w:jc w:val="both"/>
              <w:rPr>
                <w:rFonts w:ascii="Calibri" w:eastAsia="Times New Roman" w:hAnsi="Calibri" w:cs="Times New Roman"/>
                <w:b/>
                <w:bCs/>
                <w:noProof/>
                <w:color w:val="000000"/>
                <w:sz w:val="16"/>
                <w:lang w:eastAsia="en-GB"/>
              </w:rPr>
            </w:pPr>
            <w:r>
              <w:rPr>
                <w:rFonts w:ascii="Calibri" w:eastAsia="Times New Roman" w:hAnsi="Calibri" w:cs="Times New Roman"/>
                <w:b/>
                <w:bCs/>
                <w:noProof/>
                <w:color w:val="000000"/>
                <w:sz w:val="16"/>
                <w:lang w:eastAsia="en-GB"/>
              </w:rPr>
              <w:t>10.216.091</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ind w:left="-85"/>
              <w:jc w:val="both"/>
              <w:rPr>
                <w:rFonts w:ascii="Calibri" w:eastAsia="Times New Roman" w:hAnsi="Calibri" w:cs="Times New Roman"/>
                <w:b/>
                <w:bCs/>
                <w:noProof/>
                <w:color w:val="000000"/>
                <w:sz w:val="16"/>
                <w:lang w:eastAsia="en-GB"/>
              </w:rPr>
            </w:pPr>
            <w:r>
              <w:rPr>
                <w:rFonts w:ascii="Calibri" w:eastAsia="Times New Roman" w:hAnsi="Calibri" w:cs="Times New Roman"/>
                <w:b/>
                <w:bCs/>
                <w:noProof/>
                <w:color w:val="000000"/>
                <w:sz w:val="16"/>
                <w:lang w:eastAsia="en-GB"/>
              </w:rPr>
              <w:t>11.812.352</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ind w:left="-85"/>
              <w:jc w:val="both"/>
              <w:rPr>
                <w:rFonts w:ascii="Calibri" w:eastAsia="Times New Roman" w:hAnsi="Calibri" w:cs="Times New Roman"/>
                <w:b/>
                <w:bCs/>
                <w:noProof/>
                <w:color w:val="000000"/>
                <w:sz w:val="16"/>
                <w:lang w:eastAsia="en-GB"/>
              </w:rPr>
            </w:pPr>
            <w:r>
              <w:rPr>
                <w:rFonts w:ascii="Calibri" w:eastAsia="Times New Roman" w:hAnsi="Calibri" w:cs="Times New Roman"/>
                <w:b/>
                <w:bCs/>
                <w:noProof/>
                <w:color w:val="000000"/>
                <w:sz w:val="16"/>
                <w:lang w:eastAsia="en-GB"/>
              </w:rPr>
              <w:t>13.483.497</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ind w:left="-85"/>
              <w:jc w:val="both"/>
              <w:rPr>
                <w:rFonts w:ascii="Calibri" w:eastAsia="Times New Roman" w:hAnsi="Calibri" w:cs="Times New Roman"/>
                <w:b/>
                <w:bCs/>
                <w:noProof/>
                <w:color w:val="000000"/>
                <w:sz w:val="16"/>
                <w:lang w:eastAsia="en-GB"/>
              </w:rPr>
            </w:pPr>
            <w:r>
              <w:rPr>
                <w:rFonts w:ascii="Calibri" w:eastAsia="Times New Roman" w:hAnsi="Calibri" w:cs="Times New Roman"/>
                <w:b/>
                <w:bCs/>
                <w:noProof/>
                <w:color w:val="000000"/>
                <w:sz w:val="16"/>
                <w:lang w:eastAsia="en-GB"/>
              </w:rPr>
              <w:t>15.116.973</w:t>
            </w:r>
          </w:p>
        </w:tc>
        <w:tc>
          <w:tcPr>
            <w:tcW w:w="491"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ind w:left="-85"/>
              <w:jc w:val="both"/>
              <w:rPr>
                <w:rFonts w:ascii="Calibri" w:eastAsia="Times New Roman" w:hAnsi="Calibri" w:cs="Times New Roman"/>
                <w:b/>
                <w:bCs/>
                <w:noProof/>
                <w:color w:val="000000"/>
                <w:sz w:val="16"/>
                <w:lang w:eastAsia="en-GB"/>
              </w:rPr>
            </w:pPr>
            <w:r>
              <w:rPr>
                <w:rFonts w:ascii="Calibri" w:eastAsia="Times New Roman" w:hAnsi="Calibri" w:cs="Times New Roman"/>
                <w:b/>
                <w:bCs/>
                <w:noProof/>
                <w:color w:val="000000"/>
                <w:sz w:val="16"/>
                <w:lang w:eastAsia="en-GB"/>
              </w:rPr>
              <w:t>17.285.448</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ind w:left="-85"/>
              <w:jc w:val="both"/>
              <w:rPr>
                <w:rFonts w:ascii="Calibri" w:eastAsia="Times New Roman" w:hAnsi="Calibri" w:cs="Times New Roman"/>
                <w:b/>
                <w:bCs/>
                <w:noProof/>
                <w:color w:val="000000"/>
                <w:sz w:val="16"/>
                <w:lang w:eastAsia="en-GB"/>
              </w:rPr>
            </w:pPr>
            <w:r>
              <w:rPr>
                <w:rFonts w:ascii="Calibri" w:eastAsia="Times New Roman" w:hAnsi="Calibri" w:cs="Times New Roman"/>
                <w:b/>
                <w:bCs/>
                <w:noProof/>
                <w:color w:val="000000"/>
                <w:sz w:val="16"/>
                <w:lang w:eastAsia="en-GB"/>
              </w:rPr>
              <w:t>16.725.908</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ind w:left="-85"/>
              <w:jc w:val="both"/>
              <w:rPr>
                <w:rFonts w:ascii="Calibri" w:eastAsia="Times New Roman" w:hAnsi="Calibri" w:cs="Times New Roman"/>
                <w:b/>
                <w:bCs/>
                <w:noProof/>
                <w:color w:val="000000"/>
                <w:sz w:val="16"/>
                <w:lang w:eastAsia="en-GB"/>
              </w:rPr>
            </w:pPr>
            <w:r>
              <w:rPr>
                <w:rFonts w:ascii="Calibri" w:eastAsia="Times New Roman" w:hAnsi="Calibri" w:cs="Times New Roman"/>
                <w:b/>
                <w:bCs/>
                <w:noProof/>
                <w:color w:val="000000"/>
                <w:sz w:val="16"/>
                <w:lang w:eastAsia="en-GB"/>
              </w:rPr>
              <w:t>15.446.676</w:t>
            </w:r>
          </w:p>
        </w:tc>
        <w:tc>
          <w:tcPr>
            <w:tcW w:w="492" w:type="pct"/>
            <w:tcBorders>
              <w:top w:val="nil"/>
              <w:left w:val="nil"/>
              <w:bottom w:val="single" w:sz="4" w:space="0" w:color="auto"/>
              <w:right w:val="single" w:sz="4" w:space="0" w:color="auto"/>
            </w:tcBorders>
            <w:shd w:val="clear" w:color="auto" w:fill="auto"/>
            <w:vAlign w:val="center"/>
            <w:hideMark/>
          </w:tcPr>
          <w:p>
            <w:pPr>
              <w:widowControl w:val="0"/>
              <w:spacing w:after="0" w:line="240" w:lineRule="auto"/>
              <w:ind w:left="-85"/>
              <w:jc w:val="both"/>
              <w:rPr>
                <w:rFonts w:ascii="Calibri" w:eastAsia="Times New Roman" w:hAnsi="Calibri" w:cs="Times New Roman"/>
                <w:b/>
                <w:bCs/>
                <w:noProof/>
                <w:color w:val="000000"/>
                <w:sz w:val="16"/>
                <w:lang w:eastAsia="en-GB"/>
              </w:rPr>
            </w:pPr>
            <w:r>
              <w:rPr>
                <w:rFonts w:ascii="Calibri" w:eastAsia="Times New Roman" w:hAnsi="Calibri" w:cs="Times New Roman"/>
                <w:b/>
                <w:bCs/>
                <w:noProof/>
                <w:color w:val="000000"/>
                <w:sz w:val="16"/>
                <w:lang w:eastAsia="en-GB"/>
              </w:rPr>
              <w:t>15.192.556</w:t>
            </w:r>
          </w:p>
        </w:tc>
        <w:tc>
          <w:tcPr>
            <w:tcW w:w="442" w:type="pct"/>
            <w:tcBorders>
              <w:top w:val="nil"/>
              <w:left w:val="single" w:sz="4" w:space="0" w:color="4F6228"/>
              <w:bottom w:val="single" w:sz="4" w:space="0" w:color="4F6228"/>
              <w:right w:val="single" w:sz="8" w:space="0" w:color="4F6228"/>
            </w:tcBorders>
            <w:shd w:val="clear" w:color="000000" w:fill="EBF1DE"/>
            <w:noWrap/>
            <w:vAlign w:val="center"/>
            <w:hideMark/>
          </w:tcPr>
          <w:p>
            <w:pPr>
              <w:widowControl w:val="0"/>
              <w:spacing w:after="0" w:line="240" w:lineRule="auto"/>
              <w:jc w:val="both"/>
              <w:rPr>
                <w:rFonts w:ascii="Calibri" w:eastAsia="Times New Roman" w:hAnsi="Calibri" w:cs="Times New Roman"/>
                <w:b/>
                <w:bCs/>
                <w:noProof/>
                <w:sz w:val="16"/>
                <w:lang w:eastAsia="en-GB"/>
              </w:rPr>
            </w:pPr>
            <w:r>
              <w:rPr>
                <w:rFonts w:ascii="Calibri" w:eastAsia="Times New Roman" w:hAnsi="Calibri" w:cs="Times New Roman"/>
                <w:b/>
                <w:bCs/>
                <w:noProof/>
                <w:sz w:val="16"/>
                <w:lang w:eastAsia="en-GB"/>
              </w:rPr>
              <w:t>51,2%</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official visa statistics, which are compiled by the Commission in accordance with Article 46 of the Visa Code based on submissions by the Member States, do not contain data on the length of validity of the issued visas, nor on the nationality of the applicants (although the location of the consulate where the application was submitted can be used as a proxy for nationality, with the exception of countries where the nationals themselves are not subject to the visa requirement, such as the UK, US or UAE). The lack of statistical data was already identified as a weakness in the 2014 evaluation and the issue persists to date. However, since all short-stay visa applications are now recorded in the Visa Information System, there is potential for producing more detailed visa statistics in the near future.</w:t>
      </w:r>
      <w:r>
        <w:rPr>
          <w:rStyle w:val="FootnoteReference"/>
          <w:rFonts w:ascii="Times New Roman" w:hAnsi="Times New Roman" w:cs="Times New Roman"/>
          <w:noProof/>
          <w:szCs w:val="24"/>
        </w:rPr>
        <w:footnoteReference w:id="71"/>
      </w:r>
    </w:p>
    <w:p>
      <w:pPr>
        <w:jc w:val="both"/>
        <w:rPr>
          <w:rFonts w:ascii="Times New Roman" w:hAnsi="Times New Roman" w:cs="Times New Roman"/>
          <w:noProof/>
          <w:sz w:val="24"/>
          <w:szCs w:val="24"/>
        </w:rPr>
      </w:pPr>
      <w:r>
        <w:rPr>
          <w:rFonts w:ascii="Times New Roman" w:hAnsi="Times New Roman" w:cs="Times New Roman"/>
          <w:noProof/>
          <w:sz w:val="24"/>
          <w:szCs w:val="24"/>
        </w:rPr>
        <w:t>Despite the scarcity of statistical data – which was already noted in the 2014 evaluation – the Commission has accumulated extensive experience in the implementation of the Visa Code from its regular monitoring activities, complaints and petitions by citizens, exchanges on practical issues with Member States, questions raised by Members of the European Parliament and Schengen evaluations. The latter are periodical evaluations of Member States on the application of the Schengen acquis in the field of the common visa policy, in accordance with Council Regulation (EU) No 1053/2013, and since 2015 have been carried out for 15 Member States</w:t>
      </w:r>
      <w:r>
        <w:rPr>
          <w:rStyle w:val="FootnoteReference"/>
          <w:rFonts w:ascii="Times New Roman" w:hAnsi="Times New Roman" w:cs="Times New Roman"/>
          <w:noProof/>
          <w:szCs w:val="24"/>
        </w:rPr>
        <w:footnoteReference w:id="72"/>
      </w:r>
      <w:r>
        <w:rPr>
          <w:rFonts w:ascii="Times New Roman" w:hAnsi="Times New Roman" w:cs="Times New Roman"/>
          <w:noProof/>
          <w:sz w:val="24"/>
          <w:szCs w:val="24"/>
        </w:rPr>
        <w:t xml:space="preserve"> that fully apply the Visa Code. The evaluations consisted of a week-long visit to two consulates</w:t>
      </w:r>
      <w:r>
        <w:rPr>
          <w:rStyle w:val="FootnoteReference"/>
          <w:rFonts w:ascii="Times New Roman" w:hAnsi="Times New Roman" w:cs="Times New Roman"/>
          <w:noProof/>
          <w:szCs w:val="24"/>
        </w:rPr>
        <w:footnoteReference w:id="73"/>
      </w:r>
      <w:r>
        <w:rPr>
          <w:rFonts w:ascii="Times New Roman" w:hAnsi="Times New Roman" w:cs="Times New Roman"/>
          <w:noProof/>
          <w:sz w:val="24"/>
          <w:szCs w:val="24"/>
        </w:rPr>
        <w:t xml:space="preserve"> by a mixed team of Commission and Member State experts, examining the correct application of the Visa Code and related legal provisions in practice. The findings are described in an evaluation report, which is classified as EU restricted, and lead to Council recommendations to the evaluated Member State to remedy any shortcomings identified during the evaluation.</w:t>
      </w:r>
    </w:p>
    <w:p>
      <w:pPr>
        <w:jc w:val="both"/>
        <w:rPr>
          <w:rFonts w:ascii="Times New Roman" w:hAnsi="Times New Roman" w:cs="Times New Roman"/>
          <w:noProof/>
          <w:sz w:val="24"/>
          <w:szCs w:val="24"/>
        </w:rPr>
      </w:pPr>
      <w:r>
        <w:rPr>
          <w:rFonts w:ascii="Times New Roman" w:hAnsi="Times New Roman" w:cs="Times New Roman"/>
          <w:noProof/>
          <w:sz w:val="24"/>
          <w:szCs w:val="24"/>
        </w:rPr>
        <w:t>During the evaluations, the experts observed overall compliance with the essential provisions of the legal framework in most cases, including in general a careful assessment of applicants' migratory risk. However, they also noted cross-cutting shortcomings in the application of the Visa Code, which corroborate certain findings already contained in the 2014 evaluation. Despite a common regulatory framework, Member States' visa-issuing practices still diverge on a number of aspects and both consular staff and applicants still view Schengen visas very much as "national" visas. This contributes to competition between Member States in "attractive markets" as well as visa shopping and weakens the perception of Schengen as a common travel area.</w:t>
      </w:r>
    </w:p>
    <w:p>
      <w:pPr>
        <w:jc w:val="both"/>
        <w:rPr>
          <w:rFonts w:ascii="Times New Roman" w:hAnsi="Times New Roman" w:cs="Times New Roman"/>
          <w:i/>
          <w:noProof/>
          <w:sz w:val="24"/>
          <w:szCs w:val="24"/>
        </w:rPr>
      </w:pPr>
      <w:r>
        <w:rPr>
          <w:rFonts w:ascii="Times New Roman" w:hAnsi="Times New Roman" w:cs="Times New Roman"/>
          <w:i/>
          <w:noProof/>
          <w:sz w:val="24"/>
          <w:szCs w:val="24"/>
        </w:rPr>
        <w:t>3.2. Multiple-entry visas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Long-validity multiple-entry visas are one of the most effective facilitations that can be given to </w:t>
      </w:r>
      <w:r>
        <w:rPr>
          <w:rFonts w:ascii="Times New Roman" w:hAnsi="Times New Roman" w:cs="Times New Roman"/>
          <w:i/>
          <w:noProof/>
          <w:sz w:val="24"/>
          <w:szCs w:val="24"/>
        </w:rPr>
        <w:t>bona fide</w:t>
      </w:r>
      <w:r>
        <w:rPr>
          <w:rFonts w:ascii="Times New Roman" w:hAnsi="Times New Roman" w:cs="Times New Roman"/>
          <w:noProof/>
          <w:sz w:val="24"/>
          <w:szCs w:val="24"/>
        </w:rPr>
        <w:t xml:space="preserve"> frequent travellers, as they reduce administrative burdens for applicants and consulates alike. Due to the lack of detailed data on the validity period of issued visas, it is not possible to draw definite overall conclusions on patterns for certain locations or certain Member States regarding the number of long-validity multiple-entry visas.</w:t>
      </w:r>
    </w:p>
    <w:p>
      <w:pPr>
        <w:jc w:val="both"/>
        <w:rPr>
          <w:rFonts w:ascii="Times New Roman" w:hAnsi="Times New Roman" w:cs="Times New Roman"/>
          <w:noProof/>
          <w:sz w:val="24"/>
          <w:szCs w:val="24"/>
        </w:rPr>
      </w:pPr>
      <w:r>
        <w:rPr>
          <w:rFonts w:ascii="Times New Roman" w:hAnsi="Times New Roman" w:cs="Times New Roman"/>
          <w:noProof/>
          <w:sz w:val="24"/>
          <w:szCs w:val="24"/>
        </w:rPr>
        <w:t>The available visa statistics do show, however, the rate of multiple-entry visas issued by the Member States' consulates, even if there is no information on their length of validity (Chart 1). In general, the share of MEVs among all issued visas has been slowly increasing in the past few years. The data confirms, however, the persistent large variation in Member States' practices regarding the issuing of multiple-entry visas: While the MEVs issued by some Member States are barely more than 10% of all visas issued, almost all of the visas issued by other Member States are MEVs. While some of this variance can be explained by the different consular network of Member States and the resulting difference in the applicants' profiles, it is clear that the divergent practices of Member States regarding MEVs remain a problem. The results of the Schengen evaluations confirm vastly differing approaches between Member States in the same location on issuing single-entry or multiple-entry visas, especially to first-time travellers, and on the length of validity of the visas issued.</w:t>
      </w:r>
    </w:p>
    <w:p>
      <w:pPr>
        <w:keepNext/>
        <w:spacing w:after="0"/>
        <w:jc w:val="both"/>
        <w:rPr>
          <w:rFonts w:ascii="Times New Roman" w:hAnsi="Times New Roman" w:cs="Times New Roman"/>
          <w:b/>
          <w:noProof/>
          <w:sz w:val="24"/>
          <w:szCs w:val="24"/>
        </w:rPr>
      </w:pPr>
      <w:r>
        <w:rPr>
          <w:rFonts w:ascii="Times New Roman" w:hAnsi="Times New Roman" w:cs="Times New Roman"/>
          <w:b/>
          <w:noProof/>
          <w:sz w:val="24"/>
          <w:szCs w:val="24"/>
        </w:rPr>
        <w:t>Chart 1: MEVs as a percentage of total visas issued by Member State</w:t>
      </w:r>
    </w:p>
    <w:p>
      <w:pPr>
        <w:keepNext/>
        <w:jc w:val="both"/>
        <w:rPr>
          <w:rFonts w:ascii="Times New Roman" w:hAnsi="Times New Roman" w:cs="Times New Roman"/>
          <w:noProof/>
          <w:sz w:val="16"/>
          <w:szCs w:val="24"/>
        </w:rPr>
      </w:pPr>
      <w:r>
        <w:rPr>
          <w:rFonts w:ascii="Times New Roman" w:hAnsi="Times New Roman" w:cs="Times New Roman"/>
          <w:noProof/>
          <w:sz w:val="20"/>
          <w:szCs w:val="24"/>
        </w:rPr>
        <w:t>The chart shows the range of MEV issuance rates across Member States as well as the median, first and third quartile values.</w:t>
      </w:r>
    </w:p>
    <w:p>
      <w:pPr>
        <w:jc w:val="both"/>
        <w:rPr>
          <w:rFonts w:ascii="Times New Roman" w:hAnsi="Times New Roman" w:cs="Times New Roman"/>
          <w:noProof/>
          <w:sz w:val="24"/>
          <w:szCs w:val="24"/>
        </w:rPr>
      </w:pPr>
      <w:r>
        <w:rPr>
          <w:noProof/>
          <w:lang w:val="en-US"/>
        </w:rPr>
        <w:drawing>
          <wp:inline distT="0" distB="0" distL="0" distR="0">
            <wp:extent cx="5472430" cy="3656794"/>
            <wp:effectExtent l="0" t="0" r="13970" b="203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cs="Times New Roman"/>
          <w:i/>
          <w:noProof/>
          <w:sz w:val="24"/>
          <w:szCs w:val="24"/>
        </w:rPr>
        <w:t>3.3. Visa refusals</w:t>
      </w:r>
    </w:p>
    <w:p>
      <w:pPr>
        <w:jc w:val="both"/>
        <w:rPr>
          <w:rFonts w:ascii="Times New Roman" w:hAnsi="Times New Roman" w:cs="Times New Roman"/>
          <w:noProof/>
          <w:sz w:val="24"/>
          <w:szCs w:val="24"/>
        </w:rPr>
      </w:pPr>
      <w:r>
        <w:rPr>
          <w:rFonts w:ascii="Times New Roman" w:hAnsi="Times New Roman" w:cs="Times New Roman"/>
          <w:noProof/>
          <w:sz w:val="24"/>
          <w:szCs w:val="24"/>
        </w:rPr>
        <w:t>Chart 2 shows the percentage of visa applications that are refused by the consulates of the Member States. The average refusal rate has increased slightly in the past few years, which is mainly due to changes in the pool of applicants: with several nationalities being granted visa-free status over the same time period, the share of applicants from countries with a higher migratory risk has slowly increased. In the same manner, the variation in refusal rates between Member States is explained by the different consular networks, with some Member States receiving the vast majority of visa applications in countries with low migratory or security risk and a consequently low refusal rate (e.g., Russia). Other Member States have a larger consular network and receive more applications in certain African or Asian countries where refusal rates can be 30% or higher, leading to a higher overall refusal rate. The Commission's regular monitoring and Schengen evaluations confirm that there is no systematic problem with divergent standards and practices regarding the assessment of individual visa applications and the appreciation of migratory and security risk between Member States. In general, consulates conduct a careful and individual assessment of applicants' migratory risk and any cases where this might have been different are extremely rare and isolated.</w:t>
      </w: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Chart 2: Refusal rates as a percentage of total visas applied for by Member States</w:t>
      </w:r>
    </w:p>
    <w:p>
      <w:pPr>
        <w:keepNext/>
        <w:jc w:val="both"/>
        <w:rPr>
          <w:rFonts w:ascii="Times New Roman" w:hAnsi="Times New Roman" w:cs="Times New Roman"/>
          <w:noProof/>
          <w:sz w:val="16"/>
          <w:szCs w:val="24"/>
        </w:rPr>
      </w:pPr>
      <w:r>
        <w:rPr>
          <w:rFonts w:ascii="Times New Roman" w:hAnsi="Times New Roman" w:cs="Times New Roman"/>
          <w:noProof/>
          <w:sz w:val="20"/>
          <w:szCs w:val="24"/>
        </w:rPr>
        <w:t>The chart shows the range of refusal rates across Member States as well as the median, first and third quartile values.</w:t>
      </w:r>
    </w:p>
    <w:p>
      <w:pPr>
        <w:jc w:val="both"/>
        <w:rPr>
          <w:rFonts w:ascii="Times New Roman" w:hAnsi="Times New Roman" w:cs="Times New Roman"/>
          <w:b/>
          <w:noProof/>
        </w:rPr>
      </w:pPr>
      <w:r>
        <w:rPr>
          <w:noProof/>
          <w:lang w:val="en-US"/>
        </w:rPr>
        <w:drawing>
          <wp:inline distT="0" distB="0" distL="0" distR="0">
            <wp:extent cx="5838825" cy="36004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cs="Times New Roman"/>
          <w:i/>
          <w:noProof/>
          <w:sz w:val="24"/>
          <w:szCs w:val="24"/>
        </w:rPr>
        <w:t>3.4. Visas issued at external border crossing points</w:t>
      </w:r>
    </w:p>
    <w:p>
      <w:pPr>
        <w:jc w:val="both"/>
        <w:rPr>
          <w:rFonts w:ascii="Times New Roman" w:hAnsi="Times New Roman" w:cs="Times New Roman"/>
          <w:noProof/>
          <w:sz w:val="24"/>
          <w:szCs w:val="24"/>
        </w:rPr>
      </w:pPr>
      <w:r>
        <w:rPr>
          <w:rFonts w:ascii="Times New Roman" w:hAnsi="Times New Roman" w:cs="Times New Roman"/>
          <w:noProof/>
          <w:sz w:val="24"/>
          <w:szCs w:val="24"/>
        </w:rPr>
        <w:t>While visa-required travellers must normally be in possession of a valid visa before arriving at the external border, in exceptional cases visas may also be issued at border crossing points according to Article 35 of the Visa Code. Many of the applicants at the borders are seafarers. Chart 3 shows that in the past four years, the number of such visas has continuously declined, with less than 100 000 visas being issued at the border in 2016. One reason for this are the improvements made in the consular coverage (see 3.5. below), which made it easier for applicants to apply for visas ahead of their trip, even on short notice in emergency situations.</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Chart 3: Short-stay visas issued at the external borders</w:t>
      </w:r>
    </w:p>
    <w:p>
      <w:pPr>
        <w:rPr>
          <w:rFonts w:ascii="Times New Roman" w:hAnsi="Times New Roman" w:cs="Times New Roman"/>
          <w:b/>
          <w:noProof/>
          <w:sz w:val="20"/>
          <w:szCs w:val="20"/>
        </w:rPr>
      </w:pPr>
      <w:r>
        <w:rPr>
          <w:noProof/>
          <w:lang w:val="en-US"/>
        </w:rPr>
        <w:drawing>
          <wp:inline distT="0" distB="0" distL="0" distR="0">
            <wp:extent cx="5819775" cy="37814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cs="Times New Roman"/>
          <w:i/>
          <w:noProof/>
          <w:sz w:val="24"/>
          <w:szCs w:val="24"/>
        </w:rPr>
        <w:t>3.5. Consular coverage and cooperation</w:t>
      </w:r>
    </w:p>
    <w:p>
      <w:pPr>
        <w:jc w:val="both"/>
        <w:rPr>
          <w:rFonts w:ascii="Times New Roman" w:hAnsi="Times New Roman" w:cs="Times New Roman"/>
          <w:noProof/>
          <w:sz w:val="24"/>
          <w:szCs w:val="24"/>
        </w:rPr>
      </w:pPr>
      <w:r>
        <w:rPr>
          <w:rFonts w:ascii="Times New Roman" w:hAnsi="Times New Roman" w:cs="Times New Roman"/>
          <w:noProof/>
          <w:sz w:val="24"/>
          <w:szCs w:val="24"/>
        </w:rPr>
        <w:t>The 2014 evaluation expressed concerns about the progress achieved regarding full consular coverage for the benefit of applicants. It noted that in many countries, applicants still had to travel large distances to the nearest consulate or visa application centre of the competent Member State, which was costly and time-consuming and a barrier to facilitating legitimate travel.</w:t>
      </w:r>
    </w:p>
    <w:p>
      <w:pPr>
        <w:jc w:val="both"/>
        <w:rPr>
          <w:rFonts w:ascii="Times New Roman" w:hAnsi="Times New Roman" w:cs="Times New Roman"/>
          <w:noProof/>
          <w:sz w:val="24"/>
          <w:szCs w:val="24"/>
        </w:rPr>
      </w:pPr>
      <w:r>
        <w:rPr>
          <w:rFonts w:ascii="Times New Roman" w:hAnsi="Times New Roman" w:cs="Times New Roman"/>
          <w:noProof/>
          <w:sz w:val="24"/>
          <w:szCs w:val="24"/>
        </w:rPr>
        <w:t>The situation has evolved quite favourably since 2014, however. As table 2 below shows, there has been an overall increase of almost 30% in 'visa access points', i.e. locations where applications for short-stay visas can be lodged. Most of this progress is due to outsourcing to external service providers, which has grown from 134 locations in 2014 to 1263 locations in early 2018, i.e. by more than 800%. Progress has also been made with respect to representation agreements between Member States, with such forms of consular cooperation increasing by more than 3% over the past four years. Conversely, the Member States' own consular networks have generally shrunk, with almost a quarter fewer locations in early 2018 than in 2014. Much of this reduction is a direct effect of national budget cuts that forced Member States to rationalise and reorient their diplomatic and consular representations abroad. Insufficient revenues from the visa fee to cover administrative costs also played a role in this development.</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Table 2: Consular coverage and cooperation – visa access points by type, 2014-2018</w:t>
      </w:r>
    </w:p>
    <w:tbl>
      <w:tblPr>
        <w:tblStyle w:val="TableGrid"/>
        <w:tblW w:w="9297" w:type="dxa"/>
        <w:tblLook w:val="04A0" w:firstRow="1" w:lastRow="0" w:firstColumn="1" w:lastColumn="0" w:noHBand="0" w:noVBand="1"/>
      </w:tblPr>
      <w:tblGrid>
        <w:gridCol w:w="4503"/>
        <w:gridCol w:w="1417"/>
        <w:gridCol w:w="1223"/>
        <w:gridCol w:w="2154"/>
      </w:tblGrid>
      <w:tr>
        <w:tc>
          <w:tcPr>
            <w:tcW w:w="4503" w:type="dxa"/>
            <w:tcBorders>
              <w:top w:val="nil"/>
              <w:left w:val="nil"/>
              <w:bottom w:val="single" w:sz="4" w:space="0" w:color="auto"/>
              <w:right w:val="single" w:sz="4" w:space="0" w:color="auto"/>
            </w:tcBorders>
          </w:tcPr>
          <w:p>
            <w:pPr>
              <w:rPr>
                <w:b/>
                <w:noProof/>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b/>
                <w:noProof/>
                <w:lang w:eastAsia="en-US"/>
              </w:rPr>
            </w:pPr>
            <w:r>
              <w:rPr>
                <w:b/>
                <w:noProof/>
              </w:rPr>
              <w:t>2014</w:t>
            </w:r>
          </w:p>
        </w:tc>
        <w:tc>
          <w:tcPr>
            <w:tcW w:w="1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b/>
                <w:noProof/>
                <w:lang w:eastAsia="en-US"/>
              </w:rPr>
            </w:pPr>
            <w:r>
              <w:rPr>
                <w:b/>
                <w:noProof/>
              </w:rPr>
              <w:t>2018</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b/>
                <w:noProof/>
                <w:lang w:eastAsia="en-US"/>
              </w:rPr>
            </w:pPr>
            <w:r>
              <w:rPr>
                <w:b/>
                <w:noProof/>
              </w:rPr>
              <w:t>Change 2014-2018 (%)</w:t>
            </w:r>
          </w:p>
        </w:tc>
      </w:tr>
      <w:tr>
        <w:tc>
          <w:tcPr>
            <w:tcW w:w="4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rPr>
                <w:b/>
                <w:noProof/>
                <w:lang w:eastAsia="en-US"/>
              </w:rPr>
            </w:pPr>
            <w:r>
              <w:rPr>
                <w:b/>
                <w:noProof/>
              </w:rPr>
              <w:t>Consulates</w:t>
            </w:r>
          </w:p>
        </w:tc>
        <w:tc>
          <w:tcPr>
            <w:tcW w:w="1417"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1341</w:t>
            </w:r>
          </w:p>
        </w:tc>
        <w:tc>
          <w:tcPr>
            <w:tcW w:w="1223"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1012</w:t>
            </w:r>
          </w:p>
        </w:tc>
        <w:tc>
          <w:tcPr>
            <w:tcW w:w="2154"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-24.5</w:t>
            </w:r>
          </w:p>
        </w:tc>
      </w:tr>
      <w:tr>
        <w:tc>
          <w:tcPr>
            <w:tcW w:w="4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rPr>
                <w:b/>
                <w:noProof/>
                <w:lang w:eastAsia="en-US"/>
              </w:rPr>
            </w:pPr>
            <w:r>
              <w:rPr>
                <w:b/>
                <w:noProof/>
              </w:rPr>
              <w:t>External service providers (ESPs)</w:t>
            </w:r>
          </w:p>
        </w:tc>
        <w:tc>
          <w:tcPr>
            <w:tcW w:w="1417"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134</w:t>
            </w:r>
          </w:p>
        </w:tc>
        <w:tc>
          <w:tcPr>
            <w:tcW w:w="1223"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1263</w:t>
            </w:r>
          </w:p>
        </w:tc>
        <w:tc>
          <w:tcPr>
            <w:tcW w:w="2154"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842.5</w:t>
            </w:r>
          </w:p>
        </w:tc>
      </w:tr>
      <w:tr>
        <w:tc>
          <w:tcPr>
            <w:tcW w:w="4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rPr>
                <w:b/>
                <w:noProof/>
                <w:lang w:eastAsia="en-US"/>
              </w:rPr>
            </w:pPr>
            <w:r>
              <w:rPr>
                <w:b/>
                <w:noProof/>
              </w:rPr>
              <w:t>Consulate and ESP in same location</w:t>
            </w:r>
          </w:p>
        </w:tc>
        <w:tc>
          <w:tcPr>
            <w:tcW w:w="1417"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314</w:t>
            </w:r>
          </w:p>
        </w:tc>
        <w:tc>
          <w:tcPr>
            <w:tcW w:w="1223"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583</w:t>
            </w:r>
          </w:p>
        </w:tc>
        <w:tc>
          <w:tcPr>
            <w:tcW w:w="2154"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85.7</w:t>
            </w:r>
          </w:p>
        </w:tc>
      </w:tr>
      <w:tr>
        <w:tc>
          <w:tcPr>
            <w:tcW w:w="4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rPr>
                <w:b/>
                <w:noProof/>
                <w:lang w:eastAsia="en-US"/>
              </w:rPr>
            </w:pPr>
            <w:r>
              <w:rPr>
                <w:b/>
                <w:noProof/>
              </w:rPr>
              <w:t>Representation agreements</w:t>
            </w:r>
          </w:p>
        </w:tc>
        <w:tc>
          <w:tcPr>
            <w:tcW w:w="1417"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1864</w:t>
            </w:r>
          </w:p>
        </w:tc>
        <w:tc>
          <w:tcPr>
            <w:tcW w:w="1223"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1922</w:t>
            </w:r>
          </w:p>
        </w:tc>
        <w:tc>
          <w:tcPr>
            <w:tcW w:w="2154"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3.1</w:t>
            </w:r>
          </w:p>
        </w:tc>
      </w:tr>
      <w:tr>
        <w:tc>
          <w:tcPr>
            <w:tcW w:w="4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rPr>
                <w:b/>
                <w:noProof/>
                <w:lang w:eastAsia="en-US"/>
              </w:rPr>
            </w:pPr>
            <w:r>
              <w:rPr>
                <w:b/>
                <w:noProof/>
              </w:rPr>
              <w:t>Honorary consulates accepting visa applications</w:t>
            </w:r>
          </w:p>
        </w:tc>
        <w:tc>
          <w:tcPr>
            <w:tcW w:w="1417"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134</w:t>
            </w:r>
          </w:p>
        </w:tc>
        <w:tc>
          <w:tcPr>
            <w:tcW w:w="1223"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127</w:t>
            </w:r>
          </w:p>
        </w:tc>
        <w:tc>
          <w:tcPr>
            <w:tcW w:w="2154" w:type="dxa"/>
            <w:tcBorders>
              <w:top w:val="single" w:sz="4" w:space="0" w:color="auto"/>
              <w:left w:val="single" w:sz="4" w:space="0" w:color="auto"/>
              <w:bottom w:val="single" w:sz="4" w:space="0" w:color="auto"/>
              <w:right w:val="single" w:sz="4" w:space="0" w:color="auto"/>
            </w:tcBorders>
            <w:hideMark/>
          </w:tcPr>
          <w:p>
            <w:pPr>
              <w:jc w:val="right"/>
              <w:rPr>
                <w:noProof/>
                <w:lang w:eastAsia="en-US"/>
              </w:rPr>
            </w:pPr>
            <w:r>
              <w:rPr>
                <w:noProof/>
              </w:rPr>
              <w:t>-5.2</w:t>
            </w:r>
          </w:p>
        </w:tc>
      </w:tr>
      <w:tr>
        <w:tc>
          <w:tcPr>
            <w:tcW w:w="450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pPr>
              <w:rPr>
                <w:b/>
                <w:noProof/>
                <w:lang w:eastAsia="en-US"/>
              </w:rPr>
            </w:pPr>
            <w:r>
              <w:rPr>
                <w:b/>
                <w:noProof/>
              </w:rPr>
              <w:t>TOTAL visa access points</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pPr>
              <w:jc w:val="right"/>
              <w:rPr>
                <w:b/>
                <w:noProof/>
                <w:lang w:eastAsia="en-US"/>
              </w:rPr>
            </w:pPr>
            <w:r>
              <w:rPr>
                <w:b/>
                <w:noProof/>
              </w:rPr>
              <w:t>3787</w:t>
            </w:r>
          </w:p>
        </w:tc>
        <w:tc>
          <w:tcPr>
            <w:tcW w:w="122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pPr>
              <w:jc w:val="right"/>
              <w:rPr>
                <w:b/>
                <w:noProof/>
                <w:lang w:eastAsia="en-US"/>
              </w:rPr>
            </w:pPr>
            <w:r>
              <w:rPr>
                <w:b/>
                <w:noProof/>
              </w:rPr>
              <w:t>4907</w:t>
            </w:r>
          </w:p>
        </w:tc>
        <w:tc>
          <w:tcPr>
            <w:tcW w:w="215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pPr>
              <w:jc w:val="right"/>
              <w:rPr>
                <w:b/>
                <w:noProof/>
                <w:lang w:eastAsia="en-US"/>
              </w:rPr>
            </w:pPr>
            <w:r>
              <w:rPr>
                <w:b/>
                <w:noProof/>
              </w:rPr>
              <w:t>29.6</w:t>
            </w:r>
          </w:p>
        </w:tc>
      </w:tr>
    </w:tbl>
    <w:p>
      <w:pPr>
        <w:jc w:val="both"/>
        <w:rPr>
          <w:rFonts w:ascii="Times New Roman" w:hAnsi="Times New Roman" w:cs="Times New Roman"/>
          <w:noProof/>
          <w:sz w:val="24"/>
          <w:szCs w:val="24"/>
        </w:rPr>
      </w:pPr>
    </w:p>
    <w:p>
      <w:pPr>
        <w:jc w:val="both"/>
        <w:rPr>
          <w:rFonts w:ascii="Times New Roman" w:hAnsi="Times New Roman" w:cs="Times New Roman"/>
          <w:i/>
          <w:noProof/>
          <w:sz w:val="24"/>
          <w:szCs w:val="24"/>
        </w:rPr>
      </w:pPr>
      <w:r>
        <w:rPr>
          <w:rFonts w:ascii="Times New Roman" w:hAnsi="Times New Roman" w:cs="Times New Roman"/>
          <w:i/>
          <w:noProof/>
          <w:sz w:val="24"/>
          <w:szCs w:val="24"/>
        </w:rPr>
        <w:t>3.6. Local Schengen Cooperation</w:t>
      </w:r>
    </w:p>
    <w:p>
      <w:pPr>
        <w:jc w:val="both"/>
        <w:rPr>
          <w:rFonts w:ascii="Times New Roman" w:hAnsi="Times New Roman" w:cs="Times New Roman"/>
          <w:noProof/>
          <w:sz w:val="24"/>
          <w:szCs w:val="24"/>
        </w:rPr>
      </w:pPr>
      <w:r>
        <w:rPr>
          <w:rFonts w:ascii="Times New Roman" w:hAnsi="Times New Roman" w:cs="Times New Roman"/>
          <w:noProof/>
          <w:sz w:val="24"/>
          <w:szCs w:val="24"/>
        </w:rPr>
        <w:t>In the Staff Working Document accompanying the 2014, the Commission noted that progress was slow on establishing harmonised lists of supporting documents, which is a key role of Local Schengen Cooperation according to Article 48(1)(a) of the Visa Code. The evaluation therefore concluded that a wide variety of divergent practices continued to exist between Member States in the same location, which harmed the objective of the Visa Code to harmonise the way Member States issue visas. If there is clarity about the supporting documents that need to be submitted with a visa application, this reduces the burden on applicants and consulates alike, and further reduces incentives for visa shopping.</w:t>
      </w:r>
    </w:p>
    <w:p>
      <w:pPr>
        <w:keepNext/>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Chart 4: Commission Implementing Decisions establishing the lists of supporting documents to be presented by Schengen visa applicants in specific countries</w:t>
      </w:r>
    </w:p>
    <w:p>
      <w:pPr>
        <w:jc w:val="both"/>
        <w:rPr>
          <w:rFonts w:ascii="Times New Roman" w:hAnsi="Times New Roman" w:cs="Times New Roman"/>
          <w:noProof/>
          <w:sz w:val="24"/>
          <w:szCs w:val="24"/>
        </w:rPr>
      </w:pPr>
      <w:r>
        <w:rPr>
          <w:noProof/>
          <w:lang w:val="en-US"/>
        </w:rPr>
        <w:drawing>
          <wp:inline distT="0" distB="0" distL="0" distR="0">
            <wp:extent cx="5476875" cy="29718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On this matter, too, significant progress has been made since 2014. As Chart 4 shows, Commission Implementing Decisions giving legal effect to the harmonised lists drawn up in Local Schengen Cooperation now cover 54 third countries, following a steady increase year over year. This trend is expected to increase in the coming years, reducing the problems that applicants report having with supporting documents. While the Schengen evaluations revealed some deficiencies in the implementation of the harmonised lists in practice, with certain consulates still deviating from them, the situation is expected to improve: Member States are increasingly aware of the added value of Local Schengen Cooperation and in the stakeholder consultation generally supported an expansion of its role, beyond drawing up lists of supporting documents.</w:t>
      </w:r>
    </w:p>
    <w:p>
      <w:pPr>
        <w:jc w:val="both"/>
        <w:rPr>
          <w:rFonts w:ascii="Times New Roman" w:hAnsi="Times New Roman" w:cs="Times New Roman"/>
          <w:i/>
          <w:noProof/>
          <w:sz w:val="24"/>
          <w:szCs w:val="24"/>
        </w:rPr>
      </w:pPr>
      <w:r>
        <w:rPr>
          <w:rFonts w:ascii="Times New Roman" w:hAnsi="Times New Roman" w:cs="Times New Roman"/>
          <w:i/>
          <w:noProof/>
          <w:sz w:val="24"/>
          <w:szCs w:val="24"/>
        </w:rPr>
        <w:t>3.7. Changes in the visa lists</w:t>
      </w:r>
    </w:p>
    <w:p>
      <w:pPr>
        <w:jc w:val="both"/>
        <w:rPr>
          <w:rFonts w:ascii="Times New Roman" w:hAnsi="Times New Roman" w:cs="Times New Roman"/>
          <w:noProof/>
          <w:sz w:val="24"/>
          <w:szCs w:val="24"/>
        </w:rPr>
      </w:pPr>
      <w:r>
        <w:rPr>
          <w:rFonts w:ascii="Times New Roman" w:hAnsi="Times New Roman" w:cs="Times New Roman"/>
          <w:noProof/>
          <w:sz w:val="24"/>
          <w:szCs w:val="24"/>
        </w:rPr>
        <w:t>Apart from requirements for airport transit visas, the rules specifying the countries whose nationals require visas to enter the Schengen area are not laid down in the Visa Code, but in Council Regulation (EC) No 539/2001. Two annexes to that Regulation specify the visa-required and visa-free countries, respectively. While not part of the Visa Code, changes to these annexes obviously have an impact on the number and distribution of visa applications that must be processed by the consulates of the Member States, as well as on the resources that are necessary and the revenue gained from visa fees.</w:t>
      </w:r>
    </w:p>
    <w:p>
      <w:pPr>
        <w:jc w:val="both"/>
        <w:rPr>
          <w:rFonts w:ascii="Times New Roman" w:hAnsi="Times New Roman" w:cs="Times New Roman"/>
          <w:noProof/>
          <w:sz w:val="24"/>
          <w:szCs w:val="24"/>
        </w:rPr>
      </w:pPr>
      <w:r>
        <w:rPr>
          <w:rFonts w:ascii="Times New Roman" w:hAnsi="Times New Roman" w:cs="Times New Roman"/>
          <w:noProof/>
          <w:sz w:val="24"/>
          <w:szCs w:val="24"/>
        </w:rPr>
        <w:t>As table 3 shows, the top ten source countries for visa applications have remained largely stable since 2013</w:t>
      </w:r>
      <w:r>
        <w:rPr>
          <w:rStyle w:val="FootnoteReference"/>
          <w:rFonts w:ascii="Times New Roman" w:hAnsi="Times New Roman" w:cs="Times New Roman"/>
          <w:noProof/>
          <w:szCs w:val="24"/>
        </w:rPr>
        <w:footnoteReference w:id="74"/>
      </w:r>
      <w:r>
        <w:rPr>
          <w:rFonts w:ascii="Times New Roman" w:hAnsi="Times New Roman" w:cs="Times New Roman"/>
          <w:noProof/>
          <w:sz w:val="24"/>
          <w:szCs w:val="24"/>
        </w:rPr>
        <w:t>, but with vastly different growth rates. While the applications from Eastern European countries (Russian Federation, Ukraine and Belarus) have declined, there has been a remarkable increase in applications from China, India, Algeria and Morocco of more than 35% each. While applications from Russia and Belarus are expected to recover somewhat, the general trend is likely to continue pointing towards disproportionate growth in applications lodged in Africa and Asia. As Ukrainian citizens have been visa-free since 11 June 2017, the realignment in visa application patterns will be even more pronounced.</w:t>
      </w:r>
    </w:p>
    <w:p>
      <w:pPr>
        <w:jc w:val="both"/>
        <w:rPr>
          <w:rFonts w:ascii="Times New Roman" w:hAnsi="Times New Roman" w:cs="Times New Roman"/>
          <w:b/>
          <w:noProof/>
          <w:sz w:val="24"/>
          <w:szCs w:val="24"/>
        </w:rPr>
      </w:pPr>
      <w:r>
        <w:rPr>
          <w:rFonts w:ascii="Times New Roman" w:hAnsi="Times New Roman" w:cs="Times New Roman"/>
          <w:b/>
          <w:noProof/>
          <w:sz w:val="24"/>
          <w:szCs w:val="24"/>
        </w:rPr>
        <w:t>Table 3: Number of visas applied for in top 10 countries by visa application total</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gridCol w:w="1261"/>
        <w:gridCol w:w="1261"/>
        <w:gridCol w:w="1261"/>
        <w:gridCol w:w="1261"/>
        <w:gridCol w:w="1239"/>
      </w:tblGrid>
      <w:tr>
        <w:tc>
          <w:tcPr>
            <w:tcW w:w="2693" w:type="dxa"/>
            <w:tcBorders>
              <w:top w:val="nil"/>
              <w:left w:val="nil"/>
              <w:bottom w:val="single" w:sz="12" w:space="0" w:color="auto"/>
              <w:right w:val="single" w:sz="12" w:space="0" w:color="auto"/>
            </w:tcBorders>
            <w:vAlign w:val="center"/>
          </w:tcPr>
          <w:p>
            <w:pPr>
              <w:rPr>
                <w:b/>
                <w:noProof/>
                <w:lang w:eastAsia="en-US"/>
              </w:rPr>
            </w:pPr>
          </w:p>
        </w:tc>
        <w:tc>
          <w:tcPr>
            <w:tcW w:w="1276"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jc w:val="center"/>
              <w:rPr>
                <w:b/>
                <w:noProof/>
                <w:lang w:eastAsia="en-US"/>
              </w:rPr>
            </w:pPr>
            <w:r>
              <w:rPr>
                <w:b/>
                <w:noProof/>
              </w:rPr>
              <w:t>2013</w:t>
            </w:r>
          </w:p>
        </w:tc>
        <w:tc>
          <w:tcPr>
            <w:tcW w:w="127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pPr>
              <w:jc w:val="center"/>
              <w:rPr>
                <w:b/>
                <w:noProof/>
                <w:lang w:eastAsia="en-US"/>
              </w:rPr>
            </w:pPr>
            <w:r>
              <w:rPr>
                <w:b/>
                <w:noProof/>
              </w:rPr>
              <w:t>2014</w:t>
            </w:r>
          </w:p>
        </w:tc>
        <w:tc>
          <w:tcPr>
            <w:tcW w:w="127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pPr>
              <w:jc w:val="center"/>
              <w:rPr>
                <w:b/>
                <w:noProof/>
                <w:lang w:eastAsia="en-US"/>
              </w:rPr>
            </w:pPr>
            <w:r>
              <w:rPr>
                <w:b/>
                <w:noProof/>
              </w:rPr>
              <w:t>2015</w:t>
            </w:r>
          </w:p>
        </w:tc>
        <w:tc>
          <w:tcPr>
            <w:tcW w:w="127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pPr>
              <w:jc w:val="center"/>
              <w:rPr>
                <w:b/>
                <w:noProof/>
                <w:lang w:eastAsia="en-US"/>
              </w:rPr>
            </w:pPr>
            <w:r>
              <w:rPr>
                <w:b/>
                <w:noProof/>
              </w:rPr>
              <w:t>2016</w:t>
            </w:r>
          </w:p>
        </w:tc>
        <w:tc>
          <w:tcPr>
            <w:tcW w:w="1276"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pPr>
              <w:jc w:val="center"/>
              <w:rPr>
                <w:b/>
                <w:noProof/>
                <w:lang w:eastAsia="en-US"/>
              </w:rPr>
            </w:pPr>
            <w:r>
              <w:rPr>
                <w:b/>
                <w:noProof/>
              </w:rPr>
              <w:t>Change</w:t>
            </w:r>
            <w:r>
              <w:rPr>
                <w:b/>
                <w:noProof/>
              </w:rPr>
              <w:br/>
              <w:t>2013-2016 (%)</w:t>
            </w:r>
          </w:p>
        </w:tc>
      </w:tr>
      <w:tr>
        <w:tc>
          <w:tcPr>
            <w:tcW w:w="269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Russian Federation</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6,995,141</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5,768,182</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3,467,317</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3,177,621</w:t>
            </w:r>
          </w:p>
        </w:tc>
        <w:tc>
          <w:tcPr>
            <w:tcW w:w="1276"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-54.57</w:t>
            </w:r>
          </w:p>
        </w:tc>
      </w:tr>
      <w:tr>
        <w:tc>
          <w:tcPr>
            <w:tcW w:w="269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China</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1,497,178</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1,800,369</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2,381,818</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2,185,927</w:t>
            </w:r>
          </w:p>
        </w:tc>
        <w:tc>
          <w:tcPr>
            <w:tcW w:w="1276"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46.00</w:t>
            </w:r>
          </w:p>
        </w:tc>
      </w:tr>
      <w:tr>
        <w:tc>
          <w:tcPr>
            <w:tcW w:w="269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Ukraine</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1,589,963</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1,387,086</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1,233,530</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1,411,950</w:t>
            </w:r>
          </w:p>
        </w:tc>
        <w:tc>
          <w:tcPr>
            <w:tcW w:w="1276"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-11.20</w:t>
            </w:r>
          </w:p>
        </w:tc>
      </w:tr>
      <w:tr>
        <w:tc>
          <w:tcPr>
            <w:tcW w:w="269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Turkey</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779,464</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813,339</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900,789</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937,487</w:t>
            </w:r>
          </w:p>
        </w:tc>
        <w:tc>
          <w:tcPr>
            <w:tcW w:w="1276"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20.27</w:t>
            </w:r>
          </w:p>
        </w:tc>
      </w:tr>
      <w:tr>
        <w:tc>
          <w:tcPr>
            <w:tcW w:w="269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India</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522,106</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568,216</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708,386</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792,271</w:t>
            </w:r>
          </w:p>
        </w:tc>
        <w:tc>
          <w:tcPr>
            <w:tcW w:w="1276"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51.75</w:t>
            </w:r>
          </w:p>
        </w:tc>
      </w:tr>
      <w:tr>
        <w:tc>
          <w:tcPr>
            <w:tcW w:w="269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Algeria</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445,517</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593,624</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735,040</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744,213</w:t>
            </w:r>
          </w:p>
        </w:tc>
        <w:tc>
          <w:tcPr>
            <w:tcW w:w="1276"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67.04</w:t>
            </w:r>
          </w:p>
        </w:tc>
      </w:tr>
      <w:tr>
        <w:tc>
          <w:tcPr>
            <w:tcW w:w="269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Belarus</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777,813</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881,404</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752,782</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695,615</w:t>
            </w:r>
          </w:p>
        </w:tc>
        <w:tc>
          <w:tcPr>
            <w:tcW w:w="1276"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-10.57</w:t>
            </w:r>
          </w:p>
        </w:tc>
      </w:tr>
      <w:tr>
        <w:tc>
          <w:tcPr>
            <w:tcW w:w="269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Morocco</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401,092</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434,652</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493,642</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555,142</w:t>
            </w:r>
          </w:p>
        </w:tc>
        <w:tc>
          <w:tcPr>
            <w:tcW w:w="1276"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38.41</w:t>
            </w:r>
          </w:p>
        </w:tc>
      </w:tr>
      <w:tr>
        <w:tc>
          <w:tcPr>
            <w:tcW w:w="269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Saudi Arabia</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276,984</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308,879</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367,028</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345,006</w:t>
            </w:r>
          </w:p>
        </w:tc>
        <w:tc>
          <w:tcPr>
            <w:tcW w:w="1276"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24.56</w:t>
            </w:r>
          </w:p>
        </w:tc>
      </w:tr>
      <w:tr>
        <w:trPr>
          <w:trHeight w:val="85"/>
        </w:trPr>
        <w:tc>
          <w:tcPr>
            <w:tcW w:w="269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Thailand</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233,211</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219,015</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255,319</w:t>
            </w:r>
          </w:p>
        </w:tc>
        <w:tc>
          <w:tcPr>
            <w:tcW w:w="1276"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278,832</w:t>
            </w:r>
          </w:p>
        </w:tc>
        <w:tc>
          <w:tcPr>
            <w:tcW w:w="1276"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19.56</w:t>
            </w:r>
          </w:p>
        </w:tc>
      </w:tr>
      <w:tr>
        <w:tc>
          <w:tcPr>
            <w:tcW w:w="2693"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hideMark/>
          </w:tcPr>
          <w:p>
            <w:pPr>
              <w:jc w:val="center"/>
              <w:rPr>
                <w:b/>
                <w:noProof/>
                <w:lang w:eastAsia="en-US"/>
              </w:rPr>
            </w:pPr>
            <w:r>
              <w:rPr>
                <w:b/>
                <w:noProof/>
              </w:rPr>
              <w:t>TOTAL</w:t>
            </w:r>
          </w:p>
        </w:tc>
        <w:tc>
          <w:tcPr>
            <w:tcW w:w="1276"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hideMark/>
          </w:tcPr>
          <w:p>
            <w:pPr>
              <w:jc w:val="right"/>
              <w:rPr>
                <w:noProof/>
                <w:color w:val="000000"/>
                <w:lang w:eastAsia="en-US"/>
              </w:rPr>
            </w:pPr>
            <w:r>
              <w:rPr>
                <w:noProof/>
                <w:color w:val="000000"/>
              </w:rPr>
              <w:t>13,518,469</w:t>
            </w:r>
          </w:p>
        </w:tc>
        <w:tc>
          <w:tcPr>
            <w:tcW w:w="1276"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hideMark/>
          </w:tcPr>
          <w:p>
            <w:pPr>
              <w:jc w:val="right"/>
              <w:rPr>
                <w:noProof/>
                <w:color w:val="000000"/>
                <w:lang w:eastAsia="en-US"/>
              </w:rPr>
            </w:pPr>
            <w:r>
              <w:rPr>
                <w:noProof/>
                <w:color w:val="000000"/>
              </w:rPr>
              <w:t>12,774,766</w:t>
            </w:r>
          </w:p>
        </w:tc>
        <w:tc>
          <w:tcPr>
            <w:tcW w:w="1276"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hideMark/>
          </w:tcPr>
          <w:p>
            <w:pPr>
              <w:jc w:val="right"/>
              <w:rPr>
                <w:noProof/>
                <w:color w:val="000000"/>
                <w:lang w:eastAsia="en-US"/>
              </w:rPr>
            </w:pPr>
            <w:r>
              <w:rPr>
                <w:noProof/>
                <w:color w:val="000000"/>
              </w:rPr>
              <w:t>11,295,651</w:t>
            </w:r>
          </w:p>
        </w:tc>
        <w:tc>
          <w:tcPr>
            <w:tcW w:w="1276"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center"/>
            <w:hideMark/>
          </w:tcPr>
          <w:p>
            <w:pPr>
              <w:jc w:val="right"/>
              <w:rPr>
                <w:noProof/>
                <w:color w:val="000000"/>
                <w:lang w:eastAsia="en-US"/>
              </w:rPr>
            </w:pPr>
            <w:r>
              <w:rPr>
                <w:noProof/>
                <w:color w:val="000000"/>
              </w:rPr>
              <w:t>11,124,064</w:t>
            </w:r>
          </w:p>
        </w:tc>
        <w:tc>
          <w:tcPr>
            <w:tcW w:w="1276"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bottom"/>
            <w:hideMark/>
          </w:tcPr>
          <w:p>
            <w:pPr>
              <w:jc w:val="right"/>
              <w:rPr>
                <w:noProof/>
                <w:color w:val="000000"/>
                <w:lang w:eastAsia="en-US"/>
              </w:rPr>
            </w:pPr>
            <w:r>
              <w:rPr>
                <w:noProof/>
                <w:color w:val="000000"/>
              </w:rPr>
              <w:t>-17.71</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impact of moving a country from the visa-required to the visa-free list can be seen most recently in the cases of Moldova, Colombia and Peru. Nationals from these countries became visa-free in 2014, 2015 and 2016, respectively. Table 4 summarises the decline in visa applications lodged in these countries following the visa waiver, which exceed 95% in the cases of Moldova and Colombia and reached 75% for Peru</w:t>
      </w:r>
      <w:r>
        <w:rPr>
          <w:rStyle w:val="FootnoteReference"/>
          <w:rFonts w:ascii="Times New Roman" w:hAnsi="Times New Roman" w:cs="Times New Roman"/>
          <w:noProof/>
          <w:szCs w:val="24"/>
        </w:rPr>
        <w:footnoteReference w:id="75"/>
      </w:r>
      <w:r>
        <w:rPr>
          <w:rFonts w:ascii="Times New Roman" w:hAnsi="Times New Roman" w:cs="Times New Roman"/>
          <w:noProof/>
          <w:sz w:val="24"/>
          <w:szCs w:val="24"/>
        </w:rPr>
        <w:t>. Similar effects can be expected from Georgia and Ukraine, the two most recent countries that became visa free. However, a comparable outcome did not take place in the United Arab Emirates, which also became visa-free in 2015: The high proportion of third-country nationals in the UAE – often from South Asia – who continued to remain subject to the visa requirement resulted in only a modest decline in the number of applications by 4%.</w:t>
      </w: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Table 4: Visa applications lodged in third countries that were moved to the visa-free list since 2014</w:t>
      </w:r>
    </w:p>
    <w:p>
      <w:pPr>
        <w:jc w:val="both"/>
        <w:rPr>
          <w:rFonts w:ascii="Times New Roman" w:hAnsi="Times New Roman" w:cs="Times New Roman"/>
          <w:noProof/>
          <w:sz w:val="20"/>
          <w:szCs w:val="24"/>
        </w:rPr>
      </w:pPr>
      <w:r>
        <w:rPr>
          <w:rFonts w:ascii="Times New Roman" w:hAnsi="Times New Roman" w:cs="Times New Roman"/>
          <w:noProof/>
          <w:sz w:val="20"/>
          <w:szCs w:val="24"/>
        </w:rPr>
        <w:t>The years in brackets indicate when the respective visa waiver became effective</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02"/>
        <w:gridCol w:w="1201"/>
        <w:gridCol w:w="1201"/>
        <w:gridCol w:w="1201"/>
        <w:gridCol w:w="1201"/>
        <w:gridCol w:w="1228"/>
      </w:tblGrid>
      <w:tr>
        <w:tc>
          <w:tcPr>
            <w:tcW w:w="2802" w:type="dxa"/>
            <w:tcBorders>
              <w:top w:val="nil"/>
              <w:left w:val="nil"/>
              <w:bottom w:val="single" w:sz="12" w:space="0" w:color="auto"/>
              <w:right w:val="single" w:sz="12" w:space="0" w:color="auto"/>
            </w:tcBorders>
            <w:vAlign w:val="center"/>
          </w:tcPr>
          <w:p>
            <w:pPr>
              <w:rPr>
                <w:b/>
                <w:noProof/>
                <w:lang w:eastAsia="en-US"/>
              </w:rPr>
            </w:pPr>
          </w:p>
        </w:tc>
        <w:tc>
          <w:tcPr>
            <w:tcW w:w="1201"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jc w:val="center"/>
              <w:rPr>
                <w:b/>
                <w:noProof/>
                <w:lang w:eastAsia="en-US"/>
              </w:rPr>
            </w:pPr>
            <w:r>
              <w:rPr>
                <w:b/>
                <w:noProof/>
              </w:rPr>
              <w:t>2013</w:t>
            </w:r>
          </w:p>
        </w:tc>
        <w:tc>
          <w:tcPr>
            <w:tcW w:w="12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pPr>
              <w:jc w:val="center"/>
              <w:rPr>
                <w:b/>
                <w:noProof/>
                <w:lang w:eastAsia="en-US"/>
              </w:rPr>
            </w:pPr>
            <w:r>
              <w:rPr>
                <w:b/>
                <w:noProof/>
              </w:rPr>
              <w:t>2014</w:t>
            </w:r>
          </w:p>
        </w:tc>
        <w:tc>
          <w:tcPr>
            <w:tcW w:w="12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pPr>
              <w:jc w:val="center"/>
              <w:rPr>
                <w:b/>
                <w:noProof/>
                <w:lang w:eastAsia="en-US"/>
              </w:rPr>
            </w:pPr>
            <w:r>
              <w:rPr>
                <w:b/>
                <w:noProof/>
              </w:rPr>
              <w:t>2015</w:t>
            </w:r>
          </w:p>
        </w:tc>
        <w:tc>
          <w:tcPr>
            <w:tcW w:w="12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pPr>
              <w:jc w:val="center"/>
              <w:rPr>
                <w:b/>
                <w:noProof/>
                <w:lang w:eastAsia="en-US"/>
              </w:rPr>
            </w:pPr>
            <w:r>
              <w:rPr>
                <w:b/>
                <w:noProof/>
              </w:rPr>
              <w:t>2016</w:t>
            </w:r>
          </w:p>
        </w:tc>
        <w:tc>
          <w:tcPr>
            <w:tcW w:w="1228"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pPr>
              <w:jc w:val="center"/>
              <w:rPr>
                <w:b/>
                <w:noProof/>
                <w:lang w:eastAsia="en-US"/>
              </w:rPr>
            </w:pPr>
            <w:r>
              <w:rPr>
                <w:b/>
                <w:noProof/>
              </w:rPr>
              <w:t>Change</w:t>
            </w:r>
            <w:r>
              <w:rPr>
                <w:b/>
                <w:noProof/>
              </w:rPr>
              <w:br/>
              <w:t>2013-2016 (%)</w:t>
            </w:r>
          </w:p>
        </w:tc>
      </w:tr>
      <w:tr>
        <w:tc>
          <w:tcPr>
            <w:tcW w:w="280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Moldova (2014)</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53,319</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13,932</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2,314</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2,069</w:t>
            </w:r>
          </w:p>
        </w:tc>
        <w:tc>
          <w:tcPr>
            <w:tcW w:w="1228"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-96.1</w:t>
            </w:r>
          </w:p>
        </w:tc>
      </w:tr>
      <w:tr>
        <w:tc>
          <w:tcPr>
            <w:tcW w:w="280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United Arab Emirates (2015)</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210,270</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253,765</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224,202</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201,995</w:t>
            </w:r>
          </w:p>
        </w:tc>
        <w:tc>
          <w:tcPr>
            <w:tcW w:w="1228"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-3.9</w:t>
            </w:r>
          </w:p>
        </w:tc>
      </w:tr>
      <w:tr>
        <w:tc>
          <w:tcPr>
            <w:tcW w:w="280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Colombia (2015)</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128,443</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133,200</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133,095</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2,223</w:t>
            </w:r>
          </w:p>
        </w:tc>
        <w:tc>
          <w:tcPr>
            <w:tcW w:w="1228"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-98.3</w:t>
            </w:r>
          </w:p>
        </w:tc>
      </w:tr>
      <w:tr>
        <w:tc>
          <w:tcPr>
            <w:tcW w:w="280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Peru (2016)</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54,163</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59,309</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66,950</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13,590</w:t>
            </w:r>
          </w:p>
        </w:tc>
        <w:tc>
          <w:tcPr>
            <w:tcW w:w="1228"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-74.9</w:t>
            </w:r>
          </w:p>
        </w:tc>
      </w:tr>
      <w:tr>
        <w:tc>
          <w:tcPr>
            <w:tcW w:w="280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Georgia (2017)</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82,156</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93,126</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100,549</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106,024</w:t>
            </w:r>
          </w:p>
        </w:tc>
        <w:tc>
          <w:tcPr>
            <w:tcW w:w="1228"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29.1</w:t>
            </w:r>
          </w:p>
        </w:tc>
      </w:tr>
      <w:tr>
        <w:tc>
          <w:tcPr>
            <w:tcW w:w="280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pPr>
              <w:rPr>
                <w:b/>
                <w:noProof/>
                <w:lang w:eastAsia="en-US"/>
              </w:rPr>
            </w:pPr>
            <w:r>
              <w:rPr>
                <w:b/>
                <w:noProof/>
              </w:rPr>
              <w:t>Ukraine (2017)</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1,589,963</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1,387,086</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1,233,530</w:t>
            </w:r>
          </w:p>
        </w:tc>
        <w:tc>
          <w:tcPr>
            <w:tcW w:w="1201" w:type="dxa"/>
            <w:tcBorders>
              <w:top w:val="single" w:sz="6" w:space="0" w:color="auto"/>
              <w:left w:val="single" w:sz="6" w:space="0" w:color="auto"/>
              <w:bottom w:val="single" w:sz="6" w:space="0" w:color="auto"/>
              <w:right w:val="single" w:sz="6" w:space="0" w:color="auto"/>
            </w:tcBorders>
            <w:vAlign w:val="center"/>
            <w:hideMark/>
          </w:tcPr>
          <w:p>
            <w:pPr>
              <w:jc w:val="right"/>
              <w:rPr>
                <w:noProof/>
                <w:color w:val="000000"/>
                <w:lang w:eastAsia="en-US"/>
              </w:rPr>
            </w:pPr>
            <w:r>
              <w:rPr>
                <w:noProof/>
                <w:color w:val="000000"/>
              </w:rPr>
              <w:t>1,411,950</w:t>
            </w:r>
          </w:p>
        </w:tc>
        <w:tc>
          <w:tcPr>
            <w:tcW w:w="1228" w:type="dxa"/>
            <w:tcBorders>
              <w:top w:val="single" w:sz="6" w:space="0" w:color="auto"/>
              <w:left w:val="single" w:sz="6" w:space="0" w:color="auto"/>
              <w:bottom w:val="single" w:sz="6" w:space="0" w:color="auto"/>
              <w:right w:val="single" w:sz="12" w:space="0" w:color="auto"/>
            </w:tcBorders>
            <w:vAlign w:val="bottom"/>
            <w:hideMark/>
          </w:tcPr>
          <w:p>
            <w:pPr>
              <w:jc w:val="right"/>
              <w:rPr>
                <w:noProof/>
                <w:color w:val="000000"/>
                <w:lang w:eastAsia="en-US"/>
              </w:rPr>
            </w:pPr>
            <w:r>
              <w:rPr>
                <w:noProof/>
                <w:color w:val="000000"/>
              </w:rPr>
              <w:t>-11.2</w:t>
            </w:r>
          </w:p>
        </w:tc>
      </w:tr>
      <w:tr>
        <w:tc>
          <w:tcPr>
            <w:tcW w:w="2802" w:type="dxa"/>
            <w:tcBorders>
              <w:top w:val="single" w:sz="6" w:space="0" w:color="auto"/>
              <w:left w:val="single" w:sz="12" w:space="0" w:color="auto"/>
              <w:bottom w:val="single" w:sz="12" w:space="0" w:color="auto"/>
              <w:right w:val="single" w:sz="6" w:space="0" w:color="auto"/>
            </w:tcBorders>
            <w:shd w:val="clear" w:color="auto" w:fill="BFBFBF" w:themeFill="background1" w:themeFillShade="BF"/>
            <w:vAlign w:val="center"/>
            <w:hideMark/>
          </w:tcPr>
          <w:p>
            <w:pPr>
              <w:jc w:val="center"/>
              <w:rPr>
                <w:b/>
                <w:noProof/>
                <w:lang w:eastAsia="en-US"/>
              </w:rPr>
            </w:pPr>
            <w:r>
              <w:rPr>
                <w:b/>
                <w:noProof/>
              </w:rPr>
              <w:t>TOTAL</w:t>
            </w:r>
          </w:p>
        </w:tc>
        <w:tc>
          <w:tcPr>
            <w:tcW w:w="1201"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bottom"/>
            <w:hideMark/>
          </w:tcPr>
          <w:p>
            <w:pPr>
              <w:jc w:val="right"/>
              <w:rPr>
                <w:noProof/>
                <w:color w:val="000000"/>
                <w:lang w:eastAsia="en-US"/>
              </w:rPr>
            </w:pPr>
            <w:r>
              <w:rPr>
                <w:noProof/>
                <w:color w:val="000000"/>
              </w:rPr>
              <w:t>2,118,314</w:t>
            </w:r>
          </w:p>
        </w:tc>
        <w:tc>
          <w:tcPr>
            <w:tcW w:w="1201"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bottom"/>
            <w:hideMark/>
          </w:tcPr>
          <w:p>
            <w:pPr>
              <w:jc w:val="right"/>
              <w:rPr>
                <w:noProof/>
                <w:color w:val="000000"/>
                <w:lang w:eastAsia="en-US"/>
              </w:rPr>
            </w:pPr>
            <w:r>
              <w:rPr>
                <w:noProof/>
                <w:color w:val="000000"/>
              </w:rPr>
              <w:t>1,940,418</w:t>
            </w:r>
          </w:p>
        </w:tc>
        <w:tc>
          <w:tcPr>
            <w:tcW w:w="1201"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bottom"/>
            <w:hideMark/>
          </w:tcPr>
          <w:p>
            <w:pPr>
              <w:jc w:val="right"/>
              <w:rPr>
                <w:noProof/>
                <w:color w:val="000000"/>
                <w:lang w:eastAsia="en-US"/>
              </w:rPr>
            </w:pPr>
            <w:r>
              <w:rPr>
                <w:noProof/>
                <w:color w:val="000000"/>
              </w:rPr>
              <w:t>1,760,640</w:t>
            </w:r>
          </w:p>
        </w:tc>
        <w:tc>
          <w:tcPr>
            <w:tcW w:w="1201" w:type="dxa"/>
            <w:tcBorders>
              <w:top w:val="single" w:sz="6" w:space="0" w:color="auto"/>
              <w:left w:val="single" w:sz="6" w:space="0" w:color="auto"/>
              <w:bottom w:val="single" w:sz="12" w:space="0" w:color="auto"/>
              <w:right w:val="single" w:sz="6" w:space="0" w:color="auto"/>
            </w:tcBorders>
            <w:shd w:val="clear" w:color="auto" w:fill="BFBFBF" w:themeFill="background1" w:themeFillShade="BF"/>
            <w:vAlign w:val="bottom"/>
            <w:hideMark/>
          </w:tcPr>
          <w:p>
            <w:pPr>
              <w:jc w:val="right"/>
              <w:rPr>
                <w:noProof/>
                <w:color w:val="000000"/>
                <w:lang w:eastAsia="en-US"/>
              </w:rPr>
            </w:pPr>
            <w:r>
              <w:rPr>
                <w:noProof/>
                <w:color w:val="000000"/>
              </w:rPr>
              <w:t>1,737,851</w:t>
            </w:r>
          </w:p>
        </w:tc>
        <w:tc>
          <w:tcPr>
            <w:tcW w:w="1228" w:type="dxa"/>
            <w:tcBorders>
              <w:top w:val="single" w:sz="6" w:space="0" w:color="auto"/>
              <w:left w:val="single" w:sz="6" w:space="0" w:color="auto"/>
              <w:bottom w:val="single" w:sz="12" w:space="0" w:color="auto"/>
              <w:right w:val="single" w:sz="12" w:space="0" w:color="auto"/>
            </w:tcBorders>
            <w:shd w:val="clear" w:color="auto" w:fill="BFBFBF" w:themeFill="background1" w:themeFillShade="BF"/>
            <w:vAlign w:val="bottom"/>
            <w:hideMark/>
          </w:tcPr>
          <w:p>
            <w:pPr>
              <w:jc w:val="right"/>
              <w:rPr>
                <w:noProof/>
                <w:color w:val="000000"/>
                <w:lang w:eastAsia="en-US"/>
              </w:rPr>
            </w:pPr>
            <w:r>
              <w:rPr>
                <w:noProof/>
                <w:color w:val="000000"/>
              </w:rPr>
              <w:t>-18.0</w:t>
            </w:r>
          </w:p>
        </w:tc>
      </w:tr>
    </w:tbl>
    <w:p>
      <w:pPr>
        <w:jc w:val="both"/>
        <w:rPr>
          <w:rFonts w:ascii="Times New Roman" w:hAnsi="Times New Roman" w:cs="Times New Roman"/>
          <w:noProof/>
          <w:sz w:val="24"/>
          <w:szCs w:val="24"/>
        </w:rPr>
      </w:pPr>
    </w:p>
    <w:p>
      <w:pPr>
        <w:pStyle w:val="Heading2"/>
        <w:numPr>
          <w:ilvl w:val="0"/>
          <w:numId w:val="24"/>
        </w:numPr>
        <w:rPr>
          <w:noProof/>
          <w:szCs w:val="24"/>
        </w:rPr>
      </w:pPr>
      <w:bookmarkStart w:id="93" w:name="_Toc505007398"/>
      <w:bookmarkStart w:id="94" w:name="_Toc507148523"/>
      <w:r>
        <w:rPr>
          <w:noProof/>
          <w:szCs w:val="24"/>
        </w:rPr>
        <w:t>Conclusion</w:t>
      </w:r>
      <w:bookmarkEnd w:id="93"/>
      <w:bookmarkEnd w:id="94"/>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Several findings of the comprehensive evaluation of the Visa Code conducted in 2014 remain valid today. First among these is the continuing lack of harmonisation between Member States regarding the issuing of multiple-entry visas with long validity to facilitate legitimate (frequent) travel by </w:t>
      </w:r>
      <w:r>
        <w:rPr>
          <w:rFonts w:ascii="Times New Roman" w:hAnsi="Times New Roman" w:cs="Times New Roman"/>
          <w:i/>
          <w:noProof/>
          <w:sz w:val="24"/>
          <w:szCs w:val="24"/>
        </w:rPr>
        <w:t>bona fide</w:t>
      </w:r>
      <w:r>
        <w:rPr>
          <w:rFonts w:ascii="Times New Roman" w:hAnsi="Times New Roman" w:cs="Times New Roman"/>
          <w:noProof/>
          <w:sz w:val="24"/>
          <w:szCs w:val="24"/>
        </w:rPr>
        <w:t xml:space="preserve"> applicants. The impact assessment examines in detail the different options for remedying this problem. The complications caused by the lack of detailed visa statistics also persist, as do a series of minor technical issues identified in the 2014 report. This includes the application form, which could be simplified, the deadlines for lodging applications, which could be extended, and the legal framework for cooperation with external service providers, which could be strengthened.</w:t>
      </w:r>
    </w:p>
    <w:p>
      <w:pPr>
        <w:jc w:val="both"/>
        <w:rPr>
          <w:rFonts w:ascii="Times New Roman" w:hAnsi="Times New Roman" w:cs="Times New Roman"/>
          <w:noProof/>
          <w:sz w:val="24"/>
          <w:szCs w:val="24"/>
        </w:rPr>
      </w:pPr>
      <w:r>
        <w:rPr>
          <w:rFonts w:ascii="Times New Roman" w:hAnsi="Times New Roman" w:cs="Times New Roman"/>
          <w:noProof/>
          <w:sz w:val="24"/>
          <w:szCs w:val="24"/>
        </w:rPr>
        <w:t>Conversely, some of the problem areas identified in the 2014 evaluation have seen significant progress. After a slow start, Local Schengen Cooperation in an increasing number of locations is fulfilling its role in drawing up harmonised lists of supporting documents, reducing a key source for divergent practices between Member States. As shown in the stakeholder consultation, Local Schengen Cooperation seems to be an instrument that is appreciated by Member States, so its legal framework could be strengthened.</w:t>
      </w:r>
    </w:p>
    <w:p>
      <w:pPr>
        <w:jc w:val="both"/>
        <w:rPr>
          <w:rFonts w:ascii="Times New Roman" w:hAnsi="Times New Roman" w:cs="Times New Roman"/>
          <w:noProof/>
          <w:sz w:val="24"/>
          <w:szCs w:val="24"/>
        </w:rPr>
      </w:pPr>
      <w:r>
        <w:rPr>
          <w:rFonts w:ascii="Times New Roman" w:hAnsi="Times New Roman" w:cs="Times New Roman"/>
          <w:noProof/>
          <w:sz w:val="24"/>
          <w:szCs w:val="24"/>
        </w:rPr>
        <w:t>Progress has notably been made also with regard to the expansion of consular coverage, making it easier for travellers to lodge their applications at an external service provider or a consulate representing the competent Member State. This problem is therefore much less pressing than it was in 2014. At the same time, the closure of consulates over the past four years reflects at least in part the fact that the current level of the visa fee is insufficient to cover the administrative costs of Member States, an issue which is examined in the impact assessment.</w:t>
      </w:r>
    </w:p>
    <w:p>
      <w:pPr>
        <w:jc w:val="both"/>
        <w:rPr>
          <w:rStyle w:val="Strong"/>
          <w:rFonts w:ascii="Times New Roman" w:hAnsi="Times New Roman" w:cs="Times New Roman"/>
          <w:noProof/>
          <w:sz w:val="24"/>
          <w:szCs w:val="24"/>
        </w:rPr>
      </w:pPr>
      <w:r>
        <w:rPr>
          <w:rFonts w:ascii="Times New Roman" w:hAnsi="Times New Roman" w:cs="Times New Roman"/>
          <w:noProof/>
          <w:sz w:val="24"/>
          <w:szCs w:val="24"/>
        </w:rPr>
        <w:t xml:space="preserve">The most important developments since 2014 do not concern the implementation of the Visa Code </w:t>
      </w:r>
      <w:r>
        <w:rPr>
          <w:rFonts w:ascii="Times New Roman" w:hAnsi="Times New Roman" w:cs="Times New Roman"/>
          <w:i/>
          <w:noProof/>
          <w:sz w:val="24"/>
          <w:szCs w:val="24"/>
        </w:rPr>
        <w:t>per se</w:t>
      </w:r>
      <w:r>
        <w:rPr>
          <w:rFonts w:ascii="Times New Roman" w:hAnsi="Times New Roman" w:cs="Times New Roman"/>
          <w:noProof/>
          <w:sz w:val="24"/>
          <w:szCs w:val="24"/>
        </w:rPr>
        <w:t>, but the migratory and security environment that affects the Schengen area as a whole. Whereas the jobs and growth potential of the common visa policy was very much at the centre of attention four years ago, leveraging visa policy in managing migration challenges has now also moved to the forefront of policy objectives. The impact assessment therefore examines different options for designing the link between visa policy and the EU's readmission policy.</w:t>
      </w:r>
    </w:p>
    <w:p>
      <w:pPr>
        <w:rPr>
          <w:noProof/>
        </w:rPr>
      </w:pPr>
    </w:p>
    <w:p>
      <w:pPr>
        <w:rPr>
          <w:noProof/>
        </w:rPr>
      </w:pPr>
      <w:r>
        <w:rPr>
          <w:noProof/>
        </w:rPr>
        <w:br w:type="page"/>
      </w:r>
    </w:p>
    <w:p>
      <w:pPr>
        <w:rPr>
          <w:noProof/>
        </w:rPr>
        <w:sectPr>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sectPr>
      </w:pPr>
    </w:p>
    <w:p>
      <w:pPr>
        <w:pStyle w:val="AnnexTitle"/>
        <w:rPr>
          <w:noProof/>
        </w:rPr>
      </w:pPr>
      <w:bookmarkStart w:id="95" w:name="_Toc507148524"/>
      <w:r>
        <w:rPr>
          <w:noProof/>
        </w:rPr>
        <w:t>Annex 5: Visa fee</w:t>
      </w:r>
      <w:bookmarkEnd w:id="95"/>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Part 1: Summary of the questionnaire survey on the visa fee (2016)</w:t>
      </w:r>
    </w:p>
    <w:p>
      <w:pPr>
        <w:pStyle w:val="ListParagraph"/>
        <w:numPr>
          <w:ilvl w:val="0"/>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carried out a </w:t>
      </w:r>
      <w:r>
        <w:rPr>
          <w:rFonts w:ascii="Times New Roman" w:hAnsi="Times New Roman" w:cs="Times New Roman"/>
          <w:b/>
          <w:noProof/>
          <w:sz w:val="24"/>
          <w:szCs w:val="24"/>
        </w:rPr>
        <w:t>questionnaire survey among Member States</w:t>
      </w:r>
      <w:r>
        <w:rPr>
          <w:rFonts w:ascii="Times New Roman" w:hAnsi="Times New Roman" w:cs="Times New Roman"/>
          <w:noProof/>
          <w:sz w:val="24"/>
          <w:szCs w:val="24"/>
        </w:rPr>
        <w:t xml:space="preserve"> on various aspects linked to establishing the level of the visa fee</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cost of processing a visa application; </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methodology to be followed to make a (common) calculation; </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suggestions for the basic visa fee; </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should the flat rate visa fee be maintained or a progressive fee be charged depending on the length of validity of the issued visa; </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should a higher visa fee be charged to nationals of third countries that charge 'exorbitant' visa fees to EU citizens ('reciprocity').</w:t>
      </w:r>
    </w:p>
    <w:p>
      <w:pPr>
        <w:pStyle w:val="ListParagraph"/>
        <w:numPr>
          <w:ilvl w:val="0"/>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21 out of 30 Schengen Member States responded.</w:t>
      </w:r>
    </w:p>
    <w:p>
      <w:pPr>
        <w:pStyle w:val="ListParagraph"/>
        <w:numPr>
          <w:ilvl w:val="0"/>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3 Member States are in favour of </w:t>
      </w:r>
      <w:r>
        <w:rPr>
          <w:rFonts w:ascii="Times New Roman" w:hAnsi="Times New Roman" w:cs="Times New Roman"/>
          <w:b/>
          <w:noProof/>
          <w:sz w:val="24"/>
          <w:szCs w:val="24"/>
        </w:rPr>
        <w:t>maintaining</w:t>
      </w:r>
      <w:r>
        <w:rPr>
          <w:rFonts w:ascii="Times New Roman" w:hAnsi="Times New Roman" w:cs="Times New Roman"/>
          <w:noProof/>
          <w:sz w:val="24"/>
          <w:szCs w:val="24"/>
        </w:rPr>
        <w:t xml:space="preserve"> the fee at current level. All others favour </w:t>
      </w:r>
      <w:r>
        <w:rPr>
          <w:rFonts w:ascii="Times New Roman" w:hAnsi="Times New Roman" w:cs="Times New Roman"/>
          <w:b/>
          <w:noProof/>
          <w:sz w:val="24"/>
          <w:szCs w:val="24"/>
        </w:rPr>
        <w:t>increasing</w:t>
      </w:r>
      <w:r>
        <w:rPr>
          <w:rFonts w:ascii="Times New Roman" w:hAnsi="Times New Roman" w:cs="Times New Roman"/>
          <w:noProof/>
          <w:sz w:val="24"/>
          <w:szCs w:val="24"/>
        </w:rPr>
        <w:t xml:space="preserve"> the fee. No Member State is in favour of lowering the visa fee.</w:t>
      </w:r>
    </w:p>
    <w:p>
      <w:pPr>
        <w:pStyle w:val="ListParagraph"/>
        <w:numPr>
          <w:ilvl w:val="0"/>
          <w:numId w:val="16"/>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generally favour the visa fee to correspond to the </w:t>
      </w:r>
      <w:r>
        <w:rPr>
          <w:rFonts w:ascii="Times New Roman" w:hAnsi="Times New Roman" w:cs="Times New Roman"/>
          <w:b/>
          <w:noProof/>
          <w:sz w:val="24"/>
          <w:szCs w:val="24"/>
        </w:rPr>
        <w:t>administrative costs</w:t>
      </w:r>
      <w:r>
        <w:rPr>
          <w:rFonts w:ascii="Times New Roman" w:hAnsi="Times New Roman" w:cs="Times New Roman"/>
          <w:noProof/>
          <w:sz w:val="24"/>
          <w:szCs w:val="24"/>
        </w:rPr>
        <w:t xml:space="preserve">. 2 Member States suggested a harmonised methodology for calculating the administrative costs. </w:t>
      </w:r>
    </w:p>
    <w:p>
      <w:pPr>
        <w:pStyle w:val="ListParagraph"/>
        <w:numPr>
          <w:ilvl w:val="0"/>
          <w:numId w:val="16"/>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3 Member States stressed the importance of a </w:t>
      </w:r>
      <w:r>
        <w:rPr>
          <w:rFonts w:ascii="Times New Roman" w:hAnsi="Times New Roman" w:cs="Times New Roman"/>
          <w:b/>
          <w:noProof/>
          <w:sz w:val="24"/>
          <w:szCs w:val="24"/>
        </w:rPr>
        <w:t>regular review</w:t>
      </w:r>
      <w:r>
        <w:rPr>
          <w:rFonts w:ascii="Times New Roman" w:hAnsi="Times New Roman" w:cs="Times New Roman"/>
          <w:noProof/>
          <w:sz w:val="24"/>
          <w:szCs w:val="24"/>
        </w:rPr>
        <w:t xml:space="preserve"> of the visa fee level to reflect the actual situation.</w:t>
      </w:r>
    </w:p>
    <w:p>
      <w:pPr>
        <w:pStyle w:val="ListParagraph"/>
        <w:numPr>
          <w:ilvl w:val="0"/>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8 Member States suggested </w:t>
      </w:r>
      <w:r>
        <w:rPr>
          <w:rFonts w:ascii="Times New Roman" w:hAnsi="Times New Roman" w:cs="Times New Roman"/>
          <w:b/>
          <w:noProof/>
          <w:sz w:val="24"/>
          <w:szCs w:val="24"/>
        </w:rPr>
        <w:t>specific amounts</w:t>
      </w:r>
      <w:r>
        <w:rPr>
          <w:rFonts w:ascii="Times New Roman" w:hAnsi="Times New Roman" w:cs="Times New Roman"/>
          <w:noProof/>
          <w:sz w:val="24"/>
          <w:szCs w:val="24"/>
        </w:rPr>
        <w:t>, ranging from 65 to 143 EUR (basic fee).</w:t>
      </w:r>
    </w:p>
    <w:p>
      <w:pPr>
        <w:pStyle w:val="ListParagraph"/>
        <w:numPr>
          <w:ilvl w:val="0"/>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11 Member States suggested a </w:t>
      </w:r>
      <w:r>
        <w:rPr>
          <w:rFonts w:ascii="Times New Roman" w:hAnsi="Times New Roman" w:cs="Times New Roman"/>
          <w:b/>
          <w:noProof/>
          <w:sz w:val="24"/>
          <w:szCs w:val="24"/>
        </w:rPr>
        <w:t>"flat rate" visa fee</w:t>
      </w:r>
      <w:r>
        <w:rPr>
          <w:rFonts w:ascii="Times New Roman" w:hAnsi="Times New Roman" w:cs="Times New Roman"/>
          <w:noProof/>
          <w:sz w:val="24"/>
          <w:szCs w:val="24"/>
        </w:rPr>
        <w:t xml:space="preserve">, while 5 favour a differentiated visa fee, suggesting different models: </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for reasons of simplicity: only 2 different fees: SEV and MEV; </w:t>
      </w:r>
    </w:p>
    <w:p>
      <w:pPr>
        <w:pStyle w:val="ListParagraph"/>
        <w:numPr>
          <w:ilvl w:val="1"/>
          <w:numId w:val="15"/>
        </w:numPr>
        <w:spacing w:after="0" w:line="240" w:lineRule="auto"/>
        <w:contextualSpacing w:val="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airport transit visa: 40 EUR; others 100 EUR; application at border crossing point: 200 EUR; </w:t>
      </w:r>
    </w:p>
    <w:p>
      <w:pPr>
        <w:pStyle w:val="ListParagraph"/>
        <w:numPr>
          <w:ilvl w:val="1"/>
          <w:numId w:val="15"/>
        </w:numPr>
        <w:spacing w:after="0" w:line="240" w:lineRule="auto"/>
        <w:contextualSpacing w:val="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airport transit visa: 40 EUR; 6 month visa (SEV or MEV): 60 EUR; 1 year visa: 90 EUR; 2 year visa: 90 EUR; 3 year visa: 120 EUR; 4 year visa: 120 EUR; 5 year visa: 150 EUR;</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starting with 60 EUR, every additional year progressively increases the costs (60-120-180-240-300).</w:t>
      </w:r>
    </w:p>
    <w:p>
      <w:pPr>
        <w:pStyle w:val="ListParagraph"/>
        <w:numPr>
          <w:ilvl w:val="0"/>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visa fee reciprocity</w:t>
      </w:r>
      <w:r>
        <w:rPr>
          <w:rFonts w:ascii="Times New Roman" w:hAnsi="Times New Roman" w:cs="Times New Roman"/>
          <w:noProof/>
          <w:sz w:val="24"/>
          <w:szCs w:val="24"/>
        </w:rPr>
        <w:t xml:space="preserve"> only 9 Member States replied. Most of them want to increase the fees in case of very high fees charged by a third country, except 3 (which foresee practical problems in implementing reciprocity).</w:t>
      </w:r>
    </w:p>
    <w:p>
      <w:pPr>
        <w:pStyle w:val="ListParagraph"/>
        <w:numPr>
          <w:ilvl w:val="0"/>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10 Member States responded to the question of </w:t>
      </w:r>
      <w:r>
        <w:rPr>
          <w:rFonts w:ascii="Times New Roman" w:hAnsi="Times New Roman" w:cs="Times New Roman"/>
          <w:b/>
          <w:noProof/>
          <w:sz w:val="24"/>
          <w:szCs w:val="24"/>
        </w:rPr>
        <w:t>methodology for calculating administrative costs</w:t>
      </w:r>
      <w:r>
        <w:rPr>
          <w:rFonts w:ascii="Times New Roman" w:hAnsi="Times New Roman" w:cs="Times New Roman"/>
          <w:noProof/>
          <w:sz w:val="24"/>
          <w:szCs w:val="24"/>
        </w:rPr>
        <w:t xml:space="preserve"> but only 2 provided concrete calculations; others suggested some factors to be included into the calculation of administrative costs. There is consensus that the following factors should be included:</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overall costs of infrastructure like property;</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IT-systems; </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staff and staff related costs;</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logistics;</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visa sticker production.</w:t>
      </w:r>
    </w:p>
    <w:p>
      <w:pPr>
        <w:pStyle w:val="ListParagraph"/>
        <w:numPr>
          <w:ilvl w:val="0"/>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Some Member States also suggested the following factors to be included:</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administrative costs of issuing visas at the embassies/consulates and at the borders; </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migration court of justice (average expenditures of appeals) / costs related to legal disputes, legal activities like court fees;</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costs of headquarters (MFA, MOI);</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whole process from website information on visa applications to internal appeal procedures handled by the consulates/MFAs;</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costs of ongoing operation and travelling;</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costs of operating systems concerning biometry like BIONET, BIODEV, VISABIO;</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costs of delivering visas to the borders;</w:t>
      </w:r>
    </w:p>
    <w:p>
      <w:pPr>
        <w:pStyle w:val="ListParagraph"/>
        <w:numPr>
          <w:ilvl w:val="1"/>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costs of training.</w:t>
      </w:r>
    </w:p>
    <w:p>
      <w:pPr>
        <w:pStyle w:val="ListParagraph"/>
        <w:numPr>
          <w:ilvl w:val="0"/>
          <w:numId w:val="1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Two different </w:t>
      </w:r>
      <w:r>
        <w:rPr>
          <w:rFonts w:ascii="Times New Roman" w:hAnsi="Times New Roman" w:cs="Times New Roman"/>
          <w:b/>
          <w:noProof/>
          <w:sz w:val="24"/>
          <w:szCs w:val="24"/>
        </w:rPr>
        <w:t>calculation methods</w:t>
      </w:r>
      <w:r>
        <w:rPr>
          <w:rFonts w:ascii="Times New Roman" w:hAnsi="Times New Roman" w:cs="Times New Roman"/>
          <w:noProof/>
          <w:sz w:val="24"/>
          <w:szCs w:val="24"/>
        </w:rPr>
        <w:t xml:space="preserve"> were proposed (see part 2 for details):</w:t>
      </w:r>
    </w:p>
    <w:p>
      <w:pPr>
        <w:pStyle w:val="ListParagraph"/>
        <w:rPr>
          <w:rFonts w:ascii="Times New Roman" w:hAnsi="Times New Roman" w:cs="Times New Roman"/>
          <w:noProof/>
        </w:rPr>
      </w:pPr>
    </w:p>
    <w:p>
      <w:pPr>
        <w:spacing w:line="240" w:lineRule="auto"/>
        <w:rPr>
          <w:rFonts w:ascii="Times New Roman" w:hAnsi="Times New Roman" w:cs="Times New Roman"/>
          <w:noProof/>
          <w:u w:val="single"/>
          <w:lang w:val="en-US"/>
        </w:rPr>
      </w:pPr>
      <w:r>
        <w:rPr>
          <w:rFonts w:ascii="Times New Roman" w:hAnsi="Times New Roman" w:cs="Times New Roman"/>
          <w:noProof/>
          <w:u w:val="single"/>
          <w:lang w:val="en-US"/>
        </w:rPr>
        <w:t>Method Member State 1:</w:t>
      </w:r>
    </w:p>
    <w:p>
      <w:pPr>
        <w:spacing w:line="240" w:lineRule="auto"/>
        <w:rPr>
          <w:rFonts w:ascii="Times New Roman" w:hAnsi="Times New Roman" w:cs="Times New Roman"/>
          <w:noProof/>
          <w:u w:val="single"/>
          <w:lang w:val="en-US"/>
        </w:rPr>
      </w:pPr>
      <m:oMathPara>
        <m:oMathParaPr>
          <m:jc m:val="left"/>
        </m:oMathParaPr>
        <m:oMath>
          <m:r>
            <w:rPr>
              <w:rFonts w:ascii="Cambria Math" w:hAnsi="Cambria Math" w:cs="Cambria Math"/>
              <w:noProof/>
              <w:lang w:val="en-US"/>
            </w:rPr>
            <m:t xml:space="preserve">administrative costs </m:t>
          </m:r>
          <m:d>
            <m:dPr>
              <m:ctrlPr>
                <w:rPr>
                  <w:rFonts w:ascii="Cambria Math" w:hAnsi="Cambria Math" w:cs="Cambria Math"/>
                  <w:i/>
                  <w:noProof/>
                  <w:lang w:val="en-US"/>
                </w:rPr>
              </m:ctrlPr>
            </m:dPr>
            <m:e>
              <m:r>
                <w:rPr>
                  <w:rFonts w:ascii="Cambria Math" w:hAnsi="Cambria Math" w:cs="Cambria Math"/>
                  <w:noProof/>
                  <w:lang w:val="en-US"/>
                </w:rPr>
                <m:t>per visa application</m:t>
              </m:r>
            </m:e>
          </m:d>
        </m:oMath>
      </m:oMathPara>
    </w:p>
    <w:p>
      <w:pPr>
        <w:spacing w:line="240" w:lineRule="auto"/>
        <w:rPr>
          <w:rFonts w:ascii="Times New Roman" w:hAnsi="Times New Roman" w:cs="Times New Roman"/>
          <w:noProof/>
        </w:rPr>
      </w:pPr>
      <m:oMathPara>
        <m:oMath>
          <m:r>
            <w:rPr>
              <w:rFonts w:ascii="Cambria Math" w:hAnsi="Cambria Math" w:cs="Cambria Math"/>
              <w:noProof/>
              <w:lang w:val="en-US"/>
            </w:rPr>
            <m:t xml:space="preserve"> </m:t>
          </m:r>
          <m:r>
            <m:rPr>
              <m:sty m:val="p"/>
            </m:rPr>
            <w:rPr>
              <w:rFonts w:ascii="Cambria Math" w:hAnsi="Cambria Math" w:cs="Cambria Math"/>
              <w:noProof/>
              <w:lang w:val="en-US"/>
            </w:rPr>
            <m:t>=</m:t>
          </m:r>
          <m:f>
            <m:fPr>
              <m:ctrlPr>
                <w:rPr>
                  <w:rFonts w:ascii="Cambria Math" w:hAnsi="Cambria Math" w:cs="Times New Roman"/>
                  <w:noProof/>
                  <w:lang w:val="en-US"/>
                </w:rPr>
              </m:ctrlPr>
            </m:fPr>
            <m:num>
              <m:r>
                <m:rPr>
                  <m:sty m:val="p"/>
                </m:rPr>
                <w:rPr>
                  <w:rFonts w:ascii="Cambria Math" w:hAnsi="Cambria Math" w:cs="Cambria Math"/>
                  <w:noProof/>
                  <w:lang w:val="en-US"/>
                </w:rPr>
                <m:t>total costs of visa-costs of national visa-revenues of visa facilitation</m:t>
              </m:r>
            </m:num>
            <m:den>
              <m:r>
                <m:rPr>
                  <m:sty m:val="p"/>
                </m:rPr>
                <w:rPr>
                  <w:rFonts w:ascii="Cambria Math" w:hAnsi="Cambria Math" w:cs="Cambria Math"/>
                  <w:noProof/>
                  <w:lang w:val="en-US"/>
                </w:rPr>
                <m:t>number of full paying applicants</m:t>
              </m:r>
            </m:den>
          </m:f>
        </m:oMath>
      </m:oMathPara>
    </w:p>
    <w:p>
      <w:pPr>
        <w:spacing w:line="240" w:lineRule="auto"/>
        <w:rPr>
          <w:rFonts w:ascii="Times New Roman" w:hAnsi="Times New Roman" w:cs="Times New Roman"/>
          <w:noProof/>
          <w:u w:val="single"/>
        </w:rPr>
      </w:pPr>
      <w:r>
        <w:rPr>
          <w:rFonts w:ascii="Times New Roman" w:hAnsi="Times New Roman" w:cs="Times New Roman"/>
          <w:noProof/>
          <w:u w:val="single"/>
        </w:rPr>
        <w:t xml:space="preserve">Method Member State 2: </w:t>
      </w:r>
    </w:p>
    <w:p>
      <w:pPr>
        <w:spacing w:line="240" w:lineRule="auto"/>
        <w:rPr>
          <w:rFonts w:ascii="Times New Roman" w:hAnsi="Times New Roman" w:cs="Times New Roman"/>
          <w:noProof/>
          <w:u w:val="single"/>
          <w:lang w:val="en-US"/>
        </w:rPr>
      </w:pPr>
      <m:oMathPara>
        <m:oMathParaPr>
          <m:jc m:val="left"/>
        </m:oMathParaPr>
        <m:oMath>
          <m:r>
            <w:rPr>
              <w:rFonts w:ascii="Cambria Math" w:hAnsi="Cambria Math" w:cs="Cambria Math"/>
              <w:noProof/>
              <w:lang w:val="en-US"/>
            </w:rPr>
            <m:t xml:space="preserve">administrative costs </m:t>
          </m:r>
          <m:d>
            <m:dPr>
              <m:ctrlPr>
                <w:rPr>
                  <w:rFonts w:ascii="Cambria Math" w:hAnsi="Cambria Math" w:cs="Cambria Math"/>
                  <w:i/>
                  <w:noProof/>
                  <w:lang w:val="en-US"/>
                </w:rPr>
              </m:ctrlPr>
            </m:dPr>
            <m:e>
              <m:r>
                <w:rPr>
                  <w:rFonts w:ascii="Cambria Math" w:hAnsi="Cambria Math" w:cs="Cambria Math"/>
                  <w:noProof/>
                  <w:lang w:val="en-US"/>
                </w:rPr>
                <m:t>per visa application</m:t>
              </m:r>
            </m:e>
          </m:d>
        </m:oMath>
      </m:oMathPara>
    </w:p>
    <w:p>
      <w:pPr>
        <w:spacing w:line="240" w:lineRule="auto"/>
        <w:rPr>
          <w:rFonts w:ascii="Times New Roman" w:eastAsiaTheme="minorEastAsia" w:hAnsi="Times New Roman" w:cs="Times New Roman"/>
          <w:noProof/>
        </w:rPr>
      </w:pPr>
      <m:oMathPara>
        <m:oMath>
          <m:r>
            <w:rPr>
              <w:rFonts w:ascii="Cambria Math" w:eastAsiaTheme="minorEastAsia" w:hAnsi="Cambria Math" w:cs="Times New Roman"/>
              <w:noProof/>
            </w:rPr>
            <m:t>=average processing time of one visa application*</m:t>
          </m:r>
          <m:f>
            <m:fPr>
              <m:ctrlPr>
                <w:rPr>
                  <w:rFonts w:ascii="Cambria Math" w:eastAsiaTheme="minorEastAsia" w:hAnsi="Cambria Math" w:cs="Times New Roman"/>
                  <w:i/>
                  <w:noProof/>
                </w:rPr>
              </m:ctrlPr>
            </m:fPr>
            <m:num>
              <m:r>
                <w:rPr>
                  <w:rFonts w:ascii="Cambria Math" w:eastAsiaTheme="minorEastAsia" w:hAnsi="Cambria Math" w:cs="Times New Roman"/>
                  <w:noProof/>
                </w:rPr>
                <m:t>hourly wage</m:t>
              </m:r>
              <m:r>
                <w:rPr>
                  <w:rStyle w:val="FootnoteReference"/>
                  <w:rFonts w:ascii="Cambria Math" w:eastAsiaTheme="minorEastAsia" w:hAnsi="Cambria Math" w:cs="Times New Roman"/>
                  <w:i/>
                  <w:noProof/>
                </w:rPr>
                <w:footnoteReference w:id="76"/>
              </m:r>
            </m:num>
            <m:den>
              <m:r>
                <w:rPr>
                  <w:rFonts w:ascii="Cambria Math" w:eastAsiaTheme="minorEastAsia" w:hAnsi="Cambria Math" w:cs="Times New Roman"/>
                  <w:noProof/>
                </w:rPr>
                <m:t>60 min</m:t>
              </m:r>
            </m:den>
          </m:f>
        </m:oMath>
      </m:oMathPara>
    </w:p>
    <w:p>
      <w:pPr>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rPr>
          <w:rFonts w:ascii="Times New Roman" w:hAnsi="Times New Roman" w:cs="Times New Roman"/>
          <w:b/>
          <w:noProof/>
          <w:sz w:val="24"/>
          <w:szCs w:val="24"/>
          <w:u w:val="single"/>
        </w:rPr>
      </w:pPr>
      <w:r>
        <w:rPr>
          <w:rFonts w:ascii="Times New Roman" w:hAnsi="Times New Roman" w:cs="Times New Roman"/>
          <w:b/>
          <w:noProof/>
          <w:sz w:val="24"/>
          <w:szCs w:val="24"/>
          <w:u w:val="single"/>
        </w:rPr>
        <w:t>Part 2: Calculation of administrative costs (provided by two Member States)</w:t>
      </w:r>
    </w:p>
    <w:p>
      <w:pPr>
        <w:rPr>
          <w:rFonts w:ascii="Times New Roman" w:hAnsi="Times New Roman" w:cs="Times New Roman"/>
          <w:b/>
          <w:noProof/>
          <w:sz w:val="24"/>
          <w:szCs w:val="24"/>
          <w:u w:val="single"/>
        </w:rPr>
      </w:pPr>
      <w:r>
        <w:rPr>
          <w:rFonts w:ascii="Times New Roman" w:hAnsi="Times New Roman" w:cs="Times New Roman"/>
          <w:b/>
          <w:noProof/>
          <w:sz w:val="24"/>
          <w:szCs w:val="24"/>
          <w:u w:val="single"/>
        </w:rPr>
        <w:t>Member State 1:</w:t>
      </w:r>
    </w:p>
    <w:p>
      <w:pPr>
        <w:rPr>
          <w:rFonts w:ascii="Times New Roman" w:hAnsi="Times New Roman" w:cs="Times New Roman"/>
          <w:noProof/>
          <w:sz w:val="24"/>
          <w:szCs w:val="24"/>
        </w:rPr>
      </w:pPr>
      <w:r>
        <w:rPr>
          <w:rFonts w:ascii="Times New Roman" w:hAnsi="Times New Roman" w:cs="Times New Roman"/>
          <w:noProof/>
          <w:sz w:val="24"/>
          <w:szCs w:val="24"/>
        </w:rPr>
        <w:t>The costs are calculated as follows</w:t>
      </w:r>
      <w:r>
        <w:rPr>
          <w:rStyle w:val="FootnoteReference"/>
          <w:noProof/>
          <w:sz w:val="24"/>
          <w:szCs w:val="24"/>
        </w:rPr>
        <w:footnoteReference w:id="77"/>
      </w:r>
      <w:r>
        <w:rPr>
          <w:rFonts w:ascii="Times New Roman" w:hAnsi="Times New Roman" w:cs="Times New Roman"/>
          <w:noProof/>
          <w:sz w:val="24"/>
          <w:szCs w:val="24"/>
        </w:rPr>
        <w:t>:</w:t>
      </w:r>
    </w:p>
    <w:tbl>
      <w:tblPr>
        <w:tblStyle w:val="TableGrid"/>
        <w:tblW w:w="0" w:type="auto"/>
        <w:tblLook w:val="04A0" w:firstRow="1" w:lastRow="0" w:firstColumn="1" w:lastColumn="0" w:noHBand="0" w:noVBand="1"/>
      </w:tblPr>
      <w:tblGrid>
        <w:gridCol w:w="2642"/>
        <w:gridCol w:w="1476"/>
        <w:gridCol w:w="1734"/>
        <w:gridCol w:w="1749"/>
      </w:tblGrid>
      <w:tr>
        <w:trPr>
          <w:trHeight w:val="308"/>
        </w:trPr>
        <w:tc>
          <w:tcPr>
            <w:tcW w:w="2642" w:type="dxa"/>
          </w:tcPr>
          <w:p>
            <w:pPr>
              <w:rPr>
                <w:noProof/>
                <w:sz w:val="24"/>
                <w:szCs w:val="24"/>
              </w:rPr>
            </w:pPr>
            <w:r>
              <w:rPr>
                <w:noProof/>
                <w:sz w:val="24"/>
                <w:szCs w:val="24"/>
              </w:rPr>
              <w:t>Total costs C-visa</w:t>
            </w:r>
          </w:p>
        </w:tc>
        <w:tc>
          <w:tcPr>
            <w:tcW w:w="1476" w:type="dxa"/>
          </w:tcPr>
          <w:p>
            <w:pPr>
              <w:rPr>
                <w:noProof/>
                <w:sz w:val="24"/>
                <w:szCs w:val="24"/>
              </w:rPr>
            </w:pPr>
          </w:p>
        </w:tc>
        <w:tc>
          <w:tcPr>
            <w:tcW w:w="1734" w:type="dxa"/>
          </w:tcPr>
          <w:p>
            <w:pPr>
              <w:rPr>
                <w:noProof/>
                <w:sz w:val="24"/>
                <w:szCs w:val="24"/>
              </w:rPr>
            </w:pPr>
          </w:p>
        </w:tc>
        <w:tc>
          <w:tcPr>
            <w:tcW w:w="1749" w:type="dxa"/>
          </w:tcPr>
          <w:p>
            <w:pPr>
              <w:rPr>
                <w:noProof/>
                <w:sz w:val="24"/>
                <w:szCs w:val="24"/>
              </w:rPr>
            </w:pPr>
          </w:p>
        </w:tc>
      </w:tr>
      <w:tr>
        <w:trPr>
          <w:trHeight w:val="308"/>
        </w:trPr>
        <w:tc>
          <w:tcPr>
            <w:tcW w:w="2642" w:type="dxa"/>
          </w:tcPr>
          <w:p>
            <w:pPr>
              <w:rPr>
                <w:noProof/>
                <w:sz w:val="24"/>
                <w:szCs w:val="24"/>
              </w:rPr>
            </w:pPr>
          </w:p>
        </w:tc>
        <w:tc>
          <w:tcPr>
            <w:tcW w:w="1476" w:type="dxa"/>
          </w:tcPr>
          <w:p>
            <w:pPr>
              <w:rPr>
                <w:noProof/>
                <w:sz w:val="24"/>
                <w:szCs w:val="24"/>
              </w:rPr>
            </w:pPr>
            <w:r>
              <w:rPr>
                <w:noProof/>
                <w:sz w:val="24"/>
                <w:szCs w:val="24"/>
              </w:rPr>
              <w:t>Number</w:t>
            </w:r>
          </w:p>
        </w:tc>
        <w:tc>
          <w:tcPr>
            <w:tcW w:w="1734" w:type="dxa"/>
          </w:tcPr>
          <w:p>
            <w:pPr>
              <w:rPr>
                <w:noProof/>
                <w:sz w:val="24"/>
                <w:szCs w:val="24"/>
              </w:rPr>
            </w:pPr>
            <w:r>
              <w:rPr>
                <w:noProof/>
                <w:sz w:val="24"/>
                <w:szCs w:val="24"/>
              </w:rPr>
              <w:t>Price</w:t>
            </w:r>
          </w:p>
        </w:tc>
        <w:tc>
          <w:tcPr>
            <w:tcW w:w="1749" w:type="dxa"/>
          </w:tcPr>
          <w:p>
            <w:pPr>
              <w:rPr>
                <w:noProof/>
                <w:sz w:val="24"/>
                <w:szCs w:val="24"/>
              </w:rPr>
            </w:pPr>
            <w:r>
              <w:rPr>
                <w:noProof/>
                <w:sz w:val="24"/>
                <w:szCs w:val="24"/>
              </w:rPr>
              <w:t>Total</w:t>
            </w:r>
          </w:p>
        </w:tc>
      </w:tr>
      <w:tr>
        <w:trPr>
          <w:trHeight w:val="229"/>
        </w:trPr>
        <w:tc>
          <w:tcPr>
            <w:tcW w:w="2642" w:type="dxa"/>
          </w:tcPr>
          <w:p>
            <w:pPr>
              <w:rPr>
                <w:noProof/>
                <w:sz w:val="24"/>
                <w:szCs w:val="24"/>
              </w:rPr>
            </w:pPr>
            <w:r>
              <w:rPr>
                <w:noProof/>
                <w:sz w:val="24"/>
                <w:szCs w:val="24"/>
              </w:rPr>
              <w:t>Personnel</w:t>
            </w:r>
            <w:r>
              <w:rPr>
                <w:rStyle w:val="FootnoteReference"/>
                <w:noProof/>
                <w:sz w:val="24"/>
                <w:szCs w:val="24"/>
              </w:rPr>
              <w:footnoteReference w:id="78"/>
            </w:r>
            <w:r>
              <w:rPr>
                <w:noProof/>
                <w:sz w:val="24"/>
                <w:szCs w:val="24"/>
              </w:rPr>
              <w:t>:</w:t>
            </w:r>
          </w:p>
        </w:tc>
        <w:tc>
          <w:tcPr>
            <w:tcW w:w="1476" w:type="dxa"/>
          </w:tcPr>
          <w:p>
            <w:pPr>
              <w:rPr>
                <w:noProof/>
                <w:sz w:val="24"/>
                <w:szCs w:val="24"/>
              </w:rPr>
            </w:pPr>
            <w:r>
              <w:rPr>
                <w:noProof/>
                <w:sz w:val="24"/>
                <w:szCs w:val="24"/>
              </w:rPr>
              <w:t>255</w:t>
            </w:r>
          </w:p>
        </w:tc>
        <w:tc>
          <w:tcPr>
            <w:tcW w:w="1734" w:type="dxa"/>
          </w:tcPr>
          <w:p>
            <w:pPr>
              <w:rPr>
                <w:noProof/>
                <w:sz w:val="24"/>
                <w:szCs w:val="24"/>
              </w:rPr>
            </w:pPr>
            <w:r>
              <w:rPr>
                <w:noProof/>
                <w:sz w:val="24"/>
                <w:szCs w:val="24"/>
              </w:rPr>
              <w:t>45.000</w:t>
            </w:r>
          </w:p>
        </w:tc>
        <w:tc>
          <w:tcPr>
            <w:tcW w:w="1749" w:type="dxa"/>
          </w:tcPr>
          <w:p>
            <w:pPr>
              <w:rPr>
                <w:noProof/>
                <w:sz w:val="24"/>
                <w:szCs w:val="24"/>
              </w:rPr>
            </w:pPr>
            <w:r>
              <w:rPr>
                <w:noProof/>
                <w:sz w:val="24"/>
                <w:szCs w:val="24"/>
              </w:rPr>
              <w:t>24.502.500</w:t>
            </w:r>
          </w:p>
        </w:tc>
      </w:tr>
      <w:tr>
        <w:trPr>
          <w:trHeight w:val="245"/>
        </w:trPr>
        <w:tc>
          <w:tcPr>
            <w:tcW w:w="2642" w:type="dxa"/>
          </w:tcPr>
          <w:p>
            <w:pPr>
              <w:rPr>
                <w:noProof/>
                <w:sz w:val="24"/>
                <w:szCs w:val="24"/>
              </w:rPr>
            </w:pPr>
            <w:r>
              <w:rPr>
                <w:noProof/>
                <w:sz w:val="24"/>
                <w:szCs w:val="24"/>
              </w:rPr>
              <w:t>Overhead</w:t>
            </w:r>
            <w:r>
              <w:rPr>
                <w:rStyle w:val="FootnoteReference"/>
                <w:noProof/>
                <w:sz w:val="24"/>
                <w:szCs w:val="24"/>
              </w:rPr>
              <w:footnoteReference w:id="79"/>
            </w:r>
          </w:p>
        </w:tc>
        <w:tc>
          <w:tcPr>
            <w:tcW w:w="1476" w:type="dxa"/>
          </w:tcPr>
          <w:p>
            <w:pPr>
              <w:rPr>
                <w:noProof/>
                <w:sz w:val="24"/>
                <w:szCs w:val="24"/>
              </w:rPr>
            </w:pPr>
            <w:r>
              <w:rPr>
                <w:noProof/>
                <w:sz w:val="24"/>
                <w:szCs w:val="24"/>
              </w:rPr>
              <w:t>381,50</w:t>
            </w:r>
          </w:p>
        </w:tc>
        <w:tc>
          <w:tcPr>
            <w:tcW w:w="1734" w:type="dxa"/>
          </w:tcPr>
          <w:p>
            <w:pPr>
              <w:rPr>
                <w:noProof/>
                <w:sz w:val="24"/>
                <w:szCs w:val="24"/>
              </w:rPr>
            </w:pPr>
            <w:r>
              <w:rPr>
                <w:noProof/>
                <w:sz w:val="24"/>
                <w:szCs w:val="24"/>
              </w:rPr>
              <w:t>31.000</w:t>
            </w:r>
          </w:p>
        </w:tc>
        <w:tc>
          <w:tcPr>
            <w:tcW w:w="1749" w:type="dxa"/>
          </w:tcPr>
          <w:p>
            <w:pPr>
              <w:rPr>
                <w:noProof/>
                <w:sz w:val="24"/>
                <w:szCs w:val="24"/>
              </w:rPr>
            </w:pPr>
            <w:r>
              <w:rPr>
                <w:noProof/>
                <w:sz w:val="24"/>
                <w:szCs w:val="24"/>
              </w:rPr>
              <w:t>11.826.500</w:t>
            </w:r>
          </w:p>
        </w:tc>
      </w:tr>
      <w:tr>
        <w:trPr>
          <w:trHeight w:val="245"/>
        </w:trPr>
        <w:tc>
          <w:tcPr>
            <w:tcW w:w="2642" w:type="dxa"/>
          </w:tcPr>
          <w:p>
            <w:pPr>
              <w:rPr>
                <w:noProof/>
                <w:sz w:val="24"/>
                <w:szCs w:val="24"/>
              </w:rPr>
            </w:pPr>
            <w:r>
              <w:rPr>
                <w:noProof/>
                <w:sz w:val="24"/>
                <w:szCs w:val="24"/>
              </w:rPr>
              <w:t>ICT-costs</w:t>
            </w:r>
            <w:r>
              <w:rPr>
                <w:rStyle w:val="FootnoteReference"/>
                <w:noProof/>
                <w:sz w:val="24"/>
                <w:szCs w:val="24"/>
              </w:rPr>
              <w:footnoteReference w:id="80"/>
            </w:r>
          </w:p>
        </w:tc>
        <w:tc>
          <w:tcPr>
            <w:tcW w:w="1476" w:type="dxa"/>
          </w:tcPr>
          <w:p>
            <w:pPr>
              <w:rPr>
                <w:noProof/>
                <w:sz w:val="24"/>
                <w:szCs w:val="24"/>
              </w:rPr>
            </w:pPr>
          </w:p>
        </w:tc>
        <w:tc>
          <w:tcPr>
            <w:tcW w:w="1734" w:type="dxa"/>
          </w:tcPr>
          <w:p>
            <w:pPr>
              <w:rPr>
                <w:noProof/>
                <w:sz w:val="24"/>
                <w:szCs w:val="24"/>
              </w:rPr>
            </w:pPr>
          </w:p>
        </w:tc>
        <w:tc>
          <w:tcPr>
            <w:tcW w:w="1749" w:type="dxa"/>
          </w:tcPr>
          <w:p>
            <w:pPr>
              <w:rPr>
                <w:noProof/>
                <w:sz w:val="24"/>
                <w:szCs w:val="24"/>
              </w:rPr>
            </w:pPr>
            <w:r>
              <w:rPr>
                <w:noProof/>
                <w:sz w:val="24"/>
                <w:szCs w:val="24"/>
              </w:rPr>
              <w:t xml:space="preserve">  5.692.000</w:t>
            </w:r>
          </w:p>
        </w:tc>
      </w:tr>
      <w:tr>
        <w:trPr>
          <w:trHeight w:val="229"/>
        </w:trPr>
        <w:tc>
          <w:tcPr>
            <w:tcW w:w="2642" w:type="dxa"/>
          </w:tcPr>
          <w:p>
            <w:pPr>
              <w:rPr>
                <w:noProof/>
                <w:sz w:val="24"/>
                <w:szCs w:val="24"/>
              </w:rPr>
            </w:pPr>
            <w:r>
              <w:rPr>
                <w:noProof/>
                <w:sz w:val="24"/>
                <w:szCs w:val="24"/>
              </w:rPr>
              <w:t>Other costs</w:t>
            </w:r>
            <w:r>
              <w:rPr>
                <w:rStyle w:val="FootnoteReference"/>
                <w:noProof/>
                <w:sz w:val="24"/>
                <w:szCs w:val="24"/>
              </w:rPr>
              <w:footnoteReference w:id="81"/>
            </w:r>
          </w:p>
        </w:tc>
        <w:tc>
          <w:tcPr>
            <w:tcW w:w="1476" w:type="dxa"/>
          </w:tcPr>
          <w:p>
            <w:pPr>
              <w:rPr>
                <w:noProof/>
                <w:sz w:val="24"/>
                <w:szCs w:val="24"/>
              </w:rPr>
            </w:pPr>
          </w:p>
        </w:tc>
        <w:tc>
          <w:tcPr>
            <w:tcW w:w="1734" w:type="dxa"/>
          </w:tcPr>
          <w:p>
            <w:pPr>
              <w:rPr>
                <w:noProof/>
                <w:sz w:val="24"/>
                <w:szCs w:val="24"/>
              </w:rPr>
            </w:pPr>
          </w:p>
        </w:tc>
        <w:tc>
          <w:tcPr>
            <w:tcW w:w="1749" w:type="dxa"/>
          </w:tcPr>
          <w:p>
            <w:pPr>
              <w:rPr>
                <w:noProof/>
                <w:sz w:val="24"/>
                <w:szCs w:val="24"/>
              </w:rPr>
            </w:pPr>
            <w:r>
              <w:rPr>
                <w:noProof/>
                <w:sz w:val="24"/>
                <w:szCs w:val="24"/>
              </w:rPr>
              <w:t xml:space="preserve">  1.330.000</w:t>
            </w:r>
          </w:p>
        </w:tc>
      </w:tr>
      <w:tr>
        <w:trPr>
          <w:trHeight w:val="441"/>
        </w:trPr>
        <w:tc>
          <w:tcPr>
            <w:tcW w:w="2642" w:type="dxa"/>
          </w:tcPr>
          <w:p>
            <w:pPr>
              <w:rPr>
                <w:noProof/>
                <w:sz w:val="24"/>
                <w:szCs w:val="24"/>
              </w:rPr>
            </w:pPr>
          </w:p>
          <w:p>
            <w:pPr>
              <w:rPr>
                <w:noProof/>
                <w:sz w:val="24"/>
                <w:szCs w:val="24"/>
              </w:rPr>
            </w:pPr>
            <w:r>
              <w:rPr>
                <w:noProof/>
                <w:sz w:val="24"/>
                <w:szCs w:val="24"/>
              </w:rPr>
              <w:t>subtotal</w:t>
            </w:r>
          </w:p>
        </w:tc>
        <w:tc>
          <w:tcPr>
            <w:tcW w:w="1476" w:type="dxa"/>
          </w:tcPr>
          <w:p>
            <w:pPr>
              <w:rPr>
                <w:noProof/>
                <w:sz w:val="24"/>
                <w:szCs w:val="24"/>
              </w:rPr>
            </w:pPr>
          </w:p>
        </w:tc>
        <w:tc>
          <w:tcPr>
            <w:tcW w:w="1734" w:type="dxa"/>
          </w:tcPr>
          <w:p>
            <w:pPr>
              <w:rPr>
                <w:noProof/>
                <w:sz w:val="24"/>
                <w:szCs w:val="24"/>
              </w:rPr>
            </w:pPr>
          </w:p>
        </w:tc>
        <w:tc>
          <w:tcPr>
            <w:tcW w:w="1749" w:type="dxa"/>
          </w:tcPr>
          <w:p>
            <w:pPr>
              <w:rPr>
                <w:noProof/>
                <w:sz w:val="24"/>
                <w:szCs w:val="24"/>
              </w:rPr>
            </w:pPr>
          </w:p>
          <w:p>
            <w:pPr>
              <w:rPr>
                <w:noProof/>
                <w:sz w:val="24"/>
                <w:szCs w:val="24"/>
              </w:rPr>
            </w:pPr>
            <w:r>
              <w:rPr>
                <w:noProof/>
                <w:sz w:val="24"/>
                <w:szCs w:val="24"/>
              </w:rPr>
              <w:t>43.351.000</w:t>
            </w:r>
          </w:p>
        </w:tc>
      </w:tr>
      <w:tr>
        <w:trPr>
          <w:trHeight w:val="245"/>
        </w:trPr>
        <w:tc>
          <w:tcPr>
            <w:tcW w:w="2642" w:type="dxa"/>
          </w:tcPr>
          <w:p>
            <w:pPr>
              <w:rPr>
                <w:noProof/>
                <w:sz w:val="24"/>
                <w:szCs w:val="24"/>
              </w:rPr>
            </w:pPr>
            <w:r>
              <w:rPr>
                <w:noProof/>
                <w:sz w:val="24"/>
                <w:szCs w:val="24"/>
              </w:rPr>
              <w:t>Costs national visa</w:t>
            </w:r>
          </w:p>
        </w:tc>
        <w:tc>
          <w:tcPr>
            <w:tcW w:w="1476" w:type="dxa"/>
          </w:tcPr>
          <w:p>
            <w:pPr>
              <w:rPr>
                <w:noProof/>
                <w:sz w:val="24"/>
                <w:szCs w:val="24"/>
              </w:rPr>
            </w:pPr>
          </w:p>
        </w:tc>
        <w:tc>
          <w:tcPr>
            <w:tcW w:w="1734" w:type="dxa"/>
          </w:tcPr>
          <w:p>
            <w:pPr>
              <w:rPr>
                <w:noProof/>
                <w:sz w:val="24"/>
                <w:szCs w:val="24"/>
              </w:rPr>
            </w:pPr>
          </w:p>
        </w:tc>
        <w:tc>
          <w:tcPr>
            <w:tcW w:w="1749" w:type="dxa"/>
          </w:tcPr>
          <w:p>
            <w:pPr>
              <w:rPr>
                <w:noProof/>
                <w:sz w:val="24"/>
                <w:szCs w:val="24"/>
              </w:rPr>
            </w:pPr>
            <w:r>
              <w:rPr>
                <w:noProof/>
                <w:sz w:val="24"/>
                <w:szCs w:val="24"/>
              </w:rPr>
              <w:t xml:space="preserve">  2.910.000</w:t>
            </w:r>
          </w:p>
        </w:tc>
      </w:tr>
      <w:tr>
        <w:trPr>
          <w:trHeight w:val="464"/>
        </w:trPr>
        <w:tc>
          <w:tcPr>
            <w:tcW w:w="2642" w:type="dxa"/>
          </w:tcPr>
          <w:p>
            <w:pPr>
              <w:rPr>
                <w:noProof/>
                <w:sz w:val="24"/>
                <w:szCs w:val="24"/>
              </w:rPr>
            </w:pPr>
          </w:p>
          <w:p>
            <w:pPr>
              <w:rPr>
                <w:noProof/>
                <w:sz w:val="24"/>
                <w:szCs w:val="24"/>
              </w:rPr>
            </w:pPr>
            <w:r>
              <w:rPr>
                <w:noProof/>
                <w:sz w:val="24"/>
                <w:szCs w:val="24"/>
              </w:rPr>
              <w:t>Total costs</w:t>
            </w:r>
          </w:p>
          <w:p>
            <w:pPr>
              <w:rPr>
                <w:noProof/>
                <w:sz w:val="24"/>
                <w:szCs w:val="24"/>
              </w:rPr>
            </w:pPr>
            <w:r>
              <w:rPr>
                <w:noProof/>
                <w:sz w:val="24"/>
                <w:szCs w:val="24"/>
              </w:rPr>
              <w:t>(43.351.000-2.910.000)</w:t>
            </w:r>
          </w:p>
        </w:tc>
        <w:tc>
          <w:tcPr>
            <w:tcW w:w="1476" w:type="dxa"/>
          </w:tcPr>
          <w:p>
            <w:pPr>
              <w:rPr>
                <w:noProof/>
                <w:sz w:val="24"/>
                <w:szCs w:val="24"/>
              </w:rPr>
            </w:pPr>
          </w:p>
        </w:tc>
        <w:tc>
          <w:tcPr>
            <w:tcW w:w="1734" w:type="dxa"/>
          </w:tcPr>
          <w:p>
            <w:pPr>
              <w:rPr>
                <w:noProof/>
                <w:sz w:val="24"/>
                <w:szCs w:val="24"/>
              </w:rPr>
            </w:pPr>
          </w:p>
        </w:tc>
        <w:tc>
          <w:tcPr>
            <w:tcW w:w="1749" w:type="dxa"/>
          </w:tcPr>
          <w:p>
            <w:pPr>
              <w:rPr>
                <w:noProof/>
                <w:sz w:val="24"/>
                <w:szCs w:val="24"/>
              </w:rPr>
            </w:pPr>
          </w:p>
          <w:p>
            <w:pPr>
              <w:rPr>
                <w:noProof/>
                <w:sz w:val="24"/>
                <w:szCs w:val="24"/>
              </w:rPr>
            </w:pPr>
            <w:r>
              <w:rPr>
                <w:noProof/>
                <w:sz w:val="24"/>
                <w:szCs w:val="24"/>
              </w:rPr>
              <w:t>40.441.000</w:t>
            </w:r>
          </w:p>
        </w:tc>
      </w:tr>
      <w:tr>
        <w:trPr>
          <w:trHeight w:val="464"/>
        </w:trPr>
        <w:tc>
          <w:tcPr>
            <w:tcW w:w="2642" w:type="dxa"/>
          </w:tcPr>
          <w:p>
            <w:pPr>
              <w:rPr>
                <w:noProof/>
                <w:sz w:val="24"/>
                <w:szCs w:val="24"/>
              </w:rPr>
            </w:pPr>
            <w:r>
              <w:rPr>
                <w:noProof/>
                <w:sz w:val="24"/>
                <w:szCs w:val="24"/>
              </w:rPr>
              <w:t>Revenues per year</w:t>
            </w:r>
          </w:p>
        </w:tc>
        <w:tc>
          <w:tcPr>
            <w:tcW w:w="1476" w:type="dxa"/>
          </w:tcPr>
          <w:p>
            <w:pPr>
              <w:rPr>
                <w:noProof/>
                <w:sz w:val="24"/>
                <w:szCs w:val="24"/>
              </w:rPr>
            </w:pPr>
          </w:p>
        </w:tc>
        <w:tc>
          <w:tcPr>
            <w:tcW w:w="1734" w:type="dxa"/>
          </w:tcPr>
          <w:p>
            <w:pPr>
              <w:rPr>
                <w:noProof/>
                <w:sz w:val="24"/>
                <w:szCs w:val="24"/>
              </w:rPr>
            </w:pPr>
          </w:p>
        </w:tc>
        <w:tc>
          <w:tcPr>
            <w:tcW w:w="1749" w:type="dxa"/>
          </w:tcPr>
          <w:p>
            <w:pPr>
              <w:rPr>
                <w:noProof/>
                <w:sz w:val="24"/>
                <w:szCs w:val="24"/>
              </w:rPr>
            </w:pPr>
            <w:r>
              <w:rPr>
                <w:noProof/>
                <w:sz w:val="24"/>
                <w:szCs w:val="24"/>
              </w:rPr>
              <w:t>24.200.000</w:t>
            </w:r>
          </w:p>
        </w:tc>
      </w:tr>
    </w:tbl>
    <w:p>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4474"/>
        <w:gridCol w:w="4360"/>
      </w:tblGrid>
      <w:tr>
        <w:tc>
          <w:tcPr>
            <w:tcW w:w="4750" w:type="dxa"/>
          </w:tcPr>
          <w:p>
            <w:pPr>
              <w:rPr>
                <w:noProof/>
                <w:sz w:val="24"/>
                <w:szCs w:val="24"/>
              </w:rPr>
            </w:pPr>
            <w:r>
              <w:rPr>
                <w:noProof/>
                <w:sz w:val="24"/>
                <w:szCs w:val="24"/>
              </w:rPr>
              <w:t>Number of visa per year</w:t>
            </w:r>
          </w:p>
        </w:tc>
        <w:tc>
          <w:tcPr>
            <w:tcW w:w="4750" w:type="dxa"/>
          </w:tcPr>
          <w:p>
            <w:pPr>
              <w:rPr>
                <w:noProof/>
                <w:sz w:val="24"/>
                <w:szCs w:val="24"/>
              </w:rPr>
            </w:pPr>
            <w:r>
              <w:rPr>
                <w:noProof/>
                <w:sz w:val="24"/>
                <w:szCs w:val="24"/>
              </w:rPr>
              <w:t xml:space="preserve">    466.933</w:t>
            </w:r>
          </w:p>
        </w:tc>
      </w:tr>
      <w:tr>
        <w:tc>
          <w:tcPr>
            <w:tcW w:w="4750" w:type="dxa"/>
          </w:tcPr>
          <w:p>
            <w:pPr>
              <w:rPr>
                <w:noProof/>
                <w:sz w:val="24"/>
                <w:szCs w:val="24"/>
              </w:rPr>
            </w:pPr>
            <w:r>
              <w:rPr>
                <w:noProof/>
                <w:sz w:val="24"/>
                <w:szCs w:val="24"/>
              </w:rPr>
              <w:t>No. of full paying visa applicants</w:t>
            </w:r>
          </w:p>
        </w:tc>
        <w:tc>
          <w:tcPr>
            <w:tcW w:w="4750" w:type="dxa"/>
          </w:tcPr>
          <w:p>
            <w:pPr>
              <w:rPr>
                <w:noProof/>
                <w:sz w:val="24"/>
                <w:szCs w:val="24"/>
              </w:rPr>
            </w:pPr>
            <w:r>
              <w:rPr>
                <w:noProof/>
                <w:sz w:val="24"/>
                <w:szCs w:val="24"/>
              </w:rPr>
              <w:t xml:space="preserve">    309.030</w:t>
            </w:r>
          </w:p>
        </w:tc>
      </w:tr>
      <w:tr>
        <w:tc>
          <w:tcPr>
            <w:tcW w:w="4750" w:type="dxa"/>
          </w:tcPr>
          <w:p>
            <w:pPr>
              <w:rPr>
                <w:noProof/>
                <w:sz w:val="24"/>
                <w:szCs w:val="24"/>
              </w:rPr>
            </w:pPr>
            <w:r>
              <w:rPr>
                <w:noProof/>
                <w:sz w:val="24"/>
                <w:szCs w:val="24"/>
              </w:rPr>
              <w:t>Total costs</w:t>
            </w:r>
          </w:p>
        </w:tc>
        <w:tc>
          <w:tcPr>
            <w:tcW w:w="4750" w:type="dxa"/>
          </w:tcPr>
          <w:p>
            <w:pPr>
              <w:rPr>
                <w:noProof/>
                <w:sz w:val="24"/>
                <w:szCs w:val="24"/>
              </w:rPr>
            </w:pPr>
            <w:r>
              <w:rPr>
                <w:noProof/>
                <w:sz w:val="24"/>
                <w:szCs w:val="24"/>
              </w:rPr>
              <w:t>40.441.000</w:t>
            </w:r>
          </w:p>
        </w:tc>
      </w:tr>
      <w:tr>
        <w:tc>
          <w:tcPr>
            <w:tcW w:w="4750" w:type="dxa"/>
          </w:tcPr>
          <w:p>
            <w:pPr>
              <w:rPr>
                <w:noProof/>
                <w:sz w:val="24"/>
                <w:szCs w:val="24"/>
              </w:rPr>
            </w:pPr>
            <w:r>
              <w:rPr>
                <w:noProof/>
                <w:sz w:val="24"/>
                <w:szCs w:val="24"/>
              </w:rPr>
              <w:t>Revenues visa facilitation</w:t>
            </w:r>
          </w:p>
        </w:tc>
        <w:tc>
          <w:tcPr>
            <w:tcW w:w="4750" w:type="dxa"/>
          </w:tcPr>
          <w:p>
            <w:pPr>
              <w:rPr>
                <w:noProof/>
                <w:sz w:val="24"/>
                <w:szCs w:val="24"/>
              </w:rPr>
            </w:pPr>
            <w:r>
              <w:rPr>
                <w:noProof/>
                <w:sz w:val="24"/>
                <w:szCs w:val="24"/>
              </w:rPr>
              <w:t xml:space="preserve">  3.210.492</w:t>
            </w:r>
          </w:p>
        </w:tc>
      </w:tr>
      <w:tr>
        <w:tc>
          <w:tcPr>
            <w:tcW w:w="4750" w:type="dxa"/>
          </w:tcPr>
          <w:p>
            <w:pPr>
              <w:rPr>
                <w:noProof/>
                <w:sz w:val="24"/>
                <w:szCs w:val="24"/>
              </w:rPr>
            </w:pPr>
            <w:r>
              <w:rPr>
                <w:noProof/>
                <w:sz w:val="24"/>
                <w:szCs w:val="24"/>
              </w:rPr>
              <w:t>To finance</w:t>
            </w:r>
          </w:p>
        </w:tc>
        <w:tc>
          <w:tcPr>
            <w:tcW w:w="4750" w:type="dxa"/>
          </w:tcPr>
          <w:p>
            <w:pPr>
              <w:rPr>
                <w:noProof/>
                <w:sz w:val="24"/>
                <w:szCs w:val="24"/>
              </w:rPr>
            </w:pPr>
            <w:r>
              <w:rPr>
                <w:noProof/>
                <w:sz w:val="24"/>
                <w:szCs w:val="24"/>
              </w:rPr>
              <w:t>37.230.508</w:t>
            </w:r>
          </w:p>
        </w:tc>
      </w:tr>
      <w:tr>
        <w:tc>
          <w:tcPr>
            <w:tcW w:w="4750" w:type="dxa"/>
          </w:tcPr>
          <w:p>
            <w:pPr>
              <w:rPr>
                <w:b/>
                <w:noProof/>
                <w:sz w:val="24"/>
                <w:szCs w:val="24"/>
              </w:rPr>
            </w:pPr>
            <w:r>
              <w:rPr>
                <w:b/>
                <w:noProof/>
                <w:sz w:val="24"/>
                <w:szCs w:val="24"/>
              </w:rPr>
              <w:t xml:space="preserve">Costs per full paying applicant </w:t>
            </w:r>
          </w:p>
          <w:p>
            <w:pPr>
              <w:rPr>
                <w:noProof/>
                <w:sz w:val="24"/>
                <w:szCs w:val="24"/>
              </w:rPr>
            </w:pPr>
            <w:r>
              <w:rPr>
                <w:noProof/>
                <w:sz w:val="24"/>
                <w:szCs w:val="24"/>
              </w:rPr>
              <w:t>(37.230.508/309.030)</w:t>
            </w:r>
          </w:p>
        </w:tc>
        <w:tc>
          <w:tcPr>
            <w:tcW w:w="4750" w:type="dxa"/>
          </w:tcPr>
          <w:p>
            <w:pPr>
              <w:rPr>
                <w:b/>
                <w:noProof/>
                <w:sz w:val="24"/>
                <w:szCs w:val="24"/>
              </w:rPr>
            </w:pPr>
            <w:r>
              <w:rPr>
                <w:b/>
                <w:noProof/>
                <w:sz w:val="24"/>
                <w:szCs w:val="24"/>
              </w:rPr>
              <w:t>120</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b/>
          <w:noProof/>
          <w:sz w:val="24"/>
          <w:szCs w:val="24"/>
          <w:u w:val="single"/>
        </w:rPr>
      </w:pPr>
      <w:r>
        <w:rPr>
          <w:rFonts w:ascii="Times New Roman" w:hAnsi="Times New Roman" w:cs="Times New Roman"/>
          <w:b/>
          <w:noProof/>
          <w:sz w:val="24"/>
          <w:szCs w:val="24"/>
          <w:u w:val="single"/>
        </w:rPr>
        <w:t>Member State 2 (Denmark):</w:t>
      </w:r>
    </w:p>
    <w:p>
      <w:pPr>
        <w:rPr>
          <w:rFonts w:ascii="Times New Roman" w:hAnsi="Times New Roman" w:cs="Times New Roman"/>
          <w:noProof/>
          <w:sz w:val="24"/>
          <w:szCs w:val="24"/>
        </w:rPr>
      </w:pPr>
      <w:r>
        <w:rPr>
          <w:rFonts w:ascii="Times New Roman" w:hAnsi="Times New Roman" w:cs="Times New Roman"/>
          <w:noProof/>
          <w:sz w:val="24"/>
          <w:szCs w:val="24"/>
        </w:rPr>
        <w:t>The Ministry of Foreign Affairs in Denmark has calculated the average cost price per visa case. The calculation of the cost price for handling one visa application at a Danish Embassy/Mission handling visa cases are as follows:</w:t>
      </w:r>
    </w:p>
    <w:p>
      <w:pPr>
        <w:rPr>
          <w:rFonts w:ascii="Times New Roman" w:hAnsi="Times New Roman" w:cs="Times New Roman"/>
          <w:noProof/>
          <w:sz w:val="24"/>
          <w:szCs w:val="24"/>
        </w:rPr>
      </w:pPr>
      <w:r>
        <w:rPr>
          <w:rFonts w:ascii="Times New Roman" w:hAnsi="Times New Roman" w:cs="Times New Roman"/>
          <w:noProof/>
          <w:sz w:val="24"/>
          <w:szCs w:val="24"/>
        </w:rPr>
        <w:t>The average case processing time per visa case is approximately 80 minutes including all steps in the case handling process.   </w:t>
      </w:r>
    </w:p>
    <w:p>
      <w:pPr>
        <w:rPr>
          <w:rFonts w:ascii="Times New Roman" w:hAnsi="Times New Roman" w:cs="Times New Roman"/>
          <w:noProof/>
          <w:sz w:val="24"/>
          <w:szCs w:val="24"/>
        </w:rPr>
      </w:pPr>
      <w:r>
        <w:rPr>
          <w:rFonts w:ascii="Times New Roman" w:hAnsi="Times New Roman" w:cs="Times New Roman"/>
          <w:noProof/>
          <w:sz w:val="24"/>
          <w:szCs w:val="24"/>
        </w:rPr>
        <w:t xml:space="preserve">On average these 80 minutes consist of 20 % posted staff and 80 % local staff. </w:t>
      </w:r>
    </w:p>
    <w:p>
      <w:pPr>
        <w:rPr>
          <w:rFonts w:ascii="Times New Roman" w:hAnsi="Times New Roman" w:cs="Times New Roman"/>
          <w:noProof/>
          <w:sz w:val="24"/>
          <w:szCs w:val="24"/>
        </w:rPr>
      </w:pPr>
      <w:r>
        <w:rPr>
          <w:rFonts w:ascii="Times New Roman" w:hAnsi="Times New Roman" w:cs="Times New Roman"/>
          <w:noProof/>
          <w:sz w:val="24"/>
          <w:szCs w:val="24"/>
        </w:rPr>
        <w:t>The average cost price per hour for posted staff at a Danish Embassy/Mission is calculated to approximately 1,645.00 Danish Kroner = EUR 221.00. 1 minute = EUR 3.68 x 80 minutes = EUR 295.00 for 80 minutes. 20 % of 80 minutes = 16 minutes = EUR 3.68 x 16 = EUR 58.90 as part of the handling of a visa case. .</w:t>
      </w:r>
    </w:p>
    <w:p>
      <w:pPr>
        <w:rPr>
          <w:rFonts w:ascii="Times New Roman" w:hAnsi="Times New Roman" w:cs="Times New Roman"/>
          <w:noProof/>
          <w:sz w:val="24"/>
          <w:szCs w:val="24"/>
        </w:rPr>
      </w:pPr>
      <w:r>
        <w:rPr>
          <w:rFonts w:ascii="Times New Roman" w:hAnsi="Times New Roman" w:cs="Times New Roman"/>
          <w:noProof/>
          <w:sz w:val="24"/>
          <w:szCs w:val="24"/>
        </w:rPr>
        <w:t>The average cost price per hour for local staff at a Danish Embassy/Mission is calculated to approx imately 585.00 Danish Kroner = EUR 78.60. 1 minute = EUR 1.31 x 80 minutes = EUR 104.85 for 80 minutes. 80 % of 80 minutes = 64 minutes = EUR 1.31 x 64 = EUR 83.85 as part of the handling of a visa case.</w:t>
      </w:r>
    </w:p>
    <w:p>
      <w:pPr>
        <w:rPr>
          <w:rFonts w:ascii="Times New Roman" w:hAnsi="Times New Roman" w:cs="Times New Roman"/>
          <w:b/>
          <w:bCs/>
          <w:noProof/>
          <w:sz w:val="24"/>
          <w:szCs w:val="24"/>
        </w:rPr>
      </w:pPr>
      <w:r>
        <w:rPr>
          <w:rFonts w:ascii="Times New Roman" w:hAnsi="Times New Roman" w:cs="Times New Roman"/>
          <w:b/>
          <w:bCs/>
          <w:noProof/>
          <w:sz w:val="24"/>
          <w:szCs w:val="24"/>
        </w:rPr>
        <w:t>The total cost price per visa case is EUR approx. 58.90 + EUR 83.85 = EUR 143.00 (rounded up).</w:t>
      </w:r>
    </w:p>
    <w:p>
      <w:pPr>
        <w:rPr>
          <w:rFonts w:ascii="Times New Roman" w:hAnsi="Times New Roman" w:cs="Times New Roman"/>
          <w:noProof/>
          <w:sz w:val="24"/>
          <w:szCs w:val="24"/>
          <w:lang w:val="en-US"/>
        </w:rPr>
      </w:pPr>
      <w:r>
        <w:rPr>
          <w:rFonts w:ascii="Times New Roman" w:hAnsi="Times New Roman" w:cs="Times New Roman"/>
          <w:noProof/>
          <w:sz w:val="24"/>
          <w:szCs w:val="24"/>
          <w:lang w:val="en-US"/>
        </w:rPr>
        <w:br w:type="page"/>
      </w:r>
    </w:p>
    <w:p>
      <w:pPr>
        <w:rPr>
          <w:rFonts w:ascii="Times New Roman" w:hAnsi="Times New Roman" w:cs="Times New Roman"/>
          <w:b/>
          <w:noProof/>
          <w:sz w:val="24"/>
          <w:szCs w:val="24"/>
          <w:u w:val="single"/>
          <w:lang w:val="en-US"/>
        </w:rPr>
      </w:pPr>
      <w:r>
        <w:rPr>
          <w:rFonts w:ascii="Times New Roman" w:hAnsi="Times New Roman" w:cs="Times New Roman"/>
          <w:b/>
          <w:noProof/>
          <w:sz w:val="24"/>
          <w:szCs w:val="24"/>
          <w:u w:val="single"/>
          <w:lang w:val="en-US"/>
        </w:rPr>
        <w:t>Part 3: Other countries' visa fees</w:t>
      </w:r>
    </w:p>
    <w:p>
      <w:pPr>
        <w:jc w:val="both"/>
        <w:rPr>
          <w:rFonts w:ascii="Times New Roman" w:hAnsi="Times New Roman" w:cs="Times New Roman"/>
          <w:noProof/>
          <w:sz w:val="24"/>
        </w:rPr>
      </w:pPr>
      <w:r>
        <w:rPr>
          <w:rFonts w:ascii="Times New Roman" w:hAnsi="Times New Roman" w:cs="Times New Roman"/>
          <w:noProof/>
          <w:sz w:val="24"/>
        </w:rPr>
        <w:t xml:space="preserve">The main objective of the visa fee is to cover the administrative and operational costs of the visa-issuing procedure; however, it also has a regulatory effect of the visa fees as it helps to moderate the number of applications which would be refused. Yet, its amount should not prevent legitimate applicants from travelling and cause unnecessary obstacles to tourism and business. </w:t>
      </w:r>
    </w:p>
    <w:p>
      <w:pPr>
        <w:jc w:val="both"/>
        <w:rPr>
          <w:rFonts w:ascii="Times New Roman" w:hAnsi="Times New Roman" w:cs="Times New Roman"/>
          <w:noProof/>
          <w:sz w:val="24"/>
        </w:rPr>
      </w:pPr>
      <w:r>
        <w:rPr>
          <w:rFonts w:ascii="Times New Roman" w:hAnsi="Times New Roman" w:cs="Times New Roman"/>
          <w:noProof/>
          <w:sz w:val="24"/>
        </w:rPr>
        <w:t>The visa fees imposed by different countries vary depending on many aspects. While respective countries apply various criteria, the most common variables determining visa fees are:</w:t>
      </w:r>
    </w:p>
    <w:p>
      <w:pPr>
        <w:pStyle w:val="ListParagraph"/>
        <w:numPr>
          <w:ilvl w:val="0"/>
          <w:numId w:val="20"/>
        </w:numPr>
        <w:jc w:val="both"/>
        <w:rPr>
          <w:rFonts w:ascii="Times New Roman" w:hAnsi="Times New Roman" w:cs="Times New Roman"/>
          <w:noProof/>
          <w:sz w:val="24"/>
        </w:rPr>
      </w:pPr>
      <w:r>
        <w:rPr>
          <w:rFonts w:ascii="Times New Roman" w:hAnsi="Times New Roman" w:cs="Times New Roman"/>
          <w:noProof/>
          <w:sz w:val="24"/>
        </w:rPr>
        <w:t>Visa category (e.g., tourism, business, family visit),</w:t>
      </w:r>
    </w:p>
    <w:p>
      <w:pPr>
        <w:pStyle w:val="ListParagraph"/>
        <w:numPr>
          <w:ilvl w:val="0"/>
          <w:numId w:val="20"/>
        </w:numPr>
        <w:jc w:val="both"/>
        <w:rPr>
          <w:rFonts w:ascii="Times New Roman" w:hAnsi="Times New Roman" w:cs="Times New Roman"/>
          <w:noProof/>
          <w:sz w:val="24"/>
        </w:rPr>
      </w:pPr>
      <w:r>
        <w:rPr>
          <w:rFonts w:ascii="Times New Roman" w:hAnsi="Times New Roman" w:cs="Times New Roman"/>
          <w:noProof/>
          <w:sz w:val="24"/>
        </w:rPr>
        <w:t>Number of entries (single, multiple)</w:t>
      </w:r>
    </w:p>
    <w:p>
      <w:pPr>
        <w:pStyle w:val="ListParagraph"/>
        <w:numPr>
          <w:ilvl w:val="0"/>
          <w:numId w:val="20"/>
        </w:numPr>
        <w:jc w:val="both"/>
        <w:rPr>
          <w:rFonts w:ascii="Times New Roman" w:hAnsi="Times New Roman" w:cs="Times New Roman"/>
          <w:noProof/>
          <w:sz w:val="24"/>
        </w:rPr>
      </w:pPr>
      <w:r>
        <w:rPr>
          <w:rFonts w:ascii="Times New Roman" w:hAnsi="Times New Roman" w:cs="Times New Roman"/>
          <w:noProof/>
          <w:sz w:val="24"/>
        </w:rPr>
        <w:t>Length of validity,</w:t>
      </w:r>
    </w:p>
    <w:p>
      <w:pPr>
        <w:pStyle w:val="ListParagraph"/>
        <w:numPr>
          <w:ilvl w:val="0"/>
          <w:numId w:val="20"/>
        </w:numPr>
        <w:jc w:val="both"/>
        <w:rPr>
          <w:rFonts w:ascii="Times New Roman" w:hAnsi="Times New Roman" w:cs="Times New Roman"/>
          <w:noProof/>
          <w:sz w:val="24"/>
        </w:rPr>
      </w:pPr>
      <w:r>
        <w:rPr>
          <w:rFonts w:ascii="Times New Roman" w:hAnsi="Times New Roman" w:cs="Times New Roman"/>
          <w:noProof/>
          <w:sz w:val="24"/>
        </w:rPr>
        <w:t>Applicant's nationality and/or legal status in the country where the application is submitted,</w:t>
      </w:r>
    </w:p>
    <w:p>
      <w:pPr>
        <w:pStyle w:val="ListParagraph"/>
        <w:numPr>
          <w:ilvl w:val="0"/>
          <w:numId w:val="20"/>
        </w:numPr>
        <w:jc w:val="both"/>
        <w:rPr>
          <w:rFonts w:ascii="Times New Roman" w:hAnsi="Times New Roman" w:cs="Times New Roman"/>
          <w:noProof/>
          <w:sz w:val="24"/>
        </w:rPr>
      </w:pPr>
      <w:r>
        <w:rPr>
          <w:rFonts w:ascii="Times New Roman" w:hAnsi="Times New Roman" w:cs="Times New Roman"/>
          <w:noProof/>
          <w:sz w:val="24"/>
        </w:rPr>
        <w:t>Country or location where the application is submitted,</w:t>
      </w:r>
    </w:p>
    <w:p>
      <w:pPr>
        <w:pStyle w:val="ListParagraph"/>
        <w:numPr>
          <w:ilvl w:val="0"/>
          <w:numId w:val="20"/>
        </w:numPr>
        <w:jc w:val="both"/>
        <w:rPr>
          <w:rFonts w:ascii="Times New Roman" w:hAnsi="Times New Roman" w:cs="Times New Roman"/>
          <w:noProof/>
          <w:sz w:val="24"/>
        </w:rPr>
      </w:pPr>
      <w:r>
        <w:rPr>
          <w:rFonts w:ascii="Times New Roman" w:hAnsi="Times New Roman" w:cs="Times New Roman"/>
          <w:noProof/>
          <w:sz w:val="24"/>
        </w:rPr>
        <w:t>Channel used for submitting the application (e.g. paper, online).</w:t>
      </w:r>
    </w:p>
    <w:p>
      <w:pPr>
        <w:jc w:val="both"/>
        <w:rPr>
          <w:rFonts w:ascii="Times New Roman" w:hAnsi="Times New Roman" w:cs="Times New Roman"/>
          <w:noProof/>
          <w:sz w:val="24"/>
        </w:rPr>
      </w:pPr>
      <w:r>
        <w:rPr>
          <w:rFonts w:ascii="Times New Roman" w:hAnsi="Times New Roman" w:cs="Times New Roman"/>
          <w:noProof/>
          <w:sz w:val="24"/>
        </w:rPr>
        <w:t>Additionally, it is increasingly becoming a common practice to outsource the collection of visa applications to external service providers. The service fee charged by some service providers can actually double the real cost of visa.</w:t>
      </w:r>
      <w:r>
        <w:rPr>
          <w:rStyle w:val="FootnoteReference"/>
          <w:rFonts w:ascii="Times New Roman" w:hAnsi="Times New Roman" w:cs="Times New Roman"/>
          <w:noProof/>
          <w:sz w:val="24"/>
        </w:rPr>
        <w:footnoteReference w:id="82"/>
      </w:r>
    </w:p>
    <w:p>
      <w:pPr>
        <w:jc w:val="both"/>
        <w:rPr>
          <w:rFonts w:ascii="Times New Roman" w:hAnsi="Times New Roman" w:cs="Times New Roman"/>
          <w:noProof/>
          <w:sz w:val="24"/>
        </w:rPr>
      </w:pPr>
      <w:r>
        <w:rPr>
          <w:rFonts w:ascii="Times New Roman" w:hAnsi="Times New Roman" w:cs="Times New Roman"/>
          <w:noProof/>
          <w:sz w:val="24"/>
        </w:rPr>
        <w:t xml:space="preserve">The first three factors are directly related to the visa and its nature. Business visas can be more expensive than tourist visas. The differentiation between multiple- and single-entry visa and transit visa, and the length of validity of the visa are often also determining factors. For instance, China applies a visa fee of EUR 30 for a single-entry visa, EUR 50 for double entries, EUR 70 for multiple entries up to 6 months and EUR 100 for up to 12 months to most non-Schengen countries' nationals. </w:t>
      </w:r>
    </w:p>
    <w:p>
      <w:pPr>
        <w:jc w:val="both"/>
        <w:rPr>
          <w:rFonts w:ascii="Times New Roman" w:hAnsi="Times New Roman" w:cs="Times New Roman"/>
          <w:noProof/>
          <w:sz w:val="24"/>
        </w:rPr>
      </w:pPr>
      <w:r>
        <w:rPr>
          <w:rFonts w:ascii="Times New Roman" w:hAnsi="Times New Roman" w:cs="Times New Roman"/>
          <w:noProof/>
          <w:sz w:val="24"/>
        </w:rPr>
        <w:t>The applicant's citizenship or legal status in the country where the application is submitted have a significant weight when determining the visa fee for many countries. This criterion reflects the international relations between the concerned countries as well as migratory risk, economic and business relations and reciprocity. China, for instance, applies a fee of EUR 140 to visa to Argentinian citizens while fees for other South American nationals vary from EUR 30 – 100; Romanian citizens have to pay EUR 90 – 190 compared to the flat fee of EUR 60 for the Schengen area countries and EUR 30 – 100 for other third countries.</w:t>
      </w:r>
    </w:p>
    <w:p>
      <w:pPr>
        <w:jc w:val="both"/>
        <w:rPr>
          <w:rFonts w:ascii="Times New Roman" w:hAnsi="Times New Roman" w:cs="Times New Roman"/>
          <w:noProof/>
          <w:sz w:val="24"/>
        </w:rPr>
      </w:pPr>
      <w:r>
        <w:rPr>
          <w:rFonts w:ascii="Times New Roman" w:hAnsi="Times New Roman" w:cs="Times New Roman"/>
          <w:noProof/>
          <w:sz w:val="24"/>
        </w:rPr>
        <w:t xml:space="preserve">The country where the application is submitted and processed and the channel used for submitting the application directly determine the real operational costs related to granting visa borne by the issuing state. Certain countries have implemented electronic visa application systems which are more cost-efficient. The fee for applicants using e-visa procedures is therefore usually lower compared to the traditional (paper) visa procedures. Additionally, the visa granted on the arrival is usually also cheaper. For instance, Turkey applies an electronic visa fee of USD 20 (EUR 17) to Austrian citizens, while the fee for visa on arrival is EUR 25. However, although there are various channels which finally help to reduce the costs and lower the final visa fee, states tend to limit its use only for citizens of selected countries due to security concerns and/or other reasons. </w:t>
      </w:r>
    </w:p>
    <w:p>
      <w:pPr>
        <w:jc w:val="both"/>
        <w:rPr>
          <w:rFonts w:ascii="Times New Roman" w:hAnsi="Times New Roman" w:cs="Times New Roman"/>
          <w:noProof/>
          <w:sz w:val="24"/>
        </w:rPr>
      </w:pPr>
      <w:r>
        <w:rPr>
          <w:rFonts w:ascii="Times New Roman" w:hAnsi="Times New Roman" w:cs="Times New Roman"/>
          <w:noProof/>
          <w:sz w:val="24"/>
        </w:rPr>
        <w:t>The following table shows the wide variation in visa fees charged by the top 10 tourist destinations according the total number of international tourist arrivals in 2017.</w:t>
      </w:r>
      <w:r>
        <w:rPr>
          <w:rStyle w:val="FootnoteReference"/>
          <w:rFonts w:ascii="Times New Roman" w:hAnsi="Times New Roman" w:cs="Times New Roman"/>
          <w:noProof/>
          <w:sz w:val="24"/>
        </w:rPr>
        <w:footnoteReference w:id="83"/>
      </w:r>
      <w:r>
        <w:rPr>
          <w:rFonts w:ascii="Times New Roman" w:hAnsi="Times New Roman" w:cs="Times New Roman"/>
          <w:noProof/>
          <w:sz w:val="24"/>
        </w:rPr>
        <w:t xml:space="preserve"> The Schengen area countries are exempted. </w:t>
      </w:r>
    </w:p>
    <w:tbl>
      <w:tblPr>
        <w:tblStyle w:val="TableGrid"/>
        <w:tblW w:w="9137" w:type="dxa"/>
        <w:tblInd w:w="108" w:type="dxa"/>
        <w:tblLook w:val="04A0" w:firstRow="1" w:lastRow="0" w:firstColumn="1" w:lastColumn="0" w:noHBand="0" w:noVBand="1"/>
      </w:tblPr>
      <w:tblGrid>
        <w:gridCol w:w="2127"/>
        <w:gridCol w:w="1842"/>
        <w:gridCol w:w="1701"/>
        <w:gridCol w:w="3467"/>
      </w:tblGrid>
      <w:tr>
        <w:trPr>
          <w:trHeight w:val="433"/>
        </w:trPr>
        <w:tc>
          <w:tcPr>
            <w:tcW w:w="2127" w:type="dxa"/>
            <w:vAlign w:val="center"/>
          </w:tcPr>
          <w:p>
            <w:pPr>
              <w:rPr>
                <w:i/>
                <w:noProof/>
                <w:sz w:val="24"/>
              </w:rPr>
            </w:pPr>
            <w:r>
              <w:rPr>
                <w:i/>
                <w:noProof/>
                <w:sz w:val="24"/>
              </w:rPr>
              <w:t>Country</w:t>
            </w:r>
          </w:p>
        </w:tc>
        <w:tc>
          <w:tcPr>
            <w:tcW w:w="1842" w:type="dxa"/>
            <w:vAlign w:val="center"/>
          </w:tcPr>
          <w:p>
            <w:pPr>
              <w:rPr>
                <w:i/>
                <w:noProof/>
                <w:sz w:val="24"/>
              </w:rPr>
            </w:pPr>
            <w:r>
              <w:rPr>
                <w:i/>
                <w:noProof/>
                <w:sz w:val="24"/>
              </w:rPr>
              <w:t>Visa fee</w:t>
            </w:r>
          </w:p>
        </w:tc>
        <w:tc>
          <w:tcPr>
            <w:tcW w:w="1701" w:type="dxa"/>
            <w:vAlign w:val="center"/>
          </w:tcPr>
          <w:p>
            <w:pPr>
              <w:rPr>
                <w:i/>
                <w:noProof/>
                <w:sz w:val="24"/>
              </w:rPr>
            </w:pPr>
            <w:r>
              <w:rPr>
                <w:i/>
                <w:noProof/>
                <w:sz w:val="24"/>
              </w:rPr>
              <w:t>Fee in EUR</w:t>
            </w:r>
            <w:r>
              <w:rPr>
                <w:rStyle w:val="FootnoteReference"/>
                <w:i/>
                <w:noProof/>
                <w:sz w:val="24"/>
              </w:rPr>
              <w:footnoteReference w:id="84"/>
            </w:r>
          </w:p>
        </w:tc>
        <w:tc>
          <w:tcPr>
            <w:tcW w:w="3467" w:type="dxa"/>
            <w:vAlign w:val="center"/>
          </w:tcPr>
          <w:p>
            <w:pPr>
              <w:rPr>
                <w:i/>
                <w:noProof/>
                <w:sz w:val="24"/>
              </w:rPr>
            </w:pPr>
            <w:r>
              <w:rPr>
                <w:i/>
                <w:noProof/>
                <w:sz w:val="24"/>
              </w:rPr>
              <w:t>Comment</w:t>
            </w:r>
          </w:p>
        </w:tc>
      </w:tr>
      <w:tr>
        <w:trPr>
          <w:trHeight w:val="433"/>
        </w:trPr>
        <w:tc>
          <w:tcPr>
            <w:tcW w:w="2127" w:type="dxa"/>
            <w:vAlign w:val="center"/>
          </w:tcPr>
          <w:p>
            <w:pPr>
              <w:rPr>
                <w:b/>
                <w:noProof/>
                <w:sz w:val="24"/>
              </w:rPr>
            </w:pPr>
            <w:r>
              <w:rPr>
                <w:b/>
                <w:noProof/>
                <w:sz w:val="24"/>
              </w:rPr>
              <w:t>Australia</w:t>
            </w:r>
          </w:p>
        </w:tc>
        <w:tc>
          <w:tcPr>
            <w:tcW w:w="1842" w:type="dxa"/>
            <w:vAlign w:val="center"/>
          </w:tcPr>
          <w:p>
            <w:pPr>
              <w:rPr>
                <w:noProof/>
                <w:sz w:val="24"/>
              </w:rPr>
            </w:pPr>
            <w:r>
              <w:rPr>
                <w:noProof/>
                <w:sz w:val="24"/>
              </w:rPr>
              <w:t>AUD 140</w:t>
            </w:r>
          </w:p>
        </w:tc>
        <w:tc>
          <w:tcPr>
            <w:tcW w:w="1701" w:type="dxa"/>
            <w:vAlign w:val="center"/>
          </w:tcPr>
          <w:p>
            <w:pPr>
              <w:rPr>
                <w:noProof/>
                <w:sz w:val="24"/>
              </w:rPr>
            </w:pPr>
            <w:r>
              <w:rPr>
                <w:noProof/>
                <w:sz w:val="24"/>
              </w:rPr>
              <w:t>EUR 90</w:t>
            </w:r>
          </w:p>
        </w:tc>
        <w:tc>
          <w:tcPr>
            <w:tcW w:w="3467" w:type="dxa"/>
            <w:vAlign w:val="center"/>
          </w:tcPr>
          <w:p>
            <w:pPr>
              <w:rPr>
                <w:noProof/>
                <w:sz w:val="24"/>
              </w:rPr>
            </w:pPr>
            <w:r>
              <w:rPr>
                <w:noProof/>
                <w:sz w:val="24"/>
              </w:rPr>
              <w:t>MEV valid 12 months</w:t>
            </w:r>
          </w:p>
        </w:tc>
      </w:tr>
      <w:tr>
        <w:trPr>
          <w:trHeight w:val="433"/>
        </w:trPr>
        <w:tc>
          <w:tcPr>
            <w:tcW w:w="2127" w:type="dxa"/>
            <w:vAlign w:val="center"/>
          </w:tcPr>
          <w:p>
            <w:pPr>
              <w:rPr>
                <w:b/>
                <w:noProof/>
                <w:sz w:val="24"/>
              </w:rPr>
            </w:pPr>
            <w:r>
              <w:rPr>
                <w:b/>
                <w:noProof/>
                <w:sz w:val="24"/>
              </w:rPr>
              <w:t>China</w:t>
            </w:r>
          </w:p>
        </w:tc>
        <w:tc>
          <w:tcPr>
            <w:tcW w:w="1842" w:type="dxa"/>
            <w:vAlign w:val="center"/>
          </w:tcPr>
          <w:p>
            <w:pPr>
              <w:rPr>
                <w:noProof/>
                <w:sz w:val="24"/>
              </w:rPr>
            </w:pPr>
          </w:p>
        </w:tc>
        <w:tc>
          <w:tcPr>
            <w:tcW w:w="1701" w:type="dxa"/>
            <w:vAlign w:val="center"/>
          </w:tcPr>
          <w:p>
            <w:pPr>
              <w:rPr>
                <w:noProof/>
                <w:sz w:val="24"/>
              </w:rPr>
            </w:pPr>
            <w:r>
              <w:rPr>
                <w:noProof/>
                <w:sz w:val="24"/>
              </w:rPr>
              <w:t>EUR 30-190</w:t>
            </w:r>
          </w:p>
        </w:tc>
        <w:tc>
          <w:tcPr>
            <w:tcW w:w="3467" w:type="dxa"/>
            <w:vAlign w:val="center"/>
          </w:tcPr>
          <w:p>
            <w:pPr>
              <w:rPr>
                <w:noProof/>
                <w:sz w:val="24"/>
              </w:rPr>
            </w:pPr>
            <w:r>
              <w:rPr>
                <w:noProof/>
                <w:sz w:val="24"/>
              </w:rPr>
              <w:t>MEV up to 12 months</w:t>
            </w:r>
          </w:p>
        </w:tc>
      </w:tr>
      <w:tr>
        <w:trPr>
          <w:trHeight w:val="433"/>
        </w:trPr>
        <w:tc>
          <w:tcPr>
            <w:tcW w:w="2127" w:type="dxa"/>
            <w:vAlign w:val="center"/>
          </w:tcPr>
          <w:p>
            <w:pPr>
              <w:rPr>
                <w:b/>
                <w:noProof/>
                <w:sz w:val="24"/>
              </w:rPr>
            </w:pPr>
            <w:r>
              <w:rPr>
                <w:b/>
                <w:noProof/>
                <w:sz w:val="24"/>
              </w:rPr>
              <w:t>Japan</w:t>
            </w:r>
          </w:p>
        </w:tc>
        <w:tc>
          <w:tcPr>
            <w:tcW w:w="1842" w:type="dxa"/>
            <w:vAlign w:val="center"/>
          </w:tcPr>
          <w:p>
            <w:pPr>
              <w:rPr>
                <w:noProof/>
                <w:sz w:val="24"/>
              </w:rPr>
            </w:pPr>
            <w:r>
              <w:rPr>
                <w:noProof/>
                <w:sz w:val="24"/>
              </w:rPr>
              <w:t>JPY 3.000-6.000</w:t>
            </w:r>
          </w:p>
        </w:tc>
        <w:tc>
          <w:tcPr>
            <w:tcW w:w="1701" w:type="dxa"/>
            <w:vAlign w:val="center"/>
          </w:tcPr>
          <w:p>
            <w:pPr>
              <w:rPr>
                <w:noProof/>
                <w:sz w:val="24"/>
              </w:rPr>
            </w:pPr>
            <w:r>
              <w:rPr>
                <w:noProof/>
                <w:sz w:val="24"/>
              </w:rPr>
              <w:t>EUR 22-47</w:t>
            </w:r>
          </w:p>
        </w:tc>
        <w:tc>
          <w:tcPr>
            <w:tcW w:w="3467" w:type="dxa"/>
            <w:vAlign w:val="center"/>
          </w:tcPr>
          <w:p>
            <w:pPr>
              <w:rPr>
                <w:noProof/>
                <w:sz w:val="24"/>
              </w:rPr>
            </w:pPr>
            <w:r>
              <w:rPr>
                <w:noProof/>
                <w:sz w:val="24"/>
              </w:rPr>
              <w:t>MEV</w:t>
            </w:r>
          </w:p>
        </w:tc>
      </w:tr>
      <w:tr>
        <w:trPr>
          <w:trHeight w:val="433"/>
        </w:trPr>
        <w:tc>
          <w:tcPr>
            <w:tcW w:w="2127" w:type="dxa"/>
            <w:vAlign w:val="center"/>
          </w:tcPr>
          <w:p>
            <w:pPr>
              <w:rPr>
                <w:b/>
                <w:noProof/>
                <w:sz w:val="24"/>
              </w:rPr>
            </w:pPr>
            <w:r>
              <w:rPr>
                <w:b/>
                <w:noProof/>
                <w:sz w:val="24"/>
              </w:rPr>
              <w:t>Malaysia</w:t>
            </w:r>
          </w:p>
        </w:tc>
        <w:tc>
          <w:tcPr>
            <w:tcW w:w="1842" w:type="dxa"/>
            <w:vAlign w:val="center"/>
          </w:tcPr>
          <w:p>
            <w:pPr>
              <w:rPr>
                <w:noProof/>
                <w:sz w:val="24"/>
              </w:rPr>
            </w:pPr>
            <w:r>
              <w:rPr>
                <w:noProof/>
                <w:sz w:val="24"/>
              </w:rPr>
              <w:t>MYR 6-50</w:t>
            </w:r>
          </w:p>
        </w:tc>
        <w:tc>
          <w:tcPr>
            <w:tcW w:w="1701" w:type="dxa"/>
            <w:vAlign w:val="center"/>
          </w:tcPr>
          <w:p>
            <w:pPr>
              <w:rPr>
                <w:noProof/>
                <w:sz w:val="24"/>
              </w:rPr>
            </w:pPr>
            <w:r>
              <w:rPr>
                <w:noProof/>
                <w:sz w:val="24"/>
              </w:rPr>
              <w:t>EUR 1,24-10</w:t>
            </w:r>
          </w:p>
        </w:tc>
        <w:tc>
          <w:tcPr>
            <w:tcW w:w="3467" w:type="dxa"/>
            <w:vAlign w:val="center"/>
          </w:tcPr>
          <w:p>
            <w:pPr>
              <w:rPr>
                <w:noProof/>
                <w:sz w:val="24"/>
              </w:rPr>
            </w:pPr>
            <w:r>
              <w:rPr>
                <w:noProof/>
                <w:sz w:val="24"/>
              </w:rPr>
              <w:t>MEV up to 12 months</w:t>
            </w:r>
          </w:p>
        </w:tc>
      </w:tr>
      <w:tr>
        <w:trPr>
          <w:trHeight w:val="433"/>
        </w:trPr>
        <w:tc>
          <w:tcPr>
            <w:tcW w:w="2127" w:type="dxa"/>
            <w:vAlign w:val="center"/>
          </w:tcPr>
          <w:p>
            <w:pPr>
              <w:rPr>
                <w:b/>
                <w:noProof/>
                <w:sz w:val="24"/>
              </w:rPr>
            </w:pPr>
            <w:r>
              <w:rPr>
                <w:b/>
                <w:noProof/>
                <w:sz w:val="24"/>
              </w:rPr>
              <w:t>Mexico</w:t>
            </w:r>
          </w:p>
        </w:tc>
        <w:tc>
          <w:tcPr>
            <w:tcW w:w="1842" w:type="dxa"/>
            <w:vAlign w:val="center"/>
          </w:tcPr>
          <w:p>
            <w:pPr>
              <w:rPr>
                <w:noProof/>
                <w:sz w:val="24"/>
              </w:rPr>
            </w:pPr>
            <w:r>
              <w:rPr>
                <w:noProof/>
                <w:sz w:val="24"/>
              </w:rPr>
              <w:t>USD 36</w:t>
            </w:r>
          </w:p>
        </w:tc>
        <w:tc>
          <w:tcPr>
            <w:tcW w:w="1701" w:type="dxa"/>
            <w:vAlign w:val="center"/>
          </w:tcPr>
          <w:p>
            <w:pPr>
              <w:rPr>
                <w:noProof/>
                <w:sz w:val="24"/>
              </w:rPr>
            </w:pPr>
            <w:r>
              <w:rPr>
                <w:noProof/>
                <w:sz w:val="24"/>
              </w:rPr>
              <w:t>EUR 30</w:t>
            </w:r>
          </w:p>
        </w:tc>
        <w:tc>
          <w:tcPr>
            <w:tcW w:w="3467" w:type="dxa"/>
            <w:vAlign w:val="center"/>
          </w:tcPr>
          <w:p>
            <w:pPr>
              <w:rPr>
                <w:noProof/>
                <w:sz w:val="24"/>
              </w:rPr>
            </w:pPr>
            <w:r>
              <w:rPr>
                <w:noProof/>
                <w:sz w:val="24"/>
              </w:rPr>
              <w:t>MEV up to 180 days</w:t>
            </w:r>
          </w:p>
        </w:tc>
      </w:tr>
      <w:tr>
        <w:trPr>
          <w:trHeight w:val="433"/>
        </w:trPr>
        <w:tc>
          <w:tcPr>
            <w:tcW w:w="2127" w:type="dxa"/>
            <w:vAlign w:val="center"/>
          </w:tcPr>
          <w:p>
            <w:pPr>
              <w:rPr>
                <w:b/>
                <w:noProof/>
                <w:sz w:val="24"/>
              </w:rPr>
            </w:pPr>
            <w:r>
              <w:rPr>
                <w:b/>
                <w:noProof/>
                <w:sz w:val="24"/>
              </w:rPr>
              <w:t>New Zealand</w:t>
            </w:r>
          </w:p>
        </w:tc>
        <w:tc>
          <w:tcPr>
            <w:tcW w:w="1842" w:type="dxa"/>
            <w:vAlign w:val="center"/>
          </w:tcPr>
          <w:p>
            <w:pPr>
              <w:rPr>
                <w:noProof/>
                <w:sz w:val="24"/>
              </w:rPr>
            </w:pPr>
            <w:r>
              <w:rPr>
                <w:noProof/>
                <w:sz w:val="24"/>
              </w:rPr>
              <w:t>NZD 170</w:t>
            </w:r>
          </w:p>
        </w:tc>
        <w:tc>
          <w:tcPr>
            <w:tcW w:w="1701" w:type="dxa"/>
            <w:vAlign w:val="center"/>
          </w:tcPr>
          <w:p>
            <w:pPr>
              <w:rPr>
                <w:noProof/>
                <w:sz w:val="24"/>
              </w:rPr>
            </w:pPr>
            <w:r>
              <w:rPr>
                <w:noProof/>
                <w:sz w:val="24"/>
              </w:rPr>
              <w:t>EUR 100</w:t>
            </w:r>
          </w:p>
        </w:tc>
        <w:tc>
          <w:tcPr>
            <w:tcW w:w="3467" w:type="dxa"/>
            <w:vAlign w:val="center"/>
          </w:tcPr>
          <w:p>
            <w:pPr>
              <w:rPr>
                <w:noProof/>
                <w:sz w:val="24"/>
              </w:rPr>
            </w:pPr>
            <w:r>
              <w:rPr>
                <w:noProof/>
                <w:sz w:val="24"/>
              </w:rPr>
              <w:t>MEV up to 9 months</w:t>
            </w:r>
          </w:p>
        </w:tc>
      </w:tr>
      <w:tr>
        <w:trPr>
          <w:trHeight w:val="433"/>
        </w:trPr>
        <w:tc>
          <w:tcPr>
            <w:tcW w:w="2127" w:type="dxa"/>
            <w:vAlign w:val="center"/>
          </w:tcPr>
          <w:p>
            <w:pPr>
              <w:rPr>
                <w:b/>
                <w:noProof/>
                <w:sz w:val="24"/>
              </w:rPr>
            </w:pPr>
            <w:r>
              <w:rPr>
                <w:b/>
                <w:noProof/>
                <w:sz w:val="24"/>
              </w:rPr>
              <w:t>Thailand</w:t>
            </w:r>
          </w:p>
        </w:tc>
        <w:tc>
          <w:tcPr>
            <w:tcW w:w="1842" w:type="dxa"/>
            <w:vAlign w:val="center"/>
          </w:tcPr>
          <w:p>
            <w:pPr>
              <w:rPr>
                <w:noProof/>
                <w:sz w:val="24"/>
              </w:rPr>
            </w:pPr>
            <w:r>
              <w:rPr>
                <w:noProof/>
                <w:sz w:val="24"/>
              </w:rPr>
              <w:t>THB 1.000</w:t>
            </w:r>
          </w:p>
        </w:tc>
        <w:tc>
          <w:tcPr>
            <w:tcW w:w="1701" w:type="dxa"/>
            <w:vAlign w:val="center"/>
          </w:tcPr>
          <w:p>
            <w:pPr>
              <w:rPr>
                <w:noProof/>
                <w:sz w:val="24"/>
              </w:rPr>
            </w:pPr>
            <w:r>
              <w:rPr>
                <w:noProof/>
                <w:sz w:val="24"/>
              </w:rPr>
              <w:t>EUR 25</w:t>
            </w:r>
          </w:p>
        </w:tc>
        <w:tc>
          <w:tcPr>
            <w:tcW w:w="3467" w:type="dxa"/>
            <w:vAlign w:val="center"/>
          </w:tcPr>
          <w:p>
            <w:pPr>
              <w:rPr>
                <w:noProof/>
                <w:sz w:val="24"/>
              </w:rPr>
            </w:pPr>
            <w:r>
              <w:rPr>
                <w:noProof/>
                <w:sz w:val="24"/>
              </w:rPr>
              <w:t>Per entry, MEV up to 6 months</w:t>
            </w:r>
          </w:p>
        </w:tc>
      </w:tr>
      <w:tr>
        <w:trPr>
          <w:trHeight w:val="433"/>
        </w:trPr>
        <w:tc>
          <w:tcPr>
            <w:tcW w:w="2127" w:type="dxa"/>
            <w:vAlign w:val="center"/>
          </w:tcPr>
          <w:p>
            <w:pPr>
              <w:rPr>
                <w:b/>
                <w:noProof/>
                <w:sz w:val="24"/>
              </w:rPr>
            </w:pPr>
            <w:r>
              <w:rPr>
                <w:b/>
                <w:noProof/>
                <w:sz w:val="24"/>
              </w:rPr>
              <w:t>Turkey</w:t>
            </w:r>
          </w:p>
        </w:tc>
        <w:tc>
          <w:tcPr>
            <w:tcW w:w="1842" w:type="dxa"/>
            <w:vAlign w:val="center"/>
          </w:tcPr>
          <w:p>
            <w:pPr>
              <w:rPr>
                <w:noProof/>
                <w:sz w:val="24"/>
              </w:rPr>
            </w:pPr>
          </w:p>
        </w:tc>
        <w:tc>
          <w:tcPr>
            <w:tcW w:w="1701" w:type="dxa"/>
            <w:vAlign w:val="center"/>
          </w:tcPr>
          <w:p>
            <w:pPr>
              <w:rPr>
                <w:noProof/>
                <w:sz w:val="24"/>
              </w:rPr>
            </w:pPr>
            <w:r>
              <w:rPr>
                <w:noProof/>
                <w:sz w:val="24"/>
              </w:rPr>
              <w:t>EUR 20-50</w:t>
            </w:r>
          </w:p>
        </w:tc>
        <w:tc>
          <w:tcPr>
            <w:tcW w:w="3467" w:type="dxa"/>
            <w:vAlign w:val="center"/>
          </w:tcPr>
          <w:p>
            <w:pPr>
              <w:rPr>
                <w:noProof/>
                <w:sz w:val="24"/>
              </w:rPr>
            </w:pPr>
            <w:r>
              <w:rPr>
                <w:noProof/>
                <w:sz w:val="24"/>
              </w:rPr>
              <w:t>Visa on arrival</w:t>
            </w:r>
          </w:p>
        </w:tc>
      </w:tr>
      <w:tr>
        <w:trPr>
          <w:trHeight w:val="433"/>
        </w:trPr>
        <w:tc>
          <w:tcPr>
            <w:tcW w:w="2127" w:type="dxa"/>
            <w:vAlign w:val="center"/>
          </w:tcPr>
          <w:p>
            <w:pPr>
              <w:rPr>
                <w:b/>
                <w:noProof/>
                <w:sz w:val="24"/>
              </w:rPr>
            </w:pPr>
            <w:r>
              <w:rPr>
                <w:b/>
                <w:noProof/>
                <w:sz w:val="24"/>
              </w:rPr>
              <w:t>United Kingdom</w:t>
            </w:r>
          </w:p>
        </w:tc>
        <w:tc>
          <w:tcPr>
            <w:tcW w:w="1842" w:type="dxa"/>
            <w:vAlign w:val="center"/>
          </w:tcPr>
          <w:p>
            <w:pPr>
              <w:rPr>
                <w:noProof/>
                <w:sz w:val="24"/>
              </w:rPr>
            </w:pPr>
            <w:r>
              <w:rPr>
                <w:noProof/>
                <w:sz w:val="24"/>
              </w:rPr>
              <w:t>GBP 89</w:t>
            </w:r>
          </w:p>
        </w:tc>
        <w:tc>
          <w:tcPr>
            <w:tcW w:w="1701" w:type="dxa"/>
            <w:vAlign w:val="center"/>
          </w:tcPr>
          <w:p>
            <w:pPr>
              <w:rPr>
                <w:noProof/>
                <w:sz w:val="24"/>
              </w:rPr>
            </w:pPr>
            <w:r>
              <w:rPr>
                <w:noProof/>
                <w:sz w:val="24"/>
              </w:rPr>
              <w:t>EUR 100</w:t>
            </w:r>
          </w:p>
        </w:tc>
        <w:tc>
          <w:tcPr>
            <w:tcW w:w="3467" w:type="dxa"/>
            <w:vAlign w:val="center"/>
          </w:tcPr>
          <w:p>
            <w:pPr>
              <w:rPr>
                <w:noProof/>
                <w:sz w:val="24"/>
              </w:rPr>
            </w:pPr>
            <w:r>
              <w:rPr>
                <w:noProof/>
                <w:sz w:val="24"/>
              </w:rPr>
              <w:t>MEV up to 6 months</w:t>
            </w:r>
          </w:p>
        </w:tc>
      </w:tr>
      <w:tr>
        <w:trPr>
          <w:trHeight w:val="433"/>
        </w:trPr>
        <w:tc>
          <w:tcPr>
            <w:tcW w:w="2127" w:type="dxa"/>
            <w:vAlign w:val="center"/>
          </w:tcPr>
          <w:p>
            <w:pPr>
              <w:rPr>
                <w:b/>
                <w:noProof/>
                <w:sz w:val="24"/>
              </w:rPr>
            </w:pPr>
            <w:r>
              <w:rPr>
                <w:b/>
                <w:noProof/>
                <w:sz w:val="24"/>
              </w:rPr>
              <w:t>United States</w:t>
            </w:r>
          </w:p>
        </w:tc>
        <w:tc>
          <w:tcPr>
            <w:tcW w:w="1842" w:type="dxa"/>
            <w:vAlign w:val="center"/>
          </w:tcPr>
          <w:p>
            <w:pPr>
              <w:rPr>
                <w:noProof/>
                <w:sz w:val="24"/>
              </w:rPr>
            </w:pPr>
            <w:r>
              <w:rPr>
                <w:noProof/>
                <w:sz w:val="24"/>
              </w:rPr>
              <w:t>USD 160</w:t>
            </w:r>
          </w:p>
        </w:tc>
        <w:tc>
          <w:tcPr>
            <w:tcW w:w="1701" w:type="dxa"/>
            <w:vAlign w:val="center"/>
          </w:tcPr>
          <w:p>
            <w:pPr>
              <w:rPr>
                <w:noProof/>
                <w:sz w:val="24"/>
              </w:rPr>
            </w:pPr>
            <w:r>
              <w:rPr>
                <w:noProof/>
                <w:sz w:val="24"/>
              </w:rPr>
              <w:t>EUR 133</w:t>
            </w:r>
          </w:p>
        </w:tc>
        <w:tc>
          <w:tcPr>
            <w:tcW w:w="3467" w:type="dxa"/>
            <w:vAlign w:val="center"/>
          </w:tcPr>
          <w:p>
            <w:pPr>
              <w:rPr>
                <w:noProof/>
                <w:sz w:val="24"/>
              </w:rPr>
            </w:pPr>
            <w:r>
              <w:rPr>
                <w:noProof/>
                <w:sz w:val="24"/>
              </w:rPr>
              <w:t>MEV up to 10 years</w:t>
            </w:r>
          </w:p>
        </w:tc>
      </w:tr>
    </w:tbl>
    <w:p>
      <w:pPr>
        <w:jc w:val="both"/>
        <w:rPr>
          <w:rFonts w:ascii="Times New Roman" w:hAnsi="Times New Roman" w:cs="Times New Roman"/>
          <w:noProof/>
          <w:sz w:val="24"/>
        </w:rPr>
      </w:pPr>
    </w:p>
    <w:p>
      <w:pPr>
        <w:jc w:val="both"/>
        <w:rPr>
          <w:rFonts w:ascii="Times New Roman" w:hAnsi="Times New Roman" w:cs="Times New Roman"/>
          <w:noProof/>
          <w:sz w:val="24"/>
        </w:rPr>
      </w:pPr>
      <w:r>
        <w:rPr>
          <w:rFonts w:ascii="Times New Roman" w:hAnsi="Times New Roman" w:cs="Times New Roman"/>
          <w:noProof/>
          <w:sz w:val="24"/>
        </w:rPr>
        <w:t xml:space="preserve">The actual operational costs of processing visa applications are a determining factor for setting the visa fee. The economic strength and purchasing power of the issuing country, and hence the costs for human resources, have a strong correlation with the visa fee. </w:t>
      </w:r>
    </w:p>
    <w:p>
      <w:pPr>
        <w:jc w:val="both"/>
        <w:rPr>
          <w:rFonts w:ascii="Times New Roman" w:hAnsi="Times New Roman" w:cs="Times New Roman"/>
          <w:noProof/>
          <w:sz w:val="24"/>
        </w:rPr>
      </w:pPr>
      <w:r>
        <w:rPr>
          <w:rFonts w:ascii="Times New Roman" w:hAnsi="Times New Roman" w:cs="Times New Roman"/>
          <w:noProof/>
          <w:sz w:val="24"/>
        </w:rPr>
        <w:t>The correlation between a country's visa fee and its economic development can be observed comparing the table above with the graph below showing the nominal GDP per capita and the GDP at purchasing power parity (PPP) per capita of the selected countries.</w:t>
      </w:r>
      <w:r>
        <w:rPr>
          <w:rStyle w:val="FootnoteReference"/>
          <w:rFonts w:ascii="Times New Roman" w:hAnsi="Times New Roman" w:cs="Times New Roman"/>
          <w:noProof/>
          <w:sz w:val="24"/>
        </w:rPr>
        <w:footnoteReference w:id="85"/>
      </w:r>
    </w:p>
    <w:p>
      <w:pPr>
        <w:jc w:val="both"/>
        <w:rPr>
          <w:rFonts w:ascii="Times New Roman" w:hAnsi="Times New Roman" w:cs="Times New Roman"/>
          <w:noProof/>
          <w:sz w:val="24"/>
        </w:rPr>
      </w:pPr>
      <w:r>
        <w:rPr>
          <w:noProof/>
          <w:lang w:val="en-US"/>
        </w:rPr>
        <w:drawing>
          <wp:inline distT="0" distB="0" distL="0" distR="0">
            <wp:extent cx="5760720" cy="3121053"/>
            <wp:effectExtent l="0" t="0" r="1143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jc w:val="both"/>
        <w:rPr>
          <w:rFonts w:ascii="Times New Roman" w:hAnsi="Times New Roman" w:cs="Times New Roman"/>
          <w:noProof/>
          <w:sz w:val="24"/>
        </w:rPr>
      </w:pPr>
      <w:r>
        <w:rPr>
          <w:rFonts w:ascii="Times New Roman" w:hAnsi="Times New Roman" w:cs="Times New Roman"/>
          <w:noProof/>
          <w:sz w:val="24"/>
        </w:rPr>
        <w:t>The top tourist destinations can be divided into two groups of countries, whereby the visa fee roughly corresponds with the economic development, with the exception of Japan. One group, comprising Australia, New Zealand, the United Kingdom and the United States, applies visa fees in the range of EUR 90 to 133. The second group, Malaysia, Turkey, Mexico, Thailand and China, requires on average a lower visa fee compared to the first group. Furthermore, countries in the second group have usually more complex visa fee system, whereas the first group applies a simpler system. Japan would fall under the category of higher GDP per capita; however the considerably lower visa fee makes it an exception.</w:t>
      </w:r>
    </w:p>
    <w:p>
      <w:pPr>
        <w:jc w:val="both"/>
        <w:rPr>
          <w:rFonts w:ascii="Times New Roman" w:hAnsi="Times New Roman" w:cs="Times New Roman"/>
          <w:noProof/>
          <w:sz w:val="24"/>
        </w:rPr>
      </w:pPr>
      <w:r>
        <w:rPr>
          <w:rFonts w:ascii="Times New Roman" w:hAnsi="Times New Roman" w:cs="Times New Roman"/>
          <w:noProof/>
          <w:sz w:val="24"/>
        </w:rPr>
        <w:t>Average GDP (PPP) per capita in the European Union reached EUR 33,060 (USD 39,838) in 2016.</w:t>
      </w:r>
      <w:r>
        <w:rPr>
          <w:rStyle w:val="FootnoteReference"/>
          <w:rFonts w:ascii="Times New Roman" w:hAnsi="Times New Roman" w:cs="Times New Roman"/>
          <w:noProof/>
          <w:sz w:val="24"/>
        </w:rPr>
        <w:footnoteReference w:id="86"/>
      </w:r>
      <w:r>
        <w:rPr>
          <w:rFonts w:ascii="Times New Roman" w:hAnsi="Times New Roman" w:cs="Times New Roman"/>
          <w:noProof/>
          <w:sz w:val="24"/>
        </w:rPr>
        <w:t xml:space="preserve"> The Schengen area therefore clearly belongs to the first group of states with regard to their economic performance. The current </w:t>
      </w:r>
      <w:r>
        <w:rPr>
          <w:rFonts w:ascii="Times New Roman" w:hAnsi="Times New Roman" w:cs="Times New Roman"/>
          <w:b/>
          <w:noProof/>
          <w:sz w:val="24"/>
        </w:rPr>
        <w:t>Schengen visa fee</w:t>
      </w:r>
      <w:r>
        <w:rPr>
          <w:rFonts w:ascii="Times New Roman" w:hAnsi="Times New Roman" w:cs="Times New Roman"/>
          <w:noProof/>
          <w:sz w:val="24"/>
        </w:rPr>
        <w:t xml:space="preserve"> of EUR 60 is therefore</w:t>
      </w:r>
      <w:r>
        <w:rPr>
          <w:rFonts w:ascii="Times New Roman" w:hAnsi="Times New Roman" w:cs="Times New Roman"/>
          <w:b/>
          <w:noProof/>
          <w:sz w:val="24"/>
        </w:rPr>
        <w:t xml:space="preserve"> rather low compared to other countries in the same group</w:t>
      </w:r>
      <w:r>
        <w:rPr>
          <w:rFonts w:ascii="Times New Roman" w:hAnsi="Times New Roman" w:cs="Times New Roman"/>
          <w:noProof/>
          <w:sz w:val="24"/>
        </w:rPr>
        <w:t>.</w:t>
      </w:r>
    </w:p>
    <w:p>
      <w:pPr>
        <w:jc w:val="both"/>
        <w:rPr>
          <w:rFonts w:ascii="Times New Roman" w:hAnsi="Times New Roman" w:cs="Times New Roman"/>
          <w:noProof/>
          <w:sz w:val="24"/>
        </w:rPr>
      </w:pPr>
      <w:r>
        <w:rPr>
          <w:rFonts w:ascii="Times New Roman" w:hAnsi="Times New Roman" w:cs="Times New Roman"/>
          <w:noProof/>
          <w:sz w:val="24"/>
        </w:rPr>
        <w:t xml:space="preserve">EU citizens are exempted from the visa requirement by many third countries. Those third countries that still do require visas do not always apply the same visa fees to all EU citizens.  </w:t>
      </w:r>
    </w:p>
    <w:p>
      <w:pPr>
        <w:jc w:val="both"/>
        <w:rPr>
          <w:rFonts w:ascii="Times New Roman" w:hAnsi="Times New Roman" w:cs="Times New Roman"/>
          <w:noProof/>
          <w:sz w:val="24"/>
        </w:rPr>
      </w:pPr>
      <w:r>
        <w:rPr>
          <w:rFonts w:ascii="Times New Roman" w:hAnsi="Times New Roman" w:cs="Times New Roman"/>
          <w:noProof/>
          <w:sz w:val="24"/>
        </w:rPr>
        <w:t>By way of example, the following table shows visa fees applied to Belgian citizens by selected third countries</w:t>
      </w:r>
    </w:p>
    <w:tbl>
      <w:tblPr>
        <w:tblStyle w:val="TableGrid"/>
        <w:tblW w:w="9137" w:type="dxa"/>
        <w:tblInd w:w="108" w:type="dxa"/>
        <w:tblLook w:val="04A0" w:firstRow="1" w:lastRow="0" w:firstColumn="1" w:lastColumn="0" w:noHBand="0" w:noVBand="1"/>
      </w:tblPr>
      <w:tblGrid>
        <w:gridCol w:w="2127"/>
        <w:gridCol w:w="1842"/>
        <w:gridCol w:w="1701"/>
        <w:gridCol w:w="3467"/>
      </w:tblGrid>
      <w:tr>
        <w:trPr>
          <w:trHeight w:val="433"/>
        </w:trPr>
        <w:tc>
          <w:tcPr>
            <w:tcW w:w="2127" w:type="dxa"/>
            <w:vAlign w:val="center"/>
          </w:tcPr>
          <w:p>
            <w:pPr>
              <w:rPr>
                <w:i/>
                <w:noProof/>
                <w:sz w:val="24"/>
              </w:rPr>
            </w:pPr>
            <w:r>
              <w:rPr>
                <w:i/>
                <w:noProof/>
                <w:sz w:val="24"/>
              </w:rPr>
              <w:t>Country</w:t>
            </w:r>
          </w:p>
        </w:tc>
        <w:tc>
          <w:tcPr>
            <w:tcW w:w="1842" w:type="dxa"/>
            <w:vAlign w:val="center"/>
          </w:tcPr>
          <w:p>
            <w:pPr>
              <w:rPr>
                <w:i/>
                <w:noProof/>
                <w:sz w:val="24"/>
              </w:rPr>
            </w:pPr>
            <w:r>
              <w:rPr>
                <w:i/>
                <w:noProof/>
                <w:sz w:val="24"/>
              </w:rPr>
              <w:t>Visa fee</w:t>
            </w:r>
          </w:p>
        </w:tc>
        <w:tc>
          <w:tcPr>
            <w:tcW w:w="1701" w:type="dxa"/>
            <w:vAlign w:val="center"/>
          </w:tcPr>
          <w:p>
            <w:pPr>
              <w:rPr>
                <w:i/>
                <w:noProof/>
                <w:sz w:val="24"/>
              </w:rPr>
            </w:pPr>
            <w:r>
              <w:rPr>
                <w:i/>
                <w:noProof/>
                <w:sz w:val="24"/>
              </w:rPr>
              <w:t>Fee in EUR</w:t>
            </w:r>
            <w:r>
              <w:rPr>
                <w:rStyle w:val="FootnoteReference"/>
                <w:i/>
                <w:noProof/>
                <w:sz w:val="24"/>
              </w:rPr>
              <w:footnoteReference w:id="87"/>
            </w:r>
          </w:p>
        </w:tc>
        <w:tc>
          <w:tcPr>
            <w:tcW w:w="3467" w:type="dxa"/>
            <w:vAlign w:val="center"/>
          </w:tcPr>
          <w:p>
            <w:pPr>
              <w:rPr>
                <w:i/>
                <w:noProof/>
                <w:sz w:val="24"/>
              </w:rPr>
            </w:pPr>
            <w:r>
              <w:rPr>
                <w:i/>
                <w:noProof/>
                <w:sz w:val="24"/>
              </w:rPr>
              <w:t>Comment</w:t>
            </w:r>
          </w:p>
        </w:tc>
      </w:tr>
      <w:tr>
        <w:trPr>
          <w:trHeight w:val="433"/>
        </w:trPr>
        <w:tc>
          <w:tcPr>
            <w:tcW w:w="2127" w:type="dxa"/>
            <w:vAlign w:val="center"/>
          </w:tcPr>
          <w:p>
            <w:pPr>
              <w:rPr>
                <w:b/>
                <w:noProof/>
                <w:sz w:val="24"/>
              </w:rPr>
            </w:pPr>
            <w:r>
              <w:rPr>
                <w:b/>
                <w:noProof/>
                <w:sz w:val="24"/>
              </w:rPr>
              <w:t>Angola</w:t>
            </w:r>
          </w:p>
        </w:tc>
        <w:tc>
          <w:tcPr>
            <w:tcW w:w="1842" w:type="dxa"/>
            <w:vAlign w:val="center"/>
          </w:tcPr>
          <w:p>
            <w:pPr>
              <w:rPr>
                <w:noProof/>
                <w:sz w:val="24"/>
              </w:rPr>
            </w:pPr>
          </w:p>
        </w:tc>
        <w:tc>
          <w:tcPr>
            <w:tcW w:w="1701" w:type="dxa"/>
            <w:vAlign w:val="center"/>
          </w:tcPr>
          <w:p>
            <w:pPr>
              <w:rPr>
                <w:noProof/>
                <w:sz w:val="24"/>
              </w:rPr>
            </w:pPr>
            <w:r>
              <w:rPr>
                <w:noProof/>
                <w:sz w:val="24"/>
              </w:rPr>
              <w:t>EUR 75</w:t>
            </w:r>
          </w:p>
          <w:p>
            <w:pPr>
              <w:rPr>
                <w:noProof/>
                <w:sz w:val="24"/>
              </w:rPr>
            </w:pPr>
            <w:r>
              <w:rPr>
                <w:noProof/>
                <w:sz w:val="24"/>
              </w:rPr>
              <w:t>EUR 120</w:t>
            </w:r>
          </w:p>
          <w:p>
            <w:pPr>
              <w:rPr>
                <w:noProof/>
                <w:sz w:val="24"/>
              </w:rPr>
            </w:pPr>
            <w:r>
              <w:rPr>
                <w:noProof/>
                <w:sz w:val="24"/>
              </w:rPr>
              <w:t>EUR 190</w:t>
            </w:r>
          </w:p>
        </w:tc>
        <w:tc>
          <w:tcPr>
            <w:tcW w:w="3467" w:type="dxa"/>
            <w:vAlign w:val="center"/>
          </w:tcPr>
          <w:p>
            <w:pPr>
              <w:rPr>
                <w:noProof/>
                <w:sz w:val="24"/>
              </w:rPr>
            </w:pPr>
            <w:r>
              <w:rPr>
                <w:noProof/>
                <w:sz w:val="24"/>
              </w:rPr>
              <w:t>SEV up to 30 days – ordinary</w:t>
            </w:r>
          </w:p>
          <w:p>
            <w:pPr>
              <w:rPr>
                <w:noProof/>
                <w:sz w:val="24"/>
              </w:rPr>
            </w:pPr>
            <w:r>
              <w:rPr>
                <w:noProof/>
                <w:sz w:val="24"/>
              </w:rPr>
              <w:t>SEV - urgent (10 days)</w:t>
            </w:r>
          </w:p>
          <w:p>
            <w:pPr>
              <w:rPr>
                <w:noProof/>
                <w:sz w:val="24"/>
              </w:rPr>
            </w:pPr>
            <w:r>
              <w:rPr>
                <w:noProof/>
                <w:sz w:val="24"/>
              </w:rPr>
              <w:t>SEV - express (5 days)</w:t>
            </w:r>
          </w:p>
        </w:tc>
      </w:tr>
      <w:tr>
        <w:trPr>
          <w:trHeight w:val="433"/>
        </w:trPr>
        <w:tc>
          <w:tcPr>
            <w:tcW w:w="2127" w:type="dxa"/>
            <w:vAlign w:val="center"/>
          </w:tcPr>
          <w:p>
            <w:pPr>
              <w:rPr>
                <w:b/>
                <w:noProof/>
                <w:sz w:val="24"/>
              </w:rPr>
            </w:pPr>
            <w:r>
              <w:rPr>
                <w:b/>
                <w:noProof/>
                <w:sz w:val="24"/>
              </w:rPr>
              <w:t>Algeria</w:t>
            </w:r>
          </w:p>
        </w:tc>
        <w:tc>
          <w:tcPr>
            <w:tcW w:w="1842" w:type="dxa"/>
            <w:vAlign w:val="center"/>
          </w:tcPr>
          <w:p>
            <w:pPr>
              <w:rPr>
                <w:noProof/>
                <w:sz w:val="24"/>
              </w:rPr>
            </w:pPr>
          </w:p>
        </w:tc>
        <w:tc>
          <w:tcPr>
            <w:tcW w:w="1701" w:type="dxa"/>
            <w:vAlign w:val="center"/>
          </w:tcPr>
          <w:p>
            <w:pPr>
              <w:rPr>
                <w:noProof/>
                <w:sz w:val="24"/>
              </w:rPr>
            </w:pPr>
            <w:r>
              <w:rPr>
                <w:noProof/>
                <w:sz w:val="24"/>
              </w:rPr>
              <w:t>EUR 60</w:t>
            </w:r>
          </w:p>
          <w:p>
            <w:pPr>
              <w:rPr>
                <w:noProof/>
                <w:sz w:val="24"/>
              </w:rPr>
            </w:pPr>
            <w:r>
              <w:rPr>
                <w:noProof/>
                <w:sz w:val="24"/>
              </w:rPr>
              <w:t>EUR 90</w:t>
            </w:r>
          </w:p>
        </w:tc>
        <w:tc>
          <w:tcPr>
            <w:tcW w:w="3467" w:type="dxa"/>
            <w:vAlign w:val="center"/>
          </w:tcPr>
          <w:p>
            <w:pPr>
              <w:rPr>
                <w:noProof/>
                <w:sz w:val="24"/>
              </w:rPr>
            </w:pPr>
            <w:r>
              <w:rPr>
                <w:noProof/>
                <w:sz w:val="24"/>
              </w:rPr>
              <w:t xml:space="preserve">SEV </w:t>
            </w:r>
          </w:p>
          <w:p>
            <w:pPr>
              <w:rPr>
                <w:noProof/>
                <w:sz w:val="24"/>
              </w:rPr>
            </w:pPr>
            <w:r>
              <w:rPr>
                <w:noProof/>
                <w:sz w:val="24"/>
              </w:rPr>
              <w:t>MEV more than 90 days</w:t>
            </w:r>
          </w:p>
        </w:tc>
      </w:tr>
      <w:tr>
        <w:trPr>
          <w:trHeight w:val="433"/>
        </w:trPr>
        <w:tc>
          <w:tcPr>
            <w:tcW w:w="2127" w:type="dxa"/>
            <w:vAlign w:val="center"/>
          </w:tcPr>
          <w:p>
            <w:pPr>
              <w:rPr>
                <w:b/>
                <w:noProof/>
                <w:sz w:val="24"/>
              </w:rPr>
            </w:pPr>
            <w:r>
              <w:rPr>
                <w:b/>
                <w:noProof/>
                <w:sz w:val="24"/>
              </w:rPr>
              <w:t>India</w:t>
            </w:r>
          </w:p>
        </w:tc>
        <w:tc>
          <w:tcPr>
            <w:tcW w:w="1842" w:type="dxa"/>
            <w:vAlign w:val="center"/>
          </w:tcPr>
          <w:p>
            <w:pPr>
              <w:rPr>
                <w:noProof/>
                <w:sz w:val="24"/>
              </w:rPr>
            </w:pPr>
          </w:p>
        </w:tc>
        <w:tc>
          <w:tcPr>
            <w:tcW w:w="1701" w:type="dxa"/>
            <w:vAlign w:val="center"/>
          </w:tcPr>
          <w:p>
            <w:pPr>
              <w:rPr>
                <w:noProof/>
                <w:sz w:val="24"/>
              </w:rPr>
            </w:pPr>
            <w:r>
              <w:rPr>
                <w:noProof/>
                <w:sz w:val="24"/>
              </w:rPr>
              <w:t>EUR 95</w:t>
            </w:r>
          </w:p>
          <w:p>
            <w:pPr>
              <w:rPr>
                <w:noProof/>
                <w:sz w:val="24"/>
              </w:rPr>
            </w:pPr>
            <w:r>
              <w:rPr>
                <w:noProof/>
                <w:sz w:val="24"/>
              </w:rPr>
              <w:t>EUR 190</w:t>
            </w:r>
          </w:p>
        </w:tc>
        <w:tc>
          <w:tcPr>
            <w:tcW w:w="3467" w:type="dxa"/>
            <w:vAlign w:val="center"/>
          </w:tcPr>
          <w:p>
            <w:pPr>
              <w:rPr>
                <w:noProof/>
                <w:sz w:val="24"/>
              </w:rPr>
            </w:pPr>
            <w:r>
              <w:rPr>
                <w:noProof/>
                <w:sz w:val="24"/>
              </w:rPr>
              <w:t>SEV/MEV up to 1 year - tourist</w:t>
            </w:r>
          </w:p>
          <w:p>
            <w:pPr>
              <w:rPr>
                <w:noProof/>
                <w:sz w:val="24"/>
              </w:rPr>
            </w:pPr>
            <w:r>
              <w:rPr>
                <w:noProof/>
                <w:sz w:val="24"/>
              </w:rPr>
              <w:t>MEV up to 5 years - tourist</w:t>
            </w:r>
          </w:p>
        </w:tc>
      </w:tr>
      <w:tr>
        <w:trPr>
          <w:trHeight w:val="433"/>
        </w:trPr>
        <w:tc>
          <w:tcPr>
            <w:tcW w:w="2127" w:type="dxa"/>
            <w:vAlign w:val="center"/>
          </w:tcPr>
          <w:p>
            <w:pPr>
              <w:rPr>
                <w:b/>
                <w:noProof/>
                <w:sz w:val="24"/>
              </w:rPr>
            </w:pPr>
            <w:r>
              <w:rPr>
                <w:b/>
                <w:noProof/>
                <w:sz w:val="24"/>
              </w:rPr>
              <w:t>Iran</w:t>
            </w:r>
          </w:p>
        </w:tc>
        <w:tc>
          <w:tcPr>
            <w:tcW w:w="1842" w:type="dxa"/>
            <w:vAlign w:val="center"/>
          </w:tcPr>
          <w:p>
            <w:pPr>
              <w:rPr>
                <w:noProof/>
                <w:sz w:val="24"/>
              </w:rPr>
            </w:pPr>
          </w:p>
        </w:tc>
        <w:tc>
          <w:tcPr>
            <w:tcW w:w="1701" w:type="dxa"/>
            <w:vAlign w:val="center"/>
          </w:tcPr>
          <w:p>
            <w:pPr>
              <w:rPr>
                <w:noProof/>
                <w:sz w:val="24"/>
              </w:rPr>
            </w:pPr>
            <w:r>
              <w:rPr>
                <w:noProof/>
                <w:sz w:val="24"/>
              </w:rPr>
              <w:t>EUR 60</w:t>
            </w:r>
          </w:p>
          <w:p>
            <w:pPr>
              <w:rPr>
                <w:noProof/>
                <w:sz w:val="24"/>
              </w:rPr>
            </w:pPr>
            <w:r>
              <w:rPr>
                <w:noProof/>
                <w:sz w:val="24"/>
              </w:rPr>
              <w:t>EUR 70</w:t>
            </w:r>
          </w:p>
          <w:p>
            <w:pPr>
              <w:rPr>
                <w:noProof/>
                <w:sz w:val="24"/>
              </w:rPr>
            </w:pPr>
            <w:r>
              <w:rPr>
                <w:noProof/>
                <w:sz w:val="24"/>
              </w:rPr>
              <w:t>EUR 80</w:t>
            </w:r>
          </w:p>
        </w:tc>
        <w:tc>
          <w:tcPr>
            <w:tcW w:w="3467" w:type="dxa"/>
            <w:vAlign w:val="center"/>
          </w:tcPr>
          <w:p>
            <w:pPr>
              <w:rPr>
                <w:noProof/>
                <w:sz w:val="24"/>
              </w:rPr>
            </w:pPr>
            <w:r>
              <w:rPr>
                <w:noProof/>
                <w:sz w:val="24"/>
              </w:rPr>
              <w:t>SEV</w:t>
            </w:r>
          </w:p>
          <w:p>
            <w:pPr>
              <w:rPr>
                <w:noProof/>
                <w:sz w:val="24"/>
              </w:rPr>
            </w:pPr>
            <w:r>
              <w:rPr>
                <w:noProof/>
                <w:sz w:val="24"/>
              </w:rPr>
              <w:t>TEV (two-entry visa)</w:t>
            </w:r>
          </w:p>
          <w:p>
            <w:pPr>
              <w:rPr>
                <w:noProof/>
                <w:sz w:val="24"/>
              </w:rPr>
            </w:pPr>
            <w:r>
              <w:rPr>
                <w:noProof/>
                <w:sz w:val="24"/>
              </w:rPr>
              <w:t>MEV</w:t>
            </w:r>
          </w:p>
        </w:tc>
      </w:tr>
      <w:tr>
        <w:trPr>
          <w:trHeight w:val="433"/>
        </w:trPr>
        <w:tc>
          <w:tcPr>
            <w:tcW w:w="2127" w:type="dxa"/>
            <w:vAlign w:val="center"/>
          </w:tcPr>
          <w:p>
            <w:pPr>
              <w:rPr>
                <w:b/>
                <w:noProof/>
                <w:sz w:val="24"/>
              </w:rPr>
            </w:pPr>
            <w:r>
              <w:rPr>
                <w:b/>
                <w:noProof/>
                <w:sz w:val="24"/>
              </w:rPr>
              <w:t>Ghana</w:t>
            </w:r>
          </w:p>
        </w:tc>
        <w:tc>
          <w:tcPr>
            <w:tcW w:w="1842" w:type="dxa"/>
            <w:vAlign w:val="center"/>
          </w:tcPr>
          <w:p>
            <w:pPr>
              <w:rPr>
                <w:noProof/>
                <w:sz w:val="24"/>
              </w:rPr>
            </w:pPr>
          </w:p>
        </w:tc>
        <w:tc>
          <w:tcPr>
            <w:tcW w:w="1701" w:type="dxa"/>
            <w:vAlign w:val="center"/>
          </w:tcPr>
          <w:p>
            <w:pPr>
              <w:rPr>
                <w:noProof/>
                <w:sz w:val="24"/>
              </w:rPr>
            </w:pPr>
            <w:r>
              <w:rPr>
                <w:noProof/>
                <w:sz w:val="24"/>
              </w:rPr>
              <w:t>EUR 70</w:t>
            </w:r>
          </w:p>
          <w:p>
            <w:pPr>
              <w:rPr>
                <w:noProof/>
                <w:sz w:val="24"/>
              </w:rPr>
            </w:pPr>
            <w:r>
              <w:rPr>
                <w:noProof/>
                <w:sz w:val="24"/>
              </w:rPr>
              <w:t>EUR 160-260</w:t>
            </w:r>
          </w:p>
        </w:tc>
        <w:tc>
          <w:tcPr>
            <w:tcW w:w="3467" w:type="dxa"/>
            <w:vAlign w:val="center"/>
          </w:tcPr>
          <w:p>
            <w:pPr>
              <w:rPr>
                <w:noProof/>
                <w:sz w:val="24"/>
              </w:rPr>
            </w:pPr>
            <w:r>
              <w:rPr>
                <w:noProof/>
                <w:sz w:val="24"/>
              </w:rPr>
              <w:t>SEV</w:t>
            </w:r>
          </w:p>
          <w:p>
            <w:pPr>
              <w:rPr>
                <w:noProof/>
                <w:sz w:val="24"/>
              </w:rPr>
            </w:pPr>
            <w:r>
              <w:rPr>
                <w:noProof/>
                <w:sz w:val="24"/>
              </w:rPr>
              <w:t>MEV 3 months – 1 year</w:t>
            </w:r>
          </w:p>
        </w:tc>
      </w:tr>
      <w:tr>
        <w:trPr>
          <w:trHeight w:val="433"/>
        </w:trPr>
        <w:tc>
          <w:tcPr>
            <w:tcW w:w="2127" w:type="dxa"/>
            <w:vAlign w:val="center"/>
          </w:tcPr>
          <w:p>
            <w:pPr>
              <w:rPr>
                <w:b/>
                <w:noProof/>
                <w:sz w:val="24"/>
              </w:rPr>
            </w:pPr>
            <w:r>
              <w:rPr>
                <w:b/>
                <w:noProof/>
                <w:sz w:val="24"/>
              </w:rPr>
              <w:t>Jordan</w:t>
            </w:r>
          </w:p>
        </w:tc>
        <w:tc>
          <w:tcPr>
            <w:tcW w:w="1842" w:type="dxa"/>
            <w:vAlign w:val="center"/>
          </w:tcPr>
          <w:p>
            <w:pPr>
              <w:rPr>
                <w:noProof/>
                <w:sz w:val="24"/>
              </w:rPr>
            </w:pPr>
          </w:p>
        </w:tc>
        <w:tc>
          <w:tcPr>
            <w:tcW w:w="1701" w:type="dxa"/>
            <w:vAlign w:val="center"/>
          </w:tcPr>
          <w:p>
            <w:pPr>
              <w:rPr>
                <w:noProof/>
                <w:sz w:val="24"/>
              </w:rPr>
            </w:pPr>
            <w:r>
              <w:rPr>
                <w:noProof/>
                <w:sz w:val="24"/>
              </w:rPr>
              <w:t>EUR 67.50</w:t>
            </w:r>
          </w:p>
          <w:p>
            <w:pPr>
              <w:rPr>
                <w:noProof/>
                <w:sz w:val="24"/>
              </w:rPr>
            </w:pPr>
            <w:r>
              <w:rPr>
                <w:noProof/>
                <w:sz w:val="24"/>
              </w:rPr>
              <w:t>EUR 97.50</w:t>
            </w:r>
          </w:p>
          <w:p>
            <w:pPr>
              <w:rPr>
                <w:noProof/>
                <w:sz w:val="24"/>
              </w:rPr>
            </w:pPr>
            <w:r>
              <w:rPr>
                <w:noProof/>
                <w:sz w:val="24"/>
              </w:rPr>
              <w:t>EUR 187.50</w:t>
            </w:r>
          </w:p>
        </w:tc>
        <w:tc>
          <w:tcPr>
            <w:tcW w:w="3467" w:type="dxa"/>
            <w:vAlign w:val="center"/>
          </w:tcPr>
          <w:p>
            <w:pPr>
              <w:rPr>
                <w:noProof/>
                <w:sz w:val="24"/>
              </w:rPr>
            </w:pPr>
            <w:r>
              <w:rPr>
                <w:noProof/>
                <w:sz w:val="24"/>
              </w:rPr>
              <w:t>SEV 2 months</w:t>
            </w:r>
          </w:p>
          <w:p>
            <w:pPr>
              <w:rPr>
                <w:noProof/>
                <w:sz w:val="24"/>
              </w:rPr>
            </w:pPr>
            <w:r>
              <w:rPr>
                <w:noProof/>
                <w:sz w:val="24"/>
              </w:rPr>
              <w:t>TEV 3 months</w:t>
            </w:r>
          </w:p>
          <w:p>
            <w:pPr>
              <w:rPr>
                <w:noProof/>
                <w:sz w:val="24"/>
              </w:rPr>
            </w:pPr>
            <w:r>
              <w:rPr>
                <w:noProof/>
                <w:sz w:val="24"/>
              </w:rPr>
              <w:t>MEV 6 months</w:t>
            </w:r>
          </w:p>
        </w:tc>
      </w:tr>
      <w:tr>
        <w:trPr>
          <w:trHeight w:val="433"/>
        </w:trPr>
        <w:tc>
          <w:tcPr>
            <w:tcW w:w="2127" w:type="dxa"/>
            <w:vAlign w:val="center"/>
          </w:tcPr>
          <w:p>
            <w:pPr>
              <w:rPr>
                <w:b/>
                <w:noProof/>
                <w:sz w:val="24"/>
              </w:rPr>
            </w:pPr>
            <w:r>
              <w:rPr>
                <w:b/>
                <w:noProof/>
                <w:sz w:val="24"/>
              </w:rPr>
              <w:t>Myanmar</w:t>
            </w:r>
          </w:p>
        </w:tc>
        <w:tc>
          <w:tcPr>
            <w:tcW w:w="1842" w:type="dxa"/>
            <w:vAlign w:val="center"/>
          </w:tcPr>
          <w:p>
            <w:pPr>
              <w:rPr>
                <w:noProof/>
                <w:sz w:val="24"/>
              </w:rPr>
            </w:pPr>
          </w:p>
        </w:tc>
        <w:tc>
          <w:tcPr>
            <w:tcW w:w="1701" w:type="dxa"/>
            <w:vAlign w:val="center"/>
          </w:tcPr>
          <w:p>
            <w:pPr>
              <w:rPr>
                <w:noProof/>
                <w:sz w:val="24"/>
                <w:lang w:val="fr-BE"/>
              </w:rPr>
            </w:pPr>
            <w:r>
              <w:rPr>
                <w:noProof/>
                <w:sz w:val="24"/>
                <w:lang w:val="fr-BE"/>
              </w:rPr>
              <w:t>EUR 40</w:t>
            </w:r>
          </w:p>
          <w:p>
            <w:pPr>
              <w:rPr>
                <w:noProof/>
                <w:sz w:val="24"/>
                <w:lang w:val="fr-BE"/>
              </w:rPr>
            </w:pPr>
            <w:r>
              <w:rPr>
                <w:noProof/>
                <w:sz w:val="24"/>
                <w:lang w:val="fr-BE"/>
              </w:rPr>
              <w:t>EUR 50</w:t>
            </w:r>
          </w:p>
          <w:p>
            <w:pPr>
              <w:rPr>
                <w:noProof/>
                <w:sz w:val="24"/>
                <w:lang w:val="fr-BE"/>
              </w:rPr>
            </w:pPr>
            <w:r>
              <w:rPr>
                <w:noProof/>
                <w:sz w:val="24"/>
                <w:lang w:val="fr-BE"/>
              </w:rPr>
              <w:t>EUR 190</w:t>
            </w:r>
          </w:p>
          <w:p>
            <w:pPr>
              <w:rPr>
                <w:noProof/>
                <w:sz w:val="24"/>
                <w:lang w:val="fr-BE"/>
              </w:rPr>
            </w:pPr>
            <w:r>
              <w:rPr>
                <w:noProof/>
                <w:sz w:val="24"/>
                <w:lang w:val="fr-BE"/>
              </w:rPr>
              <w:t>EUR 380</w:t>
            </w:r>
          </w:p>
          <w:p>
            <w:pPr>
              <w:rPr>
                <w:noProof/>
                <w:sz w:val="24"/>
                <w:lang w:val="fr-BE"/>
              </w:rPr>
            </w:pPr>
            <w:r>
              <w:rPr>
                <w:noProof/>
                <w:sz w:val="24"/>
                <w:lang w:val="fr-BE"/>
              </w:rPr>
              <w:t>EUR 420</w:t>
            </w:r>
          </w:p>
        </w:tc>
        <w:tc>
          <w:tcPr>
            <w:tcW w:w="3467" w:type="dxa"/>
            <w:vAlign w:val="center"/>
          </w:tcPr>
          <w:p>
            <w:pPr>
              <w:rPr>
                <w:noProof/>
                <w:sz w:val="24"/>
              </w:rPr>
            </w:pPr>
            <w:r>
              <w:rPr>
                <w:noProof/>
                <w:sz w:val="24"/>
              </w:rPr>
              <w:t>Tourist visa</w:t>
            </w:r>
          </w:p>
          <w:p>
            <w:pPr>
              <w:rPr>
                <w:noProof/>
                <w:sz w:val="24"/>
              </w:rPr>
            </w:pPr>
            <w:r>
              <w:rPr>
                <w:noProof/>
                <w:sz w:val="24"/>
              </w:rPr>
              <w:t xml:space="preserve">Business SEV </w:t>
            </w:r>
          </w:p>
          <w:p>
            <w:pPr>
              <w:rPr>
                <w:noProof/>
                <w:sz w:val="24"/>
              </w:rPr>
            </w:pPr>
            <w:r>
              <w:rPr>
                <w:noProof/>
                <w:sz w:val="24"/>
              </w:rPr>
              <w:t>Business MEV 3 months</w:t>
            </w:r>
          </w:p>
          <w:p>
            <w:pPr>
              <w:rPr>
                <w:noProof/>
                <w:sz w:val="24"/>
              </w:rPr>
            </w:pPr>
            <w:r>
              <w:rPr>
                <w:noProof/>
                <w:sz w:val="24"/>
              </w:rPr>
              <w:t>Business MEV 6 months</w:t>
            </w:r>
          </w:p>
          <w:p>
            <w:pPr>
              <w:rPr>
                <w:noProof/>
                <w:sz w:val="24"/>
              </w:rPr>
            </w:pPr>
            <w:r>
              <w:rPr>
                <w:noProof/>
                <w:sz w:val="24"/>
              </w:rPr>
              <w:t>Business MEV 1 year</w:t>
            </w:r>
          </w:p>
        </w:tc>
      </w:tr>
      <w:tr>
        <w:trPr>
          <w:trHeight w:val="433"/>
        </w:trPr>
        <w:tc>
          <w:tcPr>
            <w:tcW w:w="2127" w:type="dxa"/>
            <w:vAlign w:val="center"/>
          </w:tcPr>
          <w:p>
            <w:pPr>
              <w:rPr>
                <w:b/>
                <w:noProof/>
                <w:sz w:val="24"/>
              </w:rPr>
            </w:pPr>
            <w:r>
              <w:rPr>
                <w:b/>
                <w:noProof/>
                <w:sz w:val="24"/>
              </w:rPr>
              <w:t>Nigeria</w:t>
            </w:r>
          </w:p>
        </w:tc>
        <w:tc>
          <w:tcPr>
            <w:tcW w:w="1842" w:type="dxa"/>
            <w:vAlign w:val="center"/>
          </w:tcPr>
          <w:p>
            <w:pPr>
              <w:rPr>
                <w:noProof/>
                <w:sz w:val="24"/>
              </w:rPr>
            </w:pPr>
            <w:r>
              <w:rPr>
                <w:noProof/>
                <w:sz w:val="24"/>
              </w:rPr>
              <w:t>USD 88</w:t>
            </w:r>
          </w:p>
          <w:p>
            <w:pPr>
              <w:rPr>
                <w:noProof/>
                <w:sz w:val="24"/>
              </w:rPr>
            </w:pPr>
            <w:r>
              <w:rPr>
                <w:noProof/>
                <w:sz w:val="24"/>
              </w:rPr>
              <w:t>USD 110</w:t>
            </w:r>
          </w:p>
        </w:tc>
        <w:tc>
          <w:tcPr>
            <w:tcW w:w="1701" w:type="dxa"/>
            <w:vAlign w:val="center"/>
          </w:tcPr>
          <w:p>
            <w:pPr>
              <w:rPr>
                <w:noProof/>
                <w:sz w:val="24"/>
              </w:rPr>
            </w:pPr>
            <w:r>
              <w:rPr>
                <w:noProof/>
                <w:sz w:val="24"/>
              </w:rPr>
              <w:t>EUR 74</w:t>
            </w:r>
          </w:p>
          <w:p>
            <w:pPr>
              <w:rPr>
                <w:noProof/>
                <w:sz w:val="24"/>
              </w:rPr>
            </w:pPr>
            <w:r>
              <w:rPr>
                <w:noProof/>
                <w:sz w:val="24"/>
              </w:rPr>
              <w:t>EUR 92</w:t>
            </w:r>
          </w:p>
        </w:tc>
        <w:tc>
          <w:tcPr>
            <w:tcW w:w="3467" w:type="dxa"/>
            <w:vAlign w:val="center"/>
          </w:tcPr>
          <w:p>
            <w:pPr>
              <w:rPr>
                <w:noProof/>
                <w:sz w:val="24"/>
              </w:rPr>
            </w:pPr>
            <w:r>
              <w:rPr>
                <w:noProof/>
                <w:sz w:val="24"/>
              </w:rPr>
              <w:t>SEV</w:t>
            </w:r>
          </w:p>
          <w:p>
            <w:pPr>
              <w:rPr>
                <w:noProof/>
                <w:sz w:val="24"/>
              </w:rPr>
            </w:pPr>
            <w:r>
              <w:rPr>
                <w:noProof/>
                <w:sz w:val="24"/>
              </w:rPr>
              <w:t xml:space="preserve">MEV </w:t>
            </w:r>
          </w:p>
        </w:tc>
      </w:tr>
      <w:tr>
        <w:trPr>
          <w:trHeight w:val="433"/>
        </w:trPr>
        <w:tc>
          <w:tcPr>
            <w:tcW w:w="2127" w:type="dxa"/>
            <w:vAlign w:val="center"/>
          </w:tcPr>
          <w:p>
            <w:pPr>
              <w:rPr>
                <w:b/>
                <w:noProof/>
                <w:sz w:val="24"/>
              </w:rPr>
            </w:pPr>
            <w:r>
              <w:rPr>
                <w:b/>
                <w:noProof/>
                <w:sz w:val="24"/>
              </w:rPr>
              <w:t>Pakistan</w:t>
            </w:r>
          </w:p>
        </w:tc>
        <w:tc>
          <w:tcPr>
            <w:tcW w:w="1842" w:type="dxa"/>
            <w:vAlign w:val="center"/>
          </w:tcPr>
          <w:p>
            <w:pPr>
              <w:rPr>
                <w:noProof/>
                <w:sz w:val="24"/>
              </w:rPr>
            </w:pPr>
          </w:p>
        </w:tc>
        <w:tc>
          <w:tcPr>
            <w:tcW w:w="1701" w:type="dxa"/>
            <w:vAlign w:val="center"/>
          </w:tcPr>
          <w:p>
            <w:pPr>
              <w:rPr>
                <w:noProof/>
                <w:sz w:val="24"/>
              </w:rPr>
            </w:pPr>
            <w:r>
              <w:rPr>
                <w:noProof/>
                <w:sz w:val="24"/>
              </w:rPr>
              <w:t>EUR 60</w:t>
            </w:r>
          </w:p>
          <w:p>
            <w:pPr>
              <w:rPr>
                <w:noProof/>
                <w:sz w:val="24"/>
              </w:rPr>
            </w:pPr>
            <w:r>
              <w:rPr>
                <w:noProof/>
                <w:sz w:val="24"/>
              </w:rPr>
              <w:t>EUR 180</w:t>
            </w:r>
          </w:p>
        </w:tc>
        <w:tc>
          <w:tcPr>
            <w:tcW w:w="3467" w:type="dxa"/>
            <w:vAlign w:val="center"/>
          </w:tcPr>
          <w:p>
            <w:pPr>
              <w:rPr>
                <w:noProof/>
                <w:sz w:val="24"/>
              </w:rPr>
            </w:pPr>
            <w:r>
              <w:rPr>
                <w:noProof/>
                <w:sz w:val="24"/>
              </w:rPr>
              <w:t>SEV</w:t>
            </w:r>
          </w:p>
          <w:p>
            <w:pPr>
              <w:rPr>
                <w:noProof/>
                <w:sz w:val="24"/>
              </w:rPr>
            </w:pPr>
            <w:r>
              <w:rPr>
                <w:noProof/>
                <w:sz w:val="24"/>
              </w:rPr>
              <w:t>MEV</w:t>
            </w:r>
          </w:p>
        </w:tc>
      </w:tr>
      <w:tr>
        <w:trPr>
          <w:trHeight w:val="433"/>
        </w:trPr>
        <w:tc>
          <w:tcPr>
            <w:tcW w:w="2127" w:type="dxa"/>
            <w:vAlign w:val="center"/>
          </w:tcPr>
          <w:p>
            <w:pPr>
              <w:rPr>
                <w:b/>
                <w:noProof/>
                <w:sz w:val="24"/>
              </w:rPr>
            </w:pPr>
            <w:r>
              <w:rPr>
                <w:b/>
                <w:noProof/>
                <w:sz w:val="24"/>
              </w:rPr>
              <w:t>Russia</w:t>
            </w:r>
          </w:p>
        </w:tc>
        <w:tc>
          <w:tcPr>
            <w:tcW w:w="1842" w:type="dxa"/>
            <w:vAlign w:val="center"/>
          </w:tcPr>
          <w:p>
            <w:pPr>
              <w:rPr>
                <w:noProof/>
                <w:sz w:val="24"/>
              </w:rPr>
            </w:pPr>
          </w:p>
        </w:tc>
        <w:tc>
          <w:tcPr>
            <w:tcW w:w="1701" w:type="dxa"/>
            <w:vAlign w:val="center"/>
          </w:tcPr>
          <w:p>
            <w:pPr>
              <w:rPr>
                <w:noProof/>
                <w:sz w:val="24"/>
              </w:rPr>
            </w:pPr>
            <w:r>
              <w:rPr>
                <w:noProof/>
                <w:sz w:val="24"/>
              </w:rPr>
              <w:t>EUR 35</w:t>
            </w:r>
            <w:r>
              <w:rPr>
                <w:rStyle w:val="FootnoteReference"/>
                <w:noProof/>
                <w:sz w:val="24"/>
              </w:rPr>
              <w:footnoteReference w:id="88"/>
            </w:r>
          </w:p>
        </w:tc>
        <w:tc>
          <w:tcPr>
            <w:tcW w:w="3467" w:type="dxa"/>
            <w:vAlign w:val="center"/>
          </w:tcPr>
          <w:p>
            <w:pPr>
              <w:rPr>
                <w:noProof/>
                <w:sz w:val="24"/>
              </w:rPr>
            </w:pPr>
            <w:r>
              <w:rPr>
                <w:noProof/>
                <w:sz w:val="24"/>
              </w:rPr>
              <w:t>SEV/TEV</w:t>
            </w:r>
          </w:p>
        </w:tc>
      </w:tr>
      <w:tr>
        <w:trPr>
          <w:trHeight w:val="433"/>
        </w:trPr>
        <w:tc>
          <w:tcPr>
            <w:tcW w:w="2127" w:type="dxa"/>
            <w:vAlign w:val="center"/>
          </w:tcPr>
          <w:p>
            <w:pPr>
              <w:rPr>
                <w:b/>
                <w:noProof/>
                <w:sz w:val="24"/>
              </w:rPr>
            </w:pPr>
            <w:r>
              <w:rPr>
                <w:b/>
                <w:noProof/>
                <w:sz w:val="24"/>
              </w:rPr>
              <w:t>Saudi Arabia</w:t>
            </w:r>
          </w:p>
        </w:tc>
        <w:tc>
          <w:tcPr>
            <w:tcW w:w="1842" w:type="dxa"/>
            <w:vAlign w:val="center"/>
          </w:tcPr>
          <w:p>
            <w:pPr>
              <w:rPr>
                <w:noProof/>
                <w:sz w:val="24"/>
              </w:rPr>
            </w:pPr>
          </w:p>
        </w:tc>
        <w:tc>
          <w:tcPr>
            <w:tcW w:w="1701" w:type="dxa"/>
            <w:vAlign w:val="center"/>
          </w:tcPr>
          <w:p>
            <w:pPr>
              <w:rPr>
                <w:noProof/>
                <w:sz w:val="24"/>
              </w:rPr>
            </w:pPr>
            <w:r>
              <w:rPr>
                <w:noProof/>
                <w:sz w:val="24"/>
              </w:rPr>
              <w:t>EUR 123.50 or more</w:t>
            </w:r>
          </w:p>
        </w:tc>
        <w:tc>
          <w:tcPr>
            <w:tcW w:w="3467" w:type="dxa"/>
            <w:vAlign w:val="center"/>
          </w:tcPr>
          <w:p>
            <w:pPr>
              <w:rPr>
                <w:noProof/>
                <w:sz w:val="24"/>
              </w:rPr>
            </w:pPr>
            <w:r>
              <w:rPr>
                <w:noProof/>
                <w:sz w:val="24"/>
              </w:rPr>
              <w:t>MEV Business visit visa</w:t>
            </w:r>
          </w:p>
        </w:tc>
      </w:tr>
      <w:tr>
        <w:trPr>
          <w:trHeight w:val="433"/>
        </w:trPr>
        <w:tc>
          <w:tcPr>
            <w:tcW w:w="2127" w:type="dxa"/>
            <w:vAlign w:val="center"/>
          </w:tcPr>
          <w:p>
            <w:pPr>
              <w:rPr>
                <w:b/>
                <w:noProof/>
                <w:sz w:val="24"/>
              </w:rPr>
            </w:pPr>
            <w:r>
              <w:rPr>
                <w:b/>
                <w:noProof/>
                <w:sz w:val="24"/>
              </w:rPr>
              <w:t>Vietnam</w:t>
            </w:r>
          </w:p>
        </w:tc>
        <w:tc>
          <w:tcPr>
            <w:tcW w:w="1842" w:type="dxa"/>
            <w:vAlign w:val="center"/>
          </w:tcPr>
          <w:p>
            <w:pPr>
              <w:rPr>
                <w:noProof/>
                <w:sz w:val="24"/>
              </w:rPr>
            </w:pPr>
            <w:r>
              <w:rPr>
                <w:noProof/>
                <w:sz w:val="24"/>
              </w:rPr>
              <w:t>USD 10+25</w:t>
            </w:r>
          </w:p>
          <w:p>
            <w:pPr>
              <w:rPr>
                <w:noProof/>
                <w:sz w:val="24"/>
              </w:rPr>
            </w:pPr>
            <w:r>
              <w:rPr>
                <w:noProof/>
                <w:sz w:val="24"/>
              </w:rPr>
              <w:t>USD 10+50</w:t>
            </w:r>
          </w:p>
          <w:p>
            <w:pPr>
              <w:rPr>
                <w:noProof/>
                <w:sz w:val="24"/>
              </w:rPr>
            </w:pPr>
            <w:r>
              <w:rPr>
                <w:noProof/>
                <w:sz w:val="24"/>
              </w:rPr>
              <w:t>USD 95</w:t>
            </w:r>
          </w:p>
          <w:p>
            <w:pPr>
              <w:rPr>
                <w:noProof/>
                <w:sz w:val="24"/>
              </w:rPr>
            </w:pPr>
            <w:r>
              <w:rPr>
                <w:noProof/>
                <w:sz w:val="24"/>
              </w:rPr>
              <w:t>USD 135</w:t>
            </w:r>
          </w:p>
          <w:p>
            <w:pPr>
              <w:rPr>
                <w:noProof/>
                <w:sz w:val="24"/>
              </w:rPr>
            </w:pPr>
            <w:r>
              <w:rPr>
                <w:noProof/>
                <w:sz w:val="24"/>
              </w:rPr>
              <w:t>USD 155</w:t>
            </w:r>
          </w:p>
        </w:tc>
        <w:tc>
          <w:tcPr>
            <w:tcW w:w="1701" w:type="dxa"/>
            <w:vAlign w:val="center"/>
          </w:tcPr>
          <w:p>
            <w:pPr>
              <w:rPr>
                <w:noProof/>
                <w:sz w:val="24"/>
                <w:lang w:val="fr-BE"/>
              </w:rPr>
            </w:pPr>
            <w:r>
              <w:rPr>
                <w:noProof/>
                <w:sz w:val="24"/>
                <w:lang w:val="fr-BE"/>
              </w:rPr>
              <w:t>EUR 29</w:t>
            </w:r>
          </w:p>
          <w:p>
            <w:pPr>
              <w:rPr>
                <w:noProof/>
                <w:sz w:val="24"/>
                <w:lang w:val="fr-BE"/>
              </w:rPr>
            </w:pPr>
            <w:r>
              <w:rPr>
                <w:noProof/>
                <w:sz w:val="24"/>
                <w:lang w:val="fr-BE"/>
              </w:rPr>
              <w:t>EUR 50</w:t>
            </w:r>
          </w:p>
          <w:p>
            <w:pPr>
              <w:rPr>
                <w:noProof/>
                <w:sz w:val="24"/>
                <w:lang w:val="fr-BE"/>
              </w:rPr>
            </w:pPr>
            <w:r>
              <w:rPr>
                <w:noProof/>
                <w:sz w:val="24"/>
                <w:lang w:val="fr-BE"/>
              </w:rPr>
              <w:t>EUR 79</w:t>
            </w:r>
          </w:p>
          <w:p>
            <w:pPr>
              <w:rPr>
                <w:noProof/>
                <w:sz w:val="24"/>
                <w:lang w:val="fr-BE"/>
              </w:rPr>
            </w:pPr>
            <w:r>
              <w:rPr>
                <w:noProof/>
                <w:sz w:val="24"/>
                <w:lang w:val="fr-BE"/>
              </w:rPr>
              <w:t>EUR 113</w:t>
            </w:r>
          </w:p>
          <w:p>
            <w:pPr>
              <w:rPr>
                <w:noProof/>
                <w:sz w:val="24"/>
                <w:lang w:val="fr-BE"/>
              </w:rPr>
            </w:pPr>
            <w:r>
              <w:rPr>
                <w:noProof/>
                <w:sz w:val="24"/>
                <w:lang w:val="fr-BE"/>
              </w:rPr>
              <w:t>EUR 130</w:t>
            </w:r>
          </w:p>
        </w:tc>
        <w:tc>
          <w:tcPr>
            <w:tcW w:w="3467" w:type="dxa"/>
            <w:vAlign w:val="center"/>
          </w:tcPr>
          <w:p>
            <w:pPr>
              <w:rPr>
                <w:noProof/>
                <w:sz w:val="24"/>
              </w:rPr>
            </w:pPr>
            <w:r>
              <w:rPr>
                <w:noProof/>
                <w:sz w:val="24"/>
              </w:rPr>
              <w:t>SEV 3 months</w:t>
            </w:r>
          </w:p>
          <w:p>
            <w:pPr>
              <w:rPr>
                <w:noProof/>
                <w:sz w:val="24"/>
              </w:rPr>
            </w:pPr>
            <w:r>
              <w:rPr>
                <w:noProof/>
                <w:sz w:val="24"/>
              </w:rPr>
              <w:t>MEV 3 months</w:t>
            </w:r>
          </w:p>
          <w:p>
            <w:pPr>
              <w:rPr>
                <w:noProof/>
                <w:sz w:val="24"/>
              </w:rPr>
            </w:pPr>
            <w:r>
              <w:rPr>
                <w:noProof/>
                <w:sz w:val="24"/>
              </w:rPr>
              <w:t>MEV 6 months</w:t>
            </w:r>
          </w:p>
          <w:p>
            <w:pPr>
              <w:rPr>
                <w:noProof/>
                <w:sz w:val="24"/>
              </w:rPr>
            </w:pPr>
            <w:r>
              <w:rPr>
                <w:noProof/>
                <w:sz w:val="24"/>
              </w:rPr>
              <w:t>MEV 1 year</w:t>
            </w:r>
          </w:p>
          <w:p>
            <w:pPr>
              <w:rPr>
                <w:noProof/>
                <w:sz w:val="24"/>
              </w:rPr>
            </w:pPr>
            <w:r>
              <w:rPr>
                <w:noProof/>
                <w:sz w:val="24"/>
              </w:rPr>
              <w:t>MEV 5 years</w:t>
            </w:r>
          </w:p>
        </w:tc>
      </w:tr>
    </w:tbl>
    <w:p>
      <w:pPr>
        <w:jc w:val="both"/>
        <w:rPr>
          <w:rFonts w:ascii="Times New Roman" w:hAnsi="Times New Roman" w:cs="Times New Roman"/>
          <w:noProof/>
          <w:sz w:val="24"/>
        </w:rPr>
      </w:pPr>
    </w:p>
    <w:p>
      <w:pPr>
        <w:rPr>
          <w:rFonts w:ascii="Times New Roman" w:hAnsi="Times New Roman" w:cs="Times New Roman"/>
          <w:noProof/>
          <w:sz w:val="24"/>
          <w:szCs w:val="24"/>
          <w:lang w:val="en-US"/>
        </w:rPr>
      </w:pPr>
      <w:r>
        <w:rPr>
          <w:rFonts w:ascii="Times New Roman" w:hAnsi="Times New Roman" w:cs="Times New Roman"/>
          <w:noProof/>
          <w:sz w:val="24"/>
        </w:rPr>
        <w:t xml:space="preserve">Also in that comparison the </w:t>
      </w:r>
      <w:r>
        <w:rPr>
          <w:rFonts w:ascii="Times New Roman" w:hAnsi="Times New Roman" w:cs="Times New Roman"/>
          <w:b/>
          <w:noProof/>
          <w:sz w:val="24"/>
        </w:rPr>
        <w:t>Schengen visa fee</w:t>
      </w:r>
      <w:r>
        <w:rPr>
          <w:rFonts w:ascii="Times New Roman" w:hAnsi="Times New Roman" w:cs="Times New Roman"/>
          <w:noProof/>
          <w:sz w:val="24"/>
        </w:rPr>
        <w:t xml:space="preserve">, which is a "flat-rate" fee both for SEV and MEV of up to 5 years, is </w:t>
      </w:r>
      <w:r>
        <w:rPr>
          <w:rFonts w:ascii="Times New Roman" w:hAnsi="Times New Roman" w:cs="Times New Roman"/>
          <w:b/>
          <w:noProof/>
          <w:sz w:val="24"/>
        </w:rPr>
        <w:t>rather at the lower end</w:t>
      </w:r>
      <w:r>
        <w:rPr>
          <w:rFonts w:ascii="Times New Roman" w:hAnsi="Times New Roman" w:cs="Times New Roman"/>
          <w:noProof/>
          <w:sz w:val="24"/>
        </w:rPr>
        <w:t>.</w:t>
      </w:r>
    </w:p>
    <w:p>
      <w:pPr>
        <w:rPr>
          <w:rFonts w:ascii="Times New Roman" w:hAnsi="Times New Roman" w:cs="Times New Roman"/>
          <w:noProof/>
          <w:sz w:val="24"/>
          <w:szCs w:val="24"/>
          <w:lang w:val="en-US"/>
        </w:rPr>
      </w:pPr>
    </w:p>
    <w:p>
      <w:pPr>
        <w:rPr>
          <w:rFonts w:ascii="Times New Roman" w:hAnsi="Times New Roman" w:cs="Times New Roman"/>
          <w:noProof/>
          <w:sz w:val="24"/>
          <w:szCs w:val="24"/>
          <w:lang w:val="en-US"/>
        </w:rPr>
        <w:sectPr>
          <w:headerReference w:type="even" r:id="rId37"/>
          <w:headerReference w:type="default" r:id="rId38"/>
          <w:footerReference w:type="even" r:id="rId39"/>
          <w:footerReference w:type="default" r:id="rId40"/>
          <w:headerReference w:type="first" r:id="rId41"/>
          <w:footerReference w:type="first" r:id="rId42"/>
          <w:pgSz w:w="11906" w:h="16838"/>
          <w:pgMar w:top="1020" w:right="1701" w:bottom="1020" w:left="1587" w:header="601" w:footer="1077" w:gutter="0"/>
          <w:cols w:space="720"/>
          <w:docGrid w:linePitch="299"/>
        </w:sectPr>
      </w:pPr>
    </w:p>
    <w:p>
      <w:pPr>
        <w:rPr>
          <w:rFonts w:ascii="Times New Roman" w:hAnsi="Times New Roman" w:cs="Times New Roman"/>
          <w:b/>
          <w:noProof/>
          <w:sz w:val="24"/>
          <w:szCs w:val="24"/>
          <w:u w:val="single"/>
          <w:lang w:val="en-US"/>
        </w:rPr>
      </w:pPr>
      <w:r>
        <w:rPr>
          <w:rFonts w:ascii="Times New Roman" w:hAnsi="Times New Roman" w:cs="Times New Roman"/>
          <w:b/>
          <w:noProof/>
          <w:sz w:val="24"/>
          <w:szCs w:val="24"/>
          <w:u w:val="single"/>
          <w:lang w:val="en-US"/>
        </w:rPr>
        <w:t>Part 4: Calculation of additional revenues from policy options 1C1, 1C2, 1C3 and 1C4</w:t>
      </w:r>
    </w:p>
    <w:p>
      <w:pPr>
        <w:rPr>
          <w:rFonts w:ascii="Times New Roman" w:hAnsi="Times New Roman" w:cs="Times New Roman"/>
          <w:b/>
          <w:noProof/>
          <w:sz w:val="24"/>
          <w:szCs w:val="24"/>
          <w:u w:val="single"/>
          <w:lang w:val="en-US"/>
        </w:rPr>
      </w:pPr>
    </w:p>
    <w:p>
      <w:pPr>
        <w:rPr>
          <w:rFonts w:ascii="Times New Roman" w:hAnsi="Times New Roman" w:cs="Times New Roman"/>
          <w:noProof/>
          <w:sz w:val="24"/>
          <w:szCs w:val="24"/>
          <w:lang w:val="en-US"/>
        </w:rPr>
      </w:pPr>
      <w:r>
        <w:rPr>
          <w:noProof/>
          <w:lang w:val="en-US"/>
        </w:rPr>
        <w:drawing>
          <wp:inline distT="0" distB="0" distL="0" distR="0">
            <wp:extent cx="9396730" cy="272111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96730" cy="2721110"/>
                    </a:xfrm>
                    <a:prstGeom prst="rect">
                      <a:avLst/>
                    </a:prstGeom>
                    <a:noFill/>
                    <a:ln>
                      <a:noFill/>
                    </a:ln>
                  </pic:spPr>
                </pic:pic>
              </a:graphicData>
            </a:graphic>
          </wp:inline>
        </w:drawing>
      </w:r>
    </w:p>
    <w:p>
      <w:pPr>
        <w:rPr>
          <w:rFonts w:ascii="Times New Roman" w:hAnsi="Times New Roman" w:cs="Times New Roman"/>
          <w:noProof/>
          <w:sz w:val="24"/>
          <w:szCs w:val="24"/>
          <w:lang w:val="en-US"/>
        </w:rPr>
      </w:pPr>
    </w:p>
    <w:p>
      <w:pPr>
        <w:rPr>
          <w:rFonts w:ascii="Times New Roman" w:hAnsi="Times New Roman" w:cs="Times New Roman"/>
          <w:noProof/>
          <w:sz w:val="24"/>
          <w:szCs w:val="24"/>
          <w:lang w:val="en-US"/>
        </w:rPr>
        <w:sectPr>
          <w:headerReference w:type="even" r:id="rId44"/>
          <w:headerReference w:type="default" r:id="rId45"/>
          <w:footerReference w:type="even" r:id="rId46"/>
          <w:footerReference w:type="default" r:id="rId47"/>
          <w:headerReference w:type="first" r:id="rId48"/>
          <w:footerReference w:type="first" r:id="rId49"/>
          <w:pgSz w:w="16838" w:h="11906" w:orient="landscape"/>
          <w:pgMar w:top="1587" w:right="1020" w:bottom="1701" w:left="1020" w:header="601" w:footer="1077" w:gutter="0"/>
          <w:cols w:space="720"/>
          <w:docGrid w:linePitch="299"/>
        </w:sectPr>
      </w:pPr>
    </w:p>
    <w:p>
      <w:pPr>
        <w:pStyle w:val="AnnexTitle"/>
        <w:rPr>
          <w:noProof/>
        </w:rPr>
      </w:pPr>
      <w:bookmarkStart w:id="96" w:name="_Toc507148525"/>
      <w:r>
        <w:rPr>
          <w:noProof/>
        </w:rPr>
        <w:t>Annex 6: Inbound tourism to the EU/Schengen countries</w:t>
      </w:r>
      <w:bookmarkEnd w:id="96"/>
      <w:r>
        <w:rPr>
          <w:noProof/>
        </w:rPr>
        <w:t xml:space="preserve"> </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Key facts and figures:</w:t>
      </w:r>
    </w:p>
    <w:p>
      <w:pPr>
        <w:pStyle w:val="ListParagraph"/>
        <w:numPr>
          <w:ilvl w:val="0"/>
          <w:numId w:val="22"/>
        </w:numPr>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EU/Schengen Member States rank among the world's leading tourist destinations. In 2016, there were approximately 875 million arrivals at tourist accommodations in Schengen countries, up from 635 million in 2009.</w:t>
      </w:r>
      <w:r>
        <w:rPr>
          <w:rStyle w:val="FootnoteReference"/>
          <w:noProof/>
          <w:szCs w:val="24"/>
        </w:rPr>
        <w:footnoteReference w:id="89"/>
      </w:r>
      <w:r>
        <w:rPr>
          <w:rFonts w:ascii="Times New Roman" w:hAnsi="Times New Roman" w:cs="Times New Roman"/>
          <w:noProof/>
          <w:sz w:val="24"/>
          <w:szCs w:val="24"/>
        </w:rPr>
        <w:t xml:space="preserve"> </w:t>
      </w:r>
    </w:p>
    <w:p>
      <w:pPr>
        <w:pStyle w:val="ListParagraph"/>
        <w:numPr>
          <w:ilvl w:val="0"/>
          <w:numId w:val="21"/>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2016 the tourism industry contributed to the EU's GDP by 10.2% and to the EU's labour market by 11.6%.</w:t>
      </w:r>
      <w:r>
        <w:rPr>
          <w:rStyle w:val="FootnoteReference"/>
          <w:noProof/>
          <w:szCs w:val="24"/>
        </w:rPr>
        <w:footnoteReference w:id="90"/>
      </w:r>
    </w:p>
    <w:p>
      <w:pPr>
        <w:pStyle w:val="ListParagraph"/>
        <w:numPr>
          <w:ilvl w:val="0"/>
          <w:numId w:val="21"/>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Visa-required travellers represent a growing share of all tourists in the EU and have the strongest growth rates, both in absolute numbers and in terms of expenditure. The numbers of arrivals of visa-required travellers</w:t>
      </w:r>
      <w:r>
        <w:rPr>
          <w:rStyle w:val="FootnoteReference"/>
          <w:noProof/>
          <w:szCs w:val="24"/>
        </w:rPr>
        <w:footnoteReference w:id="91"/>
      </w:r>
      <w:r>
        <w:rPr>
          <w:rFonts w:ascii="Times New Roman" w:hAnsi="Times New Roman" w:cs="Times New Roman"/>
          <w:noProof/>
          <w:sz w:val="24"/>
          <w:szCs w:val="24"/>
        </w:rPr>
        <w:t xml:space="preserve"> at tourist accommodations in Schengen countries increased by 175% from 2009 to 2016 (to 37.8 million), while the overall number of arrivals increased by only 38%.</w:t>
      </w:r>
      <w:r>
        <w:rPr>
          <w:rStyle w:val="FootnoteReference"/>
          <w:noProof/>
          <w:szCs w:val="24"/>
        </w:rPr>
        <w:footnoteReference w:id="92"/>
      </w:r>
    </w:p>
    <w:p>
      <w:pPr>
        <w:pStyle w:val="ListParagraph"/>
        <w:numPr>
          <w:ilvl w:val="0"/>
          <w:numId w:val="21"/>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absolute numbers, there were approximately 11 million arrivals from China, 6.5 million from Russia, 3.1 million from African countries, and 2.4 million arrivals from Turkey at tourist accommodations in the Schengen area in 2016.</w:t>
      </w:r>
      <w:r>
        <w:rPr>
          <w:rStyle w:val="FootnoteReference"/>
          <w:noProof/>
          <w:szCs w:val="24"/>
        </w:rPr>
        <w:footnoteReference w:id="93"/>
      </w:r>
    </w:p>
    <w:p>
      <w:pPr>
        <w:pStyle w:val="ListParagraph"/>
        <w:numPr>
          <w:ilvl w:val="0"/>
          <w:numId w:val="21"/>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Some of the visa-required nationals rank among the highest spenders in international tourism worldwide with Chinese leading the global expenditure ranking. Expenditure by Chinese outbound tourists grew by 12% to USD 261 billion, consolidating China's position as the number one source market in the world since 2012.</w:t>
      </w:r>
      <w:r>
        <w:rPr>
          <w:rStyle w:val="FootnoteReference"/>
          <w:noProof/>
          <w:szCs w:val="24"/>
        </w:rPr>
        <w:footnoteReference w:id="94"/>
      </w:r>
      <w:r>
        <w:rPr>
          <w:rFonts w:ascii="Times New Roman" w:hAnsi="Times New Roman" w:cs="Times New Roman"/>
          <w:noProof/>
          <w:sz w:val="24"/>
          <w:szCs w:val="24"/>
        </w:rPr>
        <w:t xml:space="preserve"> The growth in the first half of 2017 was 19%, compared to the same period in 2016.</w:t>
      </w:r>
      <w:r>
        <w:rPr>
          <w:rStyle w:val="FootnoteReference"/>
          <w:noProof/>
          <w:szCs w:val="24"/>
        </w:rPr>
        <w:footnoteReference w:id="95"/>
      </w:r>
    </w:p>
    <w:p>
      <w:pPr>
        <w:pStyle w:val="ListParagraph"/>
        <w:numPr>
          <w:ilvl w:val="0"/>
          <w:numId w:val="21"/>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Additionally, other visa required travellers showed double-digit growth in outbound tourism expenditure in 2016, for instance India (+16%), Qatar (+11%), Thailand (+11%), Vietnam (+28%) and Egypt (+19%).</w:t>
      </w:r>
      <w:r>
        <w:rPr>
          <w:rStyle w:val="FootnoteReference"/>
          <w:noProof/>
          <w:szCs w:val="24"/>
        </w:rPr>
        <w:footnoteReference w:id="96"/>
      </w:r>
      <w:r>
        <w:rPr>
          <w:rFonts w:ascii="Times New Roman" w:hAnsi="Times New Roman" w:cs="Times New Roman"/>
          <w:noProof/>
          <w:sz w:val="24"/>
          <w:szCs w:val="24"/>
        </w:rPr>
        <w:t xml:space="preserve"> In the first half of 2017, tourism spending by Russian travellers grew by 27% after some years of declines, showing the recovery of this important market for the EU.</w:t>
      </w:r>
      <w:r>
        <w:rPr>
          <w:rStyle w:val="FootnoteReference"/>
          <w:noProof/>
          <w:szCs w:val="24"/>
        </w:rPr>
        <w:footnoteReference w:id="97"/>
      </w:r>
    </w:p>
    <w:p>
      <w:pPr>
        <w:pStyle w:val="ListParagraph"/>
        <w:numPr>
          <w:ilvl w:val="0"/>
          <w:numId w:val="21"/>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Europe's market share of Asian outbound tourism remains relatively low. Out of the total of 86.3 million outbound trips made by Chinese in 2016, about 46.7% were long-haul, but only 12.2% were made to Europe (including non-EU countries). The numbers are similar for India, despite an even bigger share of long-haul trips (16.7 million trips, 96.2% long-haul, 14.0% to Europe).</w:t>
      </w:r>
      <w:r>
        <w:rPr>
          <w:rStyle w:val="FootnoteReference"/>
          <w:noProof/>
          <w:szCs w:val="24"/>
        </w:rPr>
        <w:footnoteReference w:id="98"/>
      </w:r>
      <w:r>
        <w:rPr>
          <w:rFonts w:ascii="Times New Roman" w:hAnsi="Times New Roman" w:cs="Times New Roman"/>
          <w:noProof/>
          <w:sz w:val="24"/>
          <w:szCs w:val="24"/>
        </w:rPr>
        <w:t xml:space="preserve"> </w:t>
      </w:r>
    </w:p>
    <w:p>
      <w:pPr>
        <w:keepNext/>
        <w:jc w:val="both"/>
        <w:rPr>
          <w:rFonts w:ascii="Times New Roman" w:hAnsi="Times New Roman"/>
          <w:noProof/>
          <w:sz w:val="24"/>
          <w:szCs w:val="24"/>
          <w:lang w:eastAsia="en-GB"/>
        </w:rPr>
      </w:pPr>
      <w:r>
        <w:rPr>
          <w:rFonts w:ascii="Times New Roman" w:hAnsi="Times New Roman"/>
          <w:noProof/>
          <w:sz w:val="24"/>
          <w:szCs w:val="24"/>
          <w:lang w:eastAsia="en-GB"/>
        </w:rPr>
        <w:t>The following table presents data on global outbound tourism expenditure of Schengen visa required travellers from selected countries in million USD.</w:t>
      </w:r>
      <w:r>
        <w:rPr>
          <w:rStyle w:val="FootnoteReference"/>
          <w:noProof/>
          <w:szCs w:val="24"/>
          <w:lang w:eastAsia="en-GB"/>
        </w:rPr>
        <w:footnoteReference w:id="99"/>
      </w:r>
      <w:r>
        <w:rPr>
          <w:rFonts w:ascii="Times New Roman" w:hAnsi="Times New Roman"/>
          <w:noProof/>
          <w:sz w:val="24"/>
          <w:szCs w:val="24"/>
          <w:lang w:eastAsia="en-GB"/>
        </w:rPr>
        <w:t xml:space="preserve"> </w:t>
      </w:r>
    </w:p>
    <w:tbl>
      <w:tblPr>
        <w:tblW w:w="9072" w:type="dxa"/>
        <w:tblInd w:w="108" w:type="dxa"/>
        <w:shd w:val="clear" w:color="auto" w:fill="FFFFFF" w:themeFill="background1"/>
        <w:tblLayout w:type="fixed"/>
        <w:tblLook w:val="04A0" w:firstRow="1" w:lastRow="0" w:firstColumn="1" w:lastColumn="0" w:noHBand="0" w:noVBand="1"/>
      </w:tblPr>
      <w:tblGrid>
        <w:gridCol w:w="1575"/>
        <w:gridCol w:w="1249"/>
        <w:gridCol w:w="1250"/>
        <w:gridCol w:w="1249"/>
        <w:gridCol w:w="1250"/>
        <w:gridCol w:w="1249"/>
        <w:gridCol w:w="1250"/>
      </w:tblGrid>
      <w:tr>
        <w:trPr>
          <w:trHeight w:val="292"/>
        </w:trPr>
        <w:tc>
          <w:tcPr>
            <w:tcW w:w="157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center"/>
            <w:hideMark/>
          </w:tcPr>
          <w:p>
            <w:pPr>
              <w:spacing w:after="0" w:line="240" w:lineRule="auto"/>
              <w:jc w:val="center"/>
              <w:rPr>
                <w:rFonts w:ascii="Times New Roman" w:hAnsi="Times New Roman" w:cs="Times New Roman"/>
                <w:i/>
                <w:noProof/>
              </w:rPr>
            </w:pPr>
            <w:r>
              <w:rPr>
                <w:rFonts w:ascii="Times New Roman" w:hAnsi="Times New Roman" w:cs="Times New Roman"/>
                <w:i/>
                <w:noProof/>
              </w:rPr>
              <w:t>Country of origin</w:t>
            </w:r>
          </w:p>
        </w:tc>
        <w:tc>
          <w:tcPr>
            <w:tcW w:w="1249" w:type="dxa"/>
            <w:tcBorders>
              <w:top w:val="single" w:sz="4" w:space="0" w:color="000000"/>
              <w:left w:val="nil"/>
              <w:bottom w:val="single" w:sz="4" w:space="0" w:color="000000"/>
              <w:right w:val="single" w:sz="4" w:space="0" w:color="000000"/>
            </w:tcBorders>
            <w:shd w:val="clear" w:color="auto" w:fill="C6D9F1" w:themeFill="text2" w:themeFillTint="33"/>
            <w:noWrap/>
            <w:vAlign w:val="center"/>
            <w:hideMark/>
          </w:tcPr>
          <w:p>
            <w:pPr>
              <w:spacing w:after="0" w:line="240" w:lineRule="auto"/>
              <w:jc w:val="center"/>
              <w:rPr>
                <w:rFonts w:ascii="Times New Roman" w:hAnsi="Times New Roman" w:cs="Times New Roman"/>
                <w:i/>
                <w:noProof/>
              </w:rPr>
            </w:pPr>
            <w:r>
              <w:rPr>
                <w:rFonts w:ascii="Times New Roman" w:hAnsi="Times New Roman" w:cs="Times New Roman"/>
                <w:i/>
                <w:noProof/>
              </w:rPr>
              <w:t>2011</w:t>
            </w:r>
          </w:p>
        </w:tc>
        <w:tc>
          <w:tcPr>
            <w:tcW w:w="1250" w:type="dxa"/>
            <w:tcBorders>
              <w:top w:val="single" w:sz="4" w:space="0" w:color="000000"/>
              <w:left w:val="nil"/>
              <w:bottom w:val="single" w:sz="4" w:space="0" w:color="000000"/>
              <w:right w:val="single" w:sz="4" w:space="0" w:color="000000"/>
            </w:tcBorders>
            <w:shd w:val="clear" w:color="auto" w:fill="C6D9F1" w:themeFill="text2" w:themeFillTint="33"/>
            <w:noWrap/>
            <w:vAlign w:val="center"/>
            <w:hideMark/>
          </w:tcPr>
          <w:p>
            <w:pPr>
              <w:spacing w:after="0" w:line="240" w:lineRule="auto"/>
              <w:jc w:val="center"/>
              <w:rPr>
                <w:rFonts w:ascii="Times New Roman" w:hAnsi="Times New Roman" w:cs="Times New Roman"/>
                <w:i/>
                <w:noProof/>
              </w:rPr>
            </w:pPr>
            <w:r>
              <w:rPr>
                <w:rFonts w:ascii="Times New Roman" w:hAnsi="Times New Roman" w:cs="Times New Roman"/>
                <w:i/>
                <w:noProof/>
              </w:rPr>
              <w:t>2012</w:t>
            </w:r>
          </w:p>
        </w:tc>
        <w:tc>
          <w:tcPr>
            <w:tcW w:w="1249" w:type="dxa"/>
            <w:tcBorders>
              <w:top w:val="single" w:sz="4" w:space="0" w:color="000000"/>
              <w:left w:val="nil"/>
              <w:bottom w:val="single" w:sz="4" w:space="0" w:color="000000"/>
              <w:right w:val="single" w:sz="4" w:space="0" w:color="000000"/>
            </w:tcBorders>
            <w:shd w:val="clear" w:color="auto" w:fill="C6D9F1" w:themeFill="text2" w:themeFillTint="33"/>
            <w:noWrap/>
            <w:vAlign w:val="center"/>
            <w:hideMark/>
          </w:tcPr>
          <w:p>
            <w:pPr>
              <w:spacing w:after="0" w:line="240" w:lineRule="auto"/>
              <w:jc w:val="center"/>
              <w:rPr>
                <w:rFonts w:ascii="Times New Roman" w:hAnsi="Times New Roman" w:cs="Times New Roman"/>
                <w:i/>
                <w:noProof/>
              </w:rPr>
            </w:pPr>
            <w:r>
              <w:rPr>
                <w:rFonts w:ascii="Times New Roman" w:hAnsi="Times New Roman" w:cs="Times New Roman"/>
                <w:i/>
                <w:noProof/>
              </w:rPr>
              <w:t>2013</w:t>
            </w:r>
          </w:p>
        </w:tc>
        <w:tc>
          <w:tcPr>
            <w:tcW w:w="1250" w:type="dxa"/>
            <w:tcBorders>
              <w:top w:val="single" w:sz="4" w:space="0" w:color="000000"/>
              <w:left w:val="nil"/>
              <w:bottom w:val="single" w:sz="4" w:space="0" w:color="000000"/>
              <w:right w:val="single" w:sz="4" w:space="0" w:color="000000"/>
            </w:tcBorders>
            <w:shd w:val="clear" w:color="auto" w:fill="C6D9F1" w:themeFill="text2" w:themeFillTint="33"/>
            <w:noWrap/>
            <w:vAlign w:val="center"/>
            <w:hideMark/>
          </w:tcPr>
          <w:p>
            <w:pPr>
              <w:spacing w:after="0" w:line="240" w:lineRule="auto"/>
              <w:jc w:val="center"/>
              <w:rPr>
                <w:rFonts w:ascii="Times New Roman" w:hAnsi="Times New Roman" w:cs="Times New Roman"/>
                <w:i/>
                <w:noProof/>
              </w:rPr>
            </w:pPr>
            <w:r>
              <w:rPr>
                <w:rFonts w:ascii="Times New Roman" w:hAnsi="Times New Roman" w:cs="Times New Roman"/>
                <w:i/>
                <w:noProof/>
              </w:rPr>
              <w:t>2014</w:t>
            </w:r>
          </w:p>
        </w:tc>
        <w:tc>
          <w:tcPr>
            <w:tcW w:w="1249" w:type="dxa"/>
            <w:tcBorders>
              <w:top w:val="single" w:sz="4" w:space="0" w:color="000000"/>
              <w:left w:val="nil"/>
              <w:bottom w:val="single" w:sz="4" w:space="0" w:color="000000"/>
              <w:right w:val="single" w:sz="4" w:space="0" w:color="000000"/>
            </w:tcBorders>
            <w:shd w:val="clear" w:color="auto" w:fill="C6D9F1" w:themeFill="text2" w:themeFillTint="33"/>
            <w:noWrap/>
            <w:vAlign w:val="center"/>
            <w:hideMark/>
          </w:tcPr>
          <w:p>
            <w:pPr>
              <w:spacing w:after="0" w:line="240" w:lineRule="auto"/>
              <w:jc w:val="center"/>
              <w:rPr>
                <w:rFonts w:ascii="Times New Roman" w:hAnsi="Times New Roman" w:cs="Times New Roman"/>
                <w:i/>
                <w:noProof/>
              </w:rPr>
            </w:pPr>
            <w:r>
              <w:rPr>
                <w:rFonts w:ascii="Times New Roman" w:hAnsi="Times New Roman" w:cs="Times New Roman"/>
                <w:i/>
                <w:noProof/>
              </w:rPr>
              <w:t>2015</w:t>
            </w:r>
          </w:p>
        </w:tc>
        <w:tc>
          <w:tcPr>
            <w:tcW w:w="1250" w:type="dxa"/>
            <w:tcBorders>
              <w:top w:val="single" w:sz="4" w:space="0" w:color="000000"/>
              <w:left w:val="nil"/>
              <w:bottom w:val="single" w:sz="4" w:space="0" w:color="000000"/>
              <w:right w:val="single" w:sz="4" w:space="0" w:color="000000"/>
            </w:tcBorders>
            <w:shd w:val="clear" w:color="auto" w:fill="C6D9F1" w:themeFill="text2" w:themeFillTint="33"/>
            <w:vAlign w:val="center"/>
          </w:tcPr>
          <w:p>
            <w:pPr>
              <w:spacing w:after="0" w:line="240" w:lineRule="auto"/>
              <w:jc w:val="center"/>
              <w:rPr>
                <w:rFonts w:ascii="Times New Roman" w:hAnsi="Times New Roman" w:cs="Times New Roman"/>
                <w:i/>
                <w:noProof/>
              </w:rPr>
            </w:pPr>
            <w:r>
              <w:rPr>
                <w:rFonts w:ascii="Times New Roman" w:hAnsi="Times New Roman" w:cs="Times New Roman"/>
                <w:i/>
                <w:noProof/>
              </w:rPr>
              <w:t>Increase 2011-2015</w:t>
            </w:r>
          </w:p>
        </w:tc>
      </w:tr>
      <w:tr>
        <w:trPr>
          <w:trHeight w:val="292"/>
        </w:trPr>
        <w:tc>
          <w:tcPr>
            <w:tcW w:w="1575" w:type="dxa"/>
            <w:tcBorders>
              <w:top w:val="nil"/>
              <w:left w:val="single" w:sz="4" w:space="0" w:color="000000"/>
              <w:bottom w:val="single" w:sz="4" w:space="0" w:color="000000"/>
              <w:right w:val="single" w:sz="4" w:space="0" w:color="000000"/>
            </w:tcBorders>
            <w:shd w:val="clear" w:color="auto" w:fill="FFFFFF" w:themeFill="background1"/>
            <w:noWrap/>
            <w:vAlign w:val="bottom"/>
            <w:hideMark/>
          </w:tcPr>
          <w:p>
            <w:pPr>
              <w:spacing w:after="0" w:line="240" w:lineRule="auto"/>
              <w:rPr>
                <w:rFonts w:ascii="Times New Roman" w:hAnsi="Times New Roman" w:cs="Times New Roman"/>
                <w:b/>
                <w:noProof/>
              </w:rPr>
            </w:pPr>
            <w:r>
              <w:rPr>
                <w:rFonts w:ascii="Times New Roman" w:hAnsi="Times New Roman" w:cs="Times New Roman"/>
                <w:b/>
                <w:noProof/>
              </w:rPr>
              <w:t>China</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72,585</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101,977</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128,576</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234,662</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292,200</w:t>
            </w:r>
          </w:p>
        </w:tc>
        <w:tc>
          <w:tcPr>
            <w:tcW w:w="1250" w:type="dxa"/>
            <w:tcBorders>
              <w:top w:val="nil"/>
              <w:left w:val="nil"/>
              <w:bottom w:val="single" w:sz="4" w:space="0" w:color="000000"/>
              <w:right w:val="single" w:sz="4" w:space="0" w:color="000000"/>
            </w:tcBorders>
            <w:shd w:val="clear" w:color="auto" w:fill="FFFFFF" w:themeFill="background1"/>
          </w:tcPr>
          <w:p>
            <w:pPr>
              <w:spacing w:after="0" w:line="240" w:lineRule="auto"/>
              <w:jc w:val="right"/>
              <w:rPr>
                <w:rFonts w:ascii="Times New Roman" w:hAnsi="Times New Roman" w:cs="Times New Roman"/>
                <w:b/>
                <w:noProof/>
              </w:rPr>
            </w:pPr>
            <w:r>
              <w:rPr>
                <w:rFonts w:ascii="Times New Roman" w:hAnsi="Times New Roman" w:cs="Times New Roman"/>
                <w:b/>
                <w:noProof/>
              </w:rPr>
              <w:t>303%</w:t>
            </w:r>
          </w:p>
        </w:tc>
      </w:tr>
      <w:tr>
        <w:trPr>
          <w:trHeight w:val="292"/>
        </w:trPr>
        <w:tc>
          <w:tcPr>
            <w:tcW w:w="1575" w:type="dxa"/>
            <w:tcBorders>
              <w:top w:val="nil"/>
              <w:left w:val="single" w:sz="4" w:space="0" w:color="000000"/>
              <w:bottom w:val="single" w:sz="4" w:space="0" w:color="000000"/>
              <w:right w:val="single" w:sz="4" w:space="0" w:color="000000"/>
            </w:tcBorders>
            <w:shd w:val="clear" w:color="auto" w:fill="FFFFFF" w:themeFill="background1"/>
            <w:noWrap/>
            <w:vAlign w:val="bottom"/>
            <w:hideMark/>
          </w:tcPr>
          <w:p>
            <w:pPr>
              <w:spacing w:after="0" w:line="240" w:lineRule="auto"/>
              <w:rPr>
                <w:rFonts w:ascii="Times New Roman" w:hAnsi="Times New Roman" w:cs="Times New Roman"/>
                <w:b/>
                <w:noProof/>
              </w:rPr>
            </w:pPr>
            <w:r>
              <w:rPr>
                <w:rFonts w:ascii="Times New Roman" w:hAnsi="Times New Roman" w:cs="Times New Roman"/>
                <w:b/>
                <w:noProof/>
              </w:rPr>
              <w:t>India</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13,699</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14,107</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13,884</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17,492</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17,686</w:t>
            </w:r>
          </w:p>
        </w:tc>
        <w:tc>
          <w:tcPr>
            <w:tcW w:w="1250" w:type="dxa"/>
            <w:tcBorders>
              <w:top w:val="nil"/>
              <w:left w:val="nil"/>
              <w:bottom w:val="single" w:sz="4" w:space="0" w:color="000000"/>
              <w:right w:val="single" w:sz="4" w:space="0" w:color="000000"/>
            </w:tcBorders>
            <w:shd w:val="clear" w:color="auto" w:fill="FFFFFF" w:themeFill="background1"/>
          </w:tcPr>
          <w:p>
            <w:pPr>
              <w:spacing w:after="0" w:line="240" w:lineRule="auto"/>
              <w:jc w:val="right"/>
              <w:rPr>
                <w:rFonts w:ascii="Times New Roman" w:hAnsi="Times New Roman" w:cs="Times New Roman"/>
                <w:b/>
                <w:noProof/>
              </w:rPr>
            </w:pPr>
            <w:r>
              <w:rPr>
                <w:rFonts w:ascii="Times New Roman" w:hAnsi="Times New Roman" w:cs="Times New Roman"/>
                <w:b/>
                <w:noProof/>
              </w:rPr>
              <w:t>29%</w:t>
            </w:r>
          </w:p>
        </w:tc>
      </w:tr>
      <w:tr>
        <w:trPr>
          <w:trHeight w:val="292"/>
        </w:trPr>
        <w:tc>
          <w:tcPr>
            <w:tcW w:w="1575" w:type="dxa"/>
            <w:tcBorders>
              <w:top w:val="nil"/>
              <w:left w:val="single" w:sz="4" w:space="0" w:color="000000"/>
              <w:bottom w:val="single" w:sz="4" w:space="0" w:color="000000"/>
              <w:right w:val="single" w:sz="4" w:space="0" w:color="000000"/>
            </w:tcBorders>
            <w:shd w:val="clear" w:color="auto" w:fill="FFFFFF" w:themeFill="background1"/>
            <w:noWrap/>
            <w:vAlign w:val="bottom"/>
            <w:hideMark/>
          </w:tcPr>
          <w:p>
            <w:pPr>
              <w:spacing w:after="0" w:line="240" w:lineRule="auto"/>
              <w:rPr>
                <w:rFonts w:ascii="Times New Roman" w:hAnsi="Times New Roman" w:cs="Times New Roman"/>
                <w:b/>
                <w:noProof/>
              </w:rPr>
            </w:pPr>
            <w:r>
              <w:rPr>
                <w:rFonts w:ascii="Times New Roman" w:hAnsi="Times New Roman" w:cs="Times New Roman"/>
                <w:b/>
                <w:noProof/>
              </w:rPr>
              <w:t>Indonesia</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8,653</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9,055</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10,280</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10,263</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9,800</w:t>
            </w:r>
          </w:p>
        </w:tc>
        <w:tc>
          <w:tcPr>
            <w:tcW w:w="1250" w:type="dxa"/>
            <w:tcBorders>
              <w:top w:val="nil"/>
              <w:left w:val="nil"/>
              <w:bottom w:val="single" w:sz="4" w:space="0" w:color="000000"/>
              <w:right w:val="single" w:sz="4" w:space="0" w:color="000000"/>
            </w:tcBorders>
            <w:shd w:val="clear" w:color="auto" w:fill="FFFFFF" w:themeFill="background1"/>
          </w:tcPr>
          <w:p>
            <w:pPr>
              <w:spacing w:after="0" w:line="240" w:lineRule="auto"/>
              <w:jc w:val="right"/>
              <w:rPr>
                <w:rFonts w:ascii="Times New Roman" w:hAnsi="Times New Roman" w:cs="Times New Roman"/>
                <w:b/>
                <w:noProof/>
              </w:rPr>
            </w:pPr>
            <w:r>
              <w:rPr>
                <w:rFonts w:ascii="Times New Roman" w:hAnsi="Times New Roman" w:cs="Times New Roman"/>
                <w:b/>
                <w:noProof/>
              </w:rPr>
              <w:t>13%</w:t>
            </w:r>
          </w:p>
        </w:tc>
      </w:tr>
      <w:tr>
        <w:trPr>
          <w:trHeight w:val="292"/>
        </w:trPr>
        <w:tc>
          <w:tcPr>
            <w:tcW w:w="1575" w:type="dxa"/>
            <w:tcBorders>
              <w:top w:val="nil"/>
              <w:left w:val="single" w:sz="4" w:space="0" w:color="000000"/>
              <w:bottom w:val="single" w:sz="4" w:space="0" w:color="000000"/>
              <w:right w:val="single" w:sz="4" w:space="0" w:color="000000"/>
            </w:tcBorders>
            <w:shd w:val="clear" w:color="auto" w:fill="FFFFFF" w:themeFill="background1"/>
            <w:noWrap/>
            <w:vAlign w:val="bottom"/>
            <w:hideMark/>
          </w:tcPr>
          <w:p>
            <w:pPr>
              <w:spacing w:after="0" w:line="240" w:lineRule="auto"/>
              <w:rPr>
                <w:rFonts w:ascii="Times New Roman" w:hAnsi="Times New Roman" w:cs="Times New Roman"/>
                <w:b/>
                <w:noProof/>
              </w:rPr>
            </w:pPr>
            <w:r>
              <w:rPr>
                <w:rFonts w:ascii="Times New Roman" w:hAnsi="Times New Roman" w:cs="Times New Roman"/>
                <w:b/>
                <w:noProof/>
              </w:rPr>
              <w:t>Kuwait</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8,879</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10,073</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10,567</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12,280</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13,148</w:t>
            </w:r>
          </w:p>
        </w:tc>
        <w:tc>
          <w:tcPr>
            <w:tcW w:w="1250" w:type="dxa"/>
            <w:tcBorders>
              <w:top w:val="nil"/>
              <w:left w:val="nil"/>
              <w:bottom w:val="single" w:sz="4" w:space="0" w:color="000000"/>
              <w:right w:val="single" w:sz="4" w:space="0" w:color="000000"/>
            </w:tcBorders>
            <w:shd w:val="clear" w:color="auto" w:fill="FFFFFF" w:themeFill="background1"/>
          </w:tcPr>
          <w:p>
            <w:pPr>
              <w:spacing w:after="0" w:line="240" w:lineRule="auto"/>
              <w:jc w:val="right"/>
              <w:rPr>
                <w:rFonts w:ascii="Times New Roman" w:hAnsi="Times New Roman" w:cs="Times New Roman"/>
                <w:b/>
                <w:noProof/>
              </w:rPr>
            </w:pPr>
            <w:r>
              <w:rPr>
                <w:rFonts w:ascii="Times New Roman" w:hAnsi="Times New Roman" w:cs="Times New Roman"/>
                <w:b/>
                <w:noProof/>
              </w:rPr>
              <w:t>48%</w:t>
            </w:r>
          </w:p>
        </w:tc>
      </w:tr>
      <w:tr>
        <w:trPr>
          <w:trHeight w:val="292"/>
        </w:trPr>
        <w:tc>
          <w:tcPr>
            <w:tcW w:w="1575" w:type="dxa"/>
            <w:tcBorders>
              <w:top w:val="nil"/>
              <w:left w:val="single" w:sz="4" w:space="0" w:color="000000"/>
              <w:bottom w:val="single" w:sz="4" w:space="0" w:color="000000"/>
              <w:right w:val="single" w:sz="4" w:space="0" w:color="000000"/>
            </w:tcBorders>
            <w:shd w:val="clear" w:color="auto" w:fill="FFFFFF" w:themeFill="background1"/>
            <w:noWrap/>
            <w:vAlign w:val="bottom"/>
            <w:hideMark/>
          </w:tcPr>
          <w:p>
            <w:pPr>
              <w:spacing w:after="0" w:line="240" w:lineRule="auto"/>
              <w:rPr>
                <w:rFonts w:ascii="Times New Roman" w:hAnsi="Times New Roman" w:cs="Times New Roman"/>
                <w:b/>
                <w:noProof/>
              </w:rPr>
            </w:pPr>
            <w:r>
              <w:rPr>
                <w:rFonts w:ascii="Times New Roman" w:hAnsi="Times New Roman" w:cs="Times New Roman"/>
                <w:b/>
                <w:noProof/>
              </w:rPr>
              <w:t>Nigeria</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9,533</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9,240</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9,150</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9,068</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9,200</w:t>
            </w:r>
          </w:p>
        </w:tc>
        <w:tc>
          <w:tcPr>
            <w:tcW w:w="1250" w:type="dxa"/>
            <w:tcBorders>
              <w:top w:val="nil"/>
              <w:left w:val="nil"/>
              <w:bottom w:val="single" w:sz="4" w:space="0" w:color="000000"/>
              <w:right w:val="single" w:sz="4" w:space="0" w:color="000000"/>
            </w:tcBorders>
            <w:shd w:val="clear" w:color="auto" w:fill="FFFFFF" w:themeFill="background1"/>
          </w:tcPr>
          <w:p>
            <w:pPr>
              <w:spacing w:after="0" w:line="240" w:lineRule="auto"/>
              <w:jc w:val="right"/>
              <w:rPr>
                <w:rFonts w:ascii="Times New Roman" w:hAnsi="Times New Roman" w:cs="Times New Roman"/>
                <w:b/>
                <w:noProof/>
              </w:rPr>
            </w:pPr>
            <w:r>
              <w:rPr>
                <w:rFonts w:ascii="Times New Roman" w:hAnsi="Times New Roman" w:cs="Times New Roman"/>
                <w:b/>
                <w:noProof/>
              </w:rPr>
              <w:t>-3%</w:t>
            </w:r>
          </w:p>
        </w:tc>
      </w:tr>
      <w:tr>
        <w:trPr>
          <w:trHeight w:val="292"/>
        </w:trPr>
        <w:tc>
          <w:tcPr>
            <w:tcW w:w="1575" w:type="dxa"/>
            <w:tcBorders>
              <w:top w:val="nil"/>
              <w:left w:val="single" w:sz="4" w:space="0" w:color="000000"/>
              <w:bottom w:val="single" w:sz="4" w:space="0" w:color="000000"/>
              <w:right w:val="single" w:sz="4" w:space="0" w:color="000000"/>
            </w:tcBorders>
            <w:shd w:val="clear" w:color="auto" w:fill="FFFFFF" w:themeFill="background1"/>
            <w:noWrap/>
            <w:vAlign w:val="bottom"/>
            <w:hideMark/>
          </w:tcPr>
          <w:p>
            <w:pPr>
              <w:spacing w:after="0" w:line="240" w:lineRule="auto"/>
              <w:rPr>
                <w:rFonts w:ascii="Times New Roman" w:hAnsi="Times New Roman" w:cs="Times New Roman"/>
                <w:b/>
                <w:noProof/>
              </w:rPr>
            </w:pPr>
            <w:r>
              <w:rPr>
                <w:rFonts w:ascii="Times New Roman" w:hAnsi="Times New Roman" w:cs="Times New Roman"/>
                <w:b/>
                <w:noProof/>
              </w:rPr>
              <w:t>Philippines</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6,055</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7,140</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8,400</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11,130</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11,868</w:t>
            </w:r>
          </w:p>
        </w:tc>
        <w:tc>
          <w:tcPr>
            <w:tcW w:w="1250" w:type="dxa"/>
            <w:tcBorders>
              <w:top w:val="nil"/>
              <w:left w:val="nil"/>
              <w:bottom w:val="single" w:sz="4" w:space="0" w:color="000000"/>
              <w:right w:val="single" w:sz="4" w:space="0" w:color="000000"/>
            </w:tcBorders>
            <w:shd w:val="clear" w:color="auto" w:fill="FFFFFF" w:themeFill="background1"/>
          </w:tcPr>
          <w:p>
            <w:pPr>
              <w:spacing w:after="0" w:line="240" w:lineRule="auto"/>
              <w:jc w:val="right"/>
              <w:rPr>
                <w:rFonts w:ascii="Times New Roman" w:hAnsi="Times New Roman" w:cs="Times New Roman"/>
                <w:b/>
                <w:noProof/>
              </w:rPr>
            </w:pPr>
            <w:r>
              <w:rPr>
                <w:rFonts w:ascii="Times New Roman" w:hAnsi="Times New Roman" w:cs="Times New Roman"/>
                <w:b/>
                <w:noProof/>
              </w:rPr>
              <w:t>96%</w:t>
            </w:r>
          </w:p>
        </w:tc>
      </w:tr>
      <w:tr>
        <w:trPr>
          <w:trHeight w:val="292"/>
        </w:trPr>
        <w:tc>
          <w:tcPr>
            <w:tcW w:w="1575" w:type="dxa"/>
            <w:tcBorders>
              <w:top w:val="nil"/>
              <w:left w:val="single" w:sz="4" w:space="0" w:color="000000"/>
              <w:bottom w:val="single" w:sz="4" w:space="0" w:color="000000"/>
              <w:right w:val="single" w:sz="4" w:space="0" w:color="000000"/>
            </w:tcBorders>
            <w:shd w:val="clear" w:color="auto" w:fill="FFFFFF" w:themeFill="background1"/>
            <w:noWrap/>
            <w:vAlign w:val="bottom"/>
            <w:hideMark/>
          </w:tcPr>
          <w:p>
            <w:pPr>
              <w:spacing w:after="0" w:line="240" w:lineRule="auto"/>
              <w:rPr>
                <w:rFonts w:ascii="Times New Roman" w:hAnsi="Times New Roman" w:cs="Times New Roman"/>
                <w:b/>
                <w:noProof/>
              </w:rPr>
            </w:pPr>
            <w:r>
              <w:rPr>
                <w:rFonts w:ascii="Times New Roman" w:hAnsi="Times New Roman" w:cs="Times New Roman"/>
                <w:b/>
                <w:noProof/>
              </w:rPr>
              <w:t>Qatar</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7,813</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10,702</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11,729</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12,871</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11,641</w:t>
            </w:r>
          </w:p>
        </w:tc>
        <w:tc>
          <w:tcPr>
            <w:tcW w:w="1250" w:type="dxa"/>
            <w:tcBorders>
              <w:top w:val="nil"/>
              <w:left w:val="nil"/>
              <w:bottom w:val="single" w:sz="4" w:space="0" w:color="000000"/>
              <w:right w:val="single" w:sz="4" w:space="0" w:color="000000"/>
            </w:tcBorders>
            <w:shd w:val="clear" w:color="auto" w:fill="FFFFFF" w:themeFill="background1"/>
          </w:tcPr>
          <w:p>
            <w:pPr>
              <w:spacing w:after="0" w:line="240" w:lineRule="auto"/>
              <w:jc w:val="right"/>
              <w:rPr>
                <w:rFonts w:ascii="Times New Roman" w:hAnsi="Times New Roman" w:cs="Times New Roman"/>
                <w:b/>
                <w:noProof/>
              </w:rPr>
            </w:pPr>
            <w:r>
              <w:rPr>
                <w:rFonts w:ascii="Times New Roman" w:hAnsi="Times New Roman" w:cs="Times New Roman"/>
                <w:b/>
                <w:noProof/>
              </w:rPr>
              <w:t>49%</w:t>
            </w:r>
          </w:p>
        </w:tc>
      </w:tr>
      <w:tr>
        <w:trPr>
          <w:trHeight w:val="292"/>
        </w:trPr>
        <w:tc>
          <w:tcPr>
            <w:tcW w:w="1575" w:type="dxa"/>
            <w:tcBorders>
              <w:top w:val="nil"/>
              <w:left w:val="single" w:sz="4" w:space="0" w:color="000000"/>
              <w:bottom w:val="single" w:sz="4" w:space="0" w:color="000000"/>
              <w:right w:val="single" w:sz="4" w:space="0" w:color="000000"/>
            </w:tcBorders>
            <w:shd w:val="clear" w:color="auto" w:fill="FFFFFF" w:themeFill="background1"/>
            <w:noWrap/>
            <w:vAlign w:val="bottom"/>
            <w:hideMark/>
          </w:tcPr>
          <w:p>
            <w:pPr>
              <w:spacing w:after="0" w:line="240" w:lineRule="auto"/>
              <w:rPr>
                <w:rFonts w:ascii="Times New Roman" w:hAnsi="Times New Roman" w:cs="Times New Roman"/>
                <w:b/>
                <w:noProof/>
              </w:rPr>
            </w:pPr>
            <w:r>
              <w:rPr>
                <w:rFonts w:ascii="Times New Roman" w:hAnsi="Times New Roman" w:cs="Times New Roman"/>
                <w:b/>
                <w:noProof/>
              </w:rPr>
              <w:t>Russia</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37,343</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48,096</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59,504</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55,383</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38,434</w:t>
            </w:r>
          </w:p>
        </w:tc>
        <w:tc>
          <w:tcPr>
            <w:tcW w:w="1250" w:type="dxa"/>
            <w:tcBorders>
              <w:top w:val="nil"/>
              <w:left w:val="nil"/>
              <w:bottom w:val="single" w:sz="4" w:space="0" w:color="000000"/>
              <w:right w:val="single" w:sz="4" w:space="0" w:color="000000"/>
            </w:tcBorders>
            <w:shd w:val="clear" w:color="auto" w:fill="FFFFFF" w:themeFill="background1"/>
          </w:tcPr>
          <w:p>
            <w:pPr>
              <w:spacing w:after="0" w:line="240" w:lineRule="auto"/>
              <w:jc w:val="right"/>
              <w:rPr>
                <w:rFonts w:ascii="Times New Roman" w:hAnsi="Times New Roman" w:cs="Times New Roman"/>
                <w:b/>
                <w:noProof/>
              </w:rPr>
            </w:pPr>
            <w:r>
              <w:rPr>
                <w:rFonts w:ascii="Times New Roman" w:hAnsi="Times New Roman" w:cs="Times New Roman"/>
                <w:b/>
                <w:noProof/>
              </w:rPr>
              <w:t>3%</w:t>
            </w:r>
          </w:p>
        </w:tc>
      </w:tr>
      <w:tr>
        <w:trPr>
          <w:trHeight w:val="292"/>
        </w:trPr>
        <w:tc>
          <w:tcPr>
            <w:tcW w:w="1575" w:type="dxa"/>
            <w:tcBorders>
              <w:top w:val="nil"/>
              <w:left w:val="single" w:sz="4" w:space="0" w:color="000000"/>
              <w:bottom w:val="single" w:sz="4" w:space="0" w:color="000000"/>
              <w:right w:val="single" w:sz="4" w:space="0" w:color="000000"/>
            </w:tcBorders>
            <w:shd w:val="clear" w:color="auto" w:fill="FFFFFF" w:themeFill="background1"/>
            <w:noWrap/>
            <w:vAlign w:val="bottom"/>
            <w:hideMark/>
          </w:tcPr>
          <w:p>
            <w:pPr>
              <w:spacing w:after="0" w:line="240" w:lineRule="auto"/>
              <w:rPr>
                <w:rFonts w:ascii="Times New Roman" w:hAnsi="Times New Roman" w:cs="Times New Roman"/>
                <w:b/>
                <w:noProof/>
              </w:rPr>
            </w:pPr>
            <w:r>
              <w:rPr>
                <w:rFonts w:ascii="Times New Roman" w:hAnsi="Times New Roman" w:cs="Times New Roman"/>
                <w:b/>
                <w:noProof/>
              </w:rPr>
              <w:t>Saudi Arabia</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18,202</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17,986</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18,648</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25,137</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20,366</w:t>
            </w:r>
          </w:p>
        </w:tc>
        <w:tc>
          <w:tcPr>
            <w:tcW w:w="1250" w:type="dxa"/>
            <w:tcBorders>
              <w:top w:val="nil"/>
              <w:left w:val="nil"/>
              <w:bottom w:val="single" w:sz="4" w:space="0" w:color="000000"/>
              <w:right w:val="single" w:sz="4" w:space="0" w:color="000000"/>
            </w:tcBorders>
            <w:shd w:val="clear" w:color="auto" w:fill="FFFFFF" w:themeFill="background1"/>
          </w:tcPr>
          <w:p>
            <w:pPr>
              <w:spacing w:after="0" w:line="240" w:lineRule="auto"/>
              <w:jc w:val="right"/>
              <w:rPr>
                <w:rFonts w:ascii="Times New Roman" w:hAnsi="Times New Roman" w:cs="Times New Roman"/>
                <w:b/>
                <w:noProof/>
              </w:rPr>
            </w:pPr>
            <w:r>
              <w:rPr>
                <w:rFonts w:ascii="Times New Roman" w:hAnsi="Times New Roman" w:cs="Times New Roman"/>
                <w:b/>
                <w:noProof/>
              </w:rPr>
              <w:t>12%</w:t>
            </w:r>
          </w:p>
        </w:tc>
      </w:tr>
      <w:tr>
        <w:trPr>
          <w:trHeight w:val="292"/>
        </w:trPr>
        <w:tc>
          <w:tcPr>
            <w:tcW w:w="1575" w:type="dxa"/>
            <w:tcBorders>
              <w:top w:val="nil"/>
              <w:left w:val="single" w:sz="4" w:space="0" w:color="000000"/>
              <w:bottom w:val="single" w:sz="4" w:space="0" w:color="000000"/>
              <w:right w:val="single" w:sz="4" w:space="0" w:color="000000"/>
            </w:tcBorders>
            <w:shd w:val="clear" w:color="auto" w:fill="FFFFFF" w:themeFill="background1"/>
            <w:noWrap/>
            <w:vAlign w:val="bottom"/>
            <w:hideMark/>
          </w:tcPr>
          <w:p>
            <w:pPr>
              <w:spacing w:after="0" w:line="240" w:lineRule="auto"/>
              <w:rPr>
                <w:rFonts w:ascii="Times New Roman" w:hAnsi="Times New Roman" w:cs="Times New Roman"/>
                <w:b/>
                <w:noProof/>
              </w:rPr>
            </w:pPr>
            <w:r>
              <w:rPr>
                <w:rFonts w:ascii="Times New Roman" w:hAnsi="Times New Roman" w:cs="Times New Roman"/>
                <w:b/>
                <w:noProof/>
              </w:rPr>
              <w:t>Thailand</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7,534</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8,095</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8,238</w:t>
            </w:r>
          </w:p>
        </w:tc>
        <w:tc>
          <w:tcPr>
            <w:tcW w:w="1250"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8,824</w:t>
            </w:r>
          </w:p>
        </w:tc>
        <w:tc>
          <w:tcPr>
            <w:tcW w:w="1249" w:type="dxa"/>
            <w:tcBorders>
              <w:top w:val="nil"/>
              <w:left w:val="nil"/>
              <w:bottom w:val="single" w:sz="4" w:space="0" w:color="000000"/>
              <w:right w:val="single" w:sz="4" w:space="0" w:color="000000"/>
            </w:tcBorders>
            <w:shd w:val="clear" w:color="auto" w:fill="FFFFFF" w:themeFill="background1"/>
            <w:noWrap/>
            <w:vAlign w:val="bottom"/>
            <w:hideMark/>
          </w:tcPr>
          <w:p>
            <w:pPr>
              <w:spacing w:after="0" w:line="240" w:lineRule="auto"/>
              <w:jc w:val="right"/>
              <w:rPr>
                <w:rFonts w:ascii="Times New Roman" w:hAnsi="Times New Roman" w:cs="Times New Roman"/>
                <w:noProof/>
              </w:rPr>
            </w:pPr>
            <w:r>
              <w:rPr>
                <w:rFonts w:ascii="Times New Roman" w:hAnsi="Times New Roman" w:cs="Times New Roman"/>
                <w:noProof/>
              </w:rPr>
              <w:t>9,539</w:t>
            </w:r>
          </w:p>
        </w:tc>
        <w:tc>
          <w:tcPr>
            <w:tcW w:w="1250" w:type="dxa"/>
            <w:tcBorders>
              <w:top w:val="nil"/>
              <w:left w:val="nil"/>
              <w:bottom w:val="single" w:sz="4" w:space="0" w:color="000000"/>
              <w:right w:val="single" w:sz="4" w:space="0" w:color="000000"/>
            </w:tcBorders>
            <w:shd w:val="clear" w:color="auto" w:fill="FFFFFF" w:themeFill="background1"/>
          </w:tcPr>
          <w:p>
            <w:pPr>
              <w:spacing w:after="0" w:line="240" w:lineRule="auto"/>
              <w:jc w:val="right"/>
              <w:rPr>
                <w:rFonts w:ascii="Times New Roman" w:hAnsi="Times New Roman" w:cs="Times New Roman"/>
                <w:b/>
                <w:noProof/>
              </w:rPr>
            </w:pPr>
            <w:r>
              <w:rPr>
                <w:rFonts w:ascii="Times New Roman" w:hAnsi="Times New Roman" w:cs="Times New Roman"/>
                <w:b/>
                <w:noProof/>
              </w:rPr>
              <w:t>27%</w:t>
            </w:r>
          </w:p>
        </w:tc>
      </w:tr>
    </w:tbl>
    <w:p>
      <w:pPr>
        <w:keepNext/>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 xml:space="preserve">The following graph shows the steady tourism growth in the Schengen area, with the year 2009 taken as a baseline. The blue line represents a growing share of </w:t>
      </w:r>
      <w:r>
        <w:rPr>
          <w:rFonts w:ascii="Times New Roman" w:hAnsi="Times New Roman"/>
          <w:noProof/>
          <w:sz w:val="24"/>
          <w:szCs w:val="24"/>
          <w:u w:val="single"/>
          <w:lang w:eastAsia="en-GB"/>
        </w:rPr>
        <w:t>visa-required travellers</w:t>
      </w:r>
      <w:r>
        <w:rPr>
          <w:rFonts w:ascii="Times New Roman" w:hAnsi="Times New Roman"/>
          <w:noProof/>
          <w:sz w:val="24"/>
          <w:szCs w:val="24"/>
          <w:lang w:eastAsia="en-GB"/>
        </w:rPr>
        <w:t xml:space="preserve">' arrivals at tourist accommodations, and hence their growing importance for the tourism industry in the Schengen area, while the red line illustrates the development of </w:t>
      </w:r>
      <w:r>
        <w:rPr>
          <w:rFonts w:ascii="Times New Roman" w:hAnsi="Times New Roman"/>
          <w:noProof/>
          <w:sz w:val="24"/>
          <w:szCs w:val="24"/>
          <w:u w:val="single"/>
          <w:lang w:eastAsia="en-GB"/>
        </w:rPr>
        <w:t>total arrivals</w:t>
      </w:r>
      <w:r>
        <w:rPr>
          <w:rFonts w:ascii="Times New Roman" w:hAnsi="Times New Roman"/>
          <w:noProof/>
          <w:sz w:val="24"/>
          <w:szCs w:val="24"/>
          <w:lang w:eastAsia="en-GB"/>
        </w:rPr>
        <w:t xml:space="preserve"> to tourist accommodations.</w:t>
      </w:r>
      <w:r>
        <w:rPr>
          <w:rStyle w:val="FootnoteReference"/>
          <w:noProof/>
          <w:szCs w:val="24"/>
          <w:lang w:eastAsia="en-GB"/>
        </w:rPr>
        <w:footnoteReference w:id="100"/>
      </w:r>
    </w:p>
    <w:p>
      <w:pPr>
        <w:jc w:val="both"/>
        <w:rPr>
          <w:noProof/>
        </w:rPr>
      </w:pPr>
      <w:r>
        <w:rPr>
          <w:noProof/>
          <w:lang w:val="en-US"/>
        </w:rPr>
        <w:drawing>
          <wp:inline distT="0" distB="0" distL="0" distR="0">
            <wp:extent cx="5684520" cy="2735580"/>
            <wp:effectExtent l="0" t="0" r="11430"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noProof/>
        </w:rPr>
        <w:br w:type="page"/>
      </w:r>
    </w:p>
    <w:p>
      <w:pPr>
        <w:pStyle w:val="AnnexTitle"/>
        <w:rPr>
          <w:noProof/>
        </w:rPr>
      </w:pPr>
      <w:bookmarkStart w:id="97" w:name="_Toc507148526"/>
      <w:r>
        <w:rPr>
          <w:noProof/>
        </w:rPr>
        <w:t>Annex 7: Elements carried over from the 2014 proposal</w:t>
      </w:r>
      <w:bookmarkEnd w:id="97"/>
      <w:r>
        <w:rPr>
          <w:noProof/>
        </w:rPr>
        <w:t xml:space="preserve"> </w:t>
      </w:r>
    </w:p>
    <w:p>
      <w:pPr>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The following elements of the 2014 Visa Code recast proposal are expected to be carried over to </w:t>
      </w:r>
      <w:r>
        <w:rPr>
          <w:rFonts w:ascii="Times New Roman" w:hAnsi="Times New Roman" w:cs="Times New Roman"/>
          <w:noProof/>
          <w:color w:val="000000" w:themeColor="text1"/>
          <w:sz w:val="24"/>
          <w:szCs w:val="24"/>
        </w:rPr>
        <w:t>the new proposal</w:t>
      </w:r>
      <w:r>
        <w:rPr>
          <w:rStyle w:val="FootnoteReference"/>
          <w:rFonts w:ascii="Times New Roman" w:hAnsi="Times New Roman" w:cs="Times New Roman"/>
          <w:noProof/>
          <w:color w:val="000000" w:themeColor="text1"/>
          <w:sz w:val="24"/>
          <w:szCs w:val="24"/>
        </w:rPr>
        <w:footnoteReference w:id="101"/>
      </w:r>
      <w:r>
        <w:rPr>
          <w:rFonts w:ascii="Times New Roman" w:hAnsi="Times New Roman" w:cs="Times New Roman"/>
          <w:noProof/>
          <w:color w:val="000000" w:themeColor="text1"/>
          <w:sz w:val="24"/>
          <w:szCs w:val="24"/>
        </w:rPr>
        <w:t>, with the aim of introducing procedural facilitations for visa applications and in view of simplifying, clarifying and streamlining existing provisions.</w:t>
      </w:r>
    </w:p>
    <w:p>
      <w:pPr>
        <w:rPr>
          <w:rFonts w:ascii="Times New Roman" w:hAnsi="Times New Roman" w:cs="Times New Roman"/>
          <w:b/>
          <w:noProof/>
          <w:color w:val="000000" w:themeColor="text1"/>
          <w:sz w:val="24"/>
          <w:szCs w:val="24"/>
          <w:u w:val="single"/>
        </w:rPr>
      </w:pPr>
      <w:r>
        <w:rPr>
          <w:rFonts w:ascii="Times New Roman" w:hAnsi="Times New Roman" w:cs="Times New Roman"/>
          <w:b/>
          <w:noProof/>
          <w:color w:val="000000" w:themeColor="text1"/>
          <w:sz w:val="24"/>
          <w:szCs w:val="24"/>
          <w:u w:val="single"/>
        </w:rPr>
        <w:t>Procedural facilitations</w:t>
      </w:r>
    </w:p>
    <w:tbl>
      <w:tblPr>
        <w:tblStyle w:val="TableGrid"/>
        <w:tblW w:w="0" w:type="auto"/>
        <w:tblLook w:val="04A0" w:firstRow="1" w:lastRow="0" w:firstColumn="1" w:lastColumn="0" w:noHBand="0" w:noVBand="1"/>
      </w:tblPr>
      <w:tblGrid>
        <w:gridCol w:w="2404"/>
        <w:gridCol w:w="2648"/>
        <w:gridCol w:w="3782"/>
      </w:tblGrid>
      <w:tr>
        <w:tc>
          <w:tcPr>
            <w:tcW w:w="2508" w:type="dxa"/>
          </w:tcPr>
          <w:p>
            <w:pPr>
              <w:rPr>
                <w:b/>
                <w:noProof/>
                <w:color w:val="000000" w:themeColor="text1"/>
              </w:rPr>
            </w:pPr>
            <w:r>
              <w:rPr>
                <w:b/>
                <w:noProof/>
                <w:color w:val="000000" w:themeColor="text1"/>
              </w:rPr>
              <w:t>Provision</w:t>
            </w:r>
          </w:p>
        </w:tc>
        <w:tc>
          <w:tcPr>
            <w:tcW w:w="2760" w:type="dxa"/>
          </w:tcPr>
          <w:p>
            <w:pPr>
              <w:rPr>
                <w:b/>
                <w:noProof/>
                <w:color w:val="000000" w:themeColor="text1"/>
              </w:rPr>
            </w:pPr>
            <w:r>
              <w:rPr>
                <w:b/>
                <w:noProof/>
                <w:color w:val="000000" w:themeColor="text1"/>
              </w:rPr>
              <w:t>Change</w:t>
            </w:r>
          </w:p>
        </w:tc>
        <w:tc>
          <w:tcPr>
            <w:tcW w:w="4020" w:type="dxa"/>
          </w:tcPr>
          <w:p>
            <w:pPr>
              <w:rPr>
                <w:b/>
                <w:noProof/>
                <w:color w:val="000000" w:themeColor="text1"/>
              </w:rPr>
            </w:pPr>
            <w:r>
              <w:rPr>
                <w:b/>
                <w:noProof/>
                <w:color w:val="000000" w:themeColor="text1"/>
              </w:rPr>
              <w:t>Expected impacts</w:t>
            </w:r>
          </w:p>
        </w:tc>
      </w:tr>
      <w:tr>
        <w:tc>
          <w:tcPr>
            <w:tcW w:w="2508" w:type="dxa"/>
            <w:vMerge w:val="restart"/>
          </w:tcPr>
          <w:p>
            <w:pPr>
              <w:rPr>
                <w:noProof/>
                <w:color w:val="000000" w:themeColor="text1"/>
              </w:rPr>
            </w:pPr>
            <w:r>
              <w:rPr>
                <w:noProof/>
                <w:color w:val="000000" w:themeColor="text1"/>
              </w:rPr>
              <w:t>Deadline for lodging applications before the start of the intended trip</w:t>
            </w:r>
          </w:p>
        </w:tc>
        <w:tc>
          <w:tcPr>
            <w:tcW w:w="2760" w:type="dxa"/>
          </w:tcPr>
          <w:p>
            <w:pPr>
              <w:rPr>
                <w:noProof/>
                <w:color w:val="000000" w:themeColor="text1"/>
              </w:rPr>
            </w:pPr>
            <w:r>
              <w:rPr>
                <w:noProof/>
                <w:color w:val="000000" w:themeColor="text1"/>
              </w:rPr>
              <w:t>Deadline extended from 3 to 6 months for all applicants and to 9 months for seafarers</w:t>
            </w:r>
          </w:p>
        </w:tc>
        <w:tc>
          <w:tcPr>
            <w:tcW w:w="4020" w:type="dxa"/>
          </w:tcPr>
          <w:p>
            <w:pPr>
              <w:rPr>
                <w:noProof/>
                <w:color w:val="000000" w:themeColor="text1"/>
              </w:rPr>
            </w:pPr>
            <w:r>
              <w:rPr>
                <w:noProof/>
                <w:color w:val="000000" w:themeColor="text1"/>
              </w:rPr>
              <w:t xml:space="preserve">This will allow applicants to better plan ahead and avoid waiting times during peak season. Flight tickets will also be cheaper as a result, leading to reduced costs for visa holders. For consulates the work load will be more evenly spread over the year. </w:t>
            </w:r>
          </w:p>
          <w:p>
            <w:pPr>
              <w:rPr>
                <w:noProof/>
                <w:color w:val="000000" w:themeColor="text1"/>
              </w:rPr>
            </w:pPr>
            <w:r>
              <w:rPr>
                <w:noProof/>
                <w:color w:val="000000" w:themeColor="text1"/>
              </w:rPr>
              <w:t>Sea crews typically have contracts of 8-9 months during which they work in the high seas and can therefore not apply for a visa in view of their signing off the ship (in the EU, to return to their home country).</w:t>
            </w:r>
          </w:p>
        </w:tc>
      </w:tr>
      <w:tr>
        <w:tc>
          <w:tcPr>
            <w:tcW w:w="2508" w:type="dxa"/>
            <w:vMerge/>
          </w:tcPr>
          <w:p>
            <w:pPr>
              <w:rPr>
                <w:noProof/>
                <w:color w:val="000000" w:themeColor="text1"/>
              </w:rPr>
            </w:pPr>
          </w:p>
        </w:tc>
        <w:tc>
          <w:tcPr>
            <w:tcW w:w="2760" w:type="dxa"/>
          </w:tcPr>
          <w:p>
            <w:pPr>
              <w:rPr>
                <w:noProof/>
                <w:color w:val="000000" w:themeColor="text1"/>
              </w:rPr>
            </w:pPr>
            <w:r>
              <w:rPr>
                <w:noProof/>
              </w:rPr>
              <w:t>Applicants should apply as a minimum 2 weeks before their intended travel.</w:t>
            </w:r>
          </w:p>
        </w:tc>
        <w:tc>
          <w:tcPr>
            <w:tcW w:w="4020" w:type="dxa"/>
          </w:tcPr>
          <w:p>
            <w:pPr>
              <w:rPr>
                <w:noProof/>
                <w:color w:val="000000" w:themeColor="text1"/>
              </w:rPr>
            </w:pPr>
            <w:r>
              <w:rPr>
                <w:noProof/>
              </w:rPr>
              <w:t>Legal clarification, as many Member States already apply such deadlines. This will leave consulates sufficient time to assess applications, given also the proposed maximum processing time (10 days). This will not prevent late submission in individual cases.</w:t>
            </w:r>
          </w:p>
        </w:tc>
      </w:tr>
      <w:tr>
        <w:tc>
          <w:tcPr>
            <w:tcW w:w="2508" w:type="dxa"/>
            <w:vMerge w:val="restart"/>
          </w:tcPr>
          <w:p>
            <w:pPr>
              <w:rPr>
                <w:noProof/>
              </w:rPr>
            </w:pPr>
            <w:r>
              <w:rPr>
                <w:noProof/>
              </w:rPr>
              <w:t>Processing time</w:t>
            </w:r>
          </w:p>
        </w:tc>
        <w:tc>
          <w:tcPr>
            <w:tcW w:w="2760" w:type="dxa"/>
          </w:tcPr>
          <w:p>
            <w:pPr>
              <w:rPr>
                <w:noProof/>
              </w:rPr>
            </w:pPr>
            <w:r>
              <w:rPr>
                <w:noProof/>
              </w:rPr>
              <w:t>Maximum standard processing time reduced from 15 to 10 days</w:t>
            </w:r>
          </w:p>
        </w:tc>
        <w:tc>
          <w:tcPr>
            <w:tcW w:w="4020" w:type="dxa"/>
            <w:vMerge w:val="restart"/>
          </w:tcPr>
          <w:p>
            <w:pPr>
              <w:rPr>
                <w:noProof/>
              </w:rPr>
            </w:pPr>
            <w:r>
              <w:rPr>
                <w:noProof/>
              </w:rPr>
              <w:t xml:space="preserve">The shortening of decision-making deadlines will reduce the overall time for applying for a visa, which is one of the main difficulties raised by respondents in the open public consultation. </w:t>
            </w:r>
          </w:p>
        </w:tc>
      </w:tr>
      <w:tr>
        <w:tc>
          <w:tcPr>
            <w:tcW w:w="2508" w:type="dxa"/>
            <w:vMerge/>
          </w:tcPr>
          <w:p>
            <w:pPr>
              <w:rPr>
                <w:noProof/>
              </w:rPr>
            </w:pPr>
          </w:p>
        </w:tc>
        <w:tc>
          <w:tcPr>
            <w:tcW w:w="2760" w:type="dxa"/>
          </w:tcPr>
          <w:p>
            <w:pPr>
              <w:rPr>
                <w:noProof/>
              </w:rPr>
            </w:pPr>
            <w:r>
              <w:rPr>
                <w:noProof/>
              </w:rPr>
              <w:t>Maximum processing time for exceptional cases reduced from 60 to 45 days</w:t>
            </w:r>
          </w:p>
        </w:tc>
        <w:tc>
          <w:tcPr>
            <w:tcW w:w="4020" w:type="dxa"/>
            <w:vMerge/>
          </w:tcPr>
          <w:p>
            <w:pPr>
              <w:rPr>
                <w:noProof/>
              </w:rPr>
            </w:pPr>
          </w:p>
        </w:tc>
      </w:tr>
      <w:tr>
        <w:tc>
          <w:tcPr>
            <w:tcW w:w="2508" w:type="dxa"/>
          </w:tcPr>
          <w:p>
            <w:pPr>
              <w:rPr>
                <w:noProof/>
              </w:rPr>
            </w:pPr>
            <w:r>
              <w:rPr>
                <w:noProof/>
              </w:rPr>
              <w:t>Visas applied for at the border</w:t>
            </w:r>
          </w:p>
        </w:tc>
        <w:tc>
          <w:tcPr>
            <w:tcW w:w="2760" w:type="dxa"/>
          </w:tcPr>
          <w:p>
            <w:pPr>
              <w:rPr>
                <w:noProof/>
              </w:rPr>
            </w:pPr>
            <w:r>
              <w:rPr>
                <w:noProof/>
              </w:rPr>
              <w:t xml:space="preserve">Member States will have the possibility of allowing applications at land and sea borders during a limited periods and under specific conditions </w:t>
            </w:r>
          </w:p>
        </w:tc>
        <w:tc>
          <w:tcPr>
            <w:tcW w:w="4020" w:type="dxa"/>
          </w:tcPr>
          <w:p>
            <w:pPr>
              <w:rPr>
                <w:noProof/>
              </w:rPr>
            </w:pPr>
            <w:r>
              <w:rPr>
                <w:noProof/>
              </w:rPr>
              <w:t xml:space="preserve">Where Member States make use of this possibility, this will promote short-term tourism at short notice, most likely in the summer period. This will reduce costs and hassle for such tourists. </w:t>
            </w:r>
          </w:p>
        </w:tc>
      </w:tr>
      <w:tr>
        <w:trPr>
          <w:trHeight w:val="233"/>
        </w:trPr>
        <w:tc>
          <w:tcPr>
            <w:tcW w:w="2508" w:type="dxa"/>
          </w:tcPr>
          <w:p>
            <w:pPr>
              <w:rPr>
                <w:noProof/>
              </w:rPr>
            </w:pPr>
            <w:r>
              <w:rPr>
                <w:noProof/>
              </w:rPr>
              <w:t xml:space="preserve">Practical arrangements for lodging an application </w:t>
            </w:r>
          </w:p>
        </w:tc>
        <w:tc>
          <w:tcPr>
            <w:tcW w:w="2760" w:type="dxa"/>
          </w:tcPr>
          <w:p>
            <w:pPr>
              <w:rPr>
                <w:noProof/>
              </w:rPr>
            </w:pPr>
            <w:r>
              <w:rPr>
                <w:noProof/>
              </w:rPr>
              <w:t>Rules on who may lodge an application on behalf of the applicant have been clarified</w:t>
            </w:r>
          </w:p>
        </w:tc>
        <w:tc>
          <w:tcPr>
            <w:tcW w:w="4020" w:type="dxa"/>
          </w:tcPr>
          <w:p>
            <w:pPr>
              <w:rPr>
                <w:noProof/>
              </w:rPr>
            </w:pPr>
            <w:r>
              <w:rPr>
                <w:noProof/>
              </w:rPr>
              <w:t>Persons whose biometric data are already stored in the VIS will not have to go to the consulate or the external service provider to lodge their application, which will save them time and money.</w:t>
            </w:r>
          </w:p>
        </w:tc>
      </w:tr>
      <w:tr>
        <w:tc>
          <w:tcPr>
            <w:tcW w:w="2508" w:type="dxa"/>
          </w:tcPr>
          <w:p>
            <w:pPr>
              <w:rPr>
                <w:noProof/>
              </w:rPr>
            </w:pPr>
            <w:r>
              <w:rPr>
                <w:noProof/>
              </w:rPr>
              <w:t>Interviews of applicants</w:t>
            </w:r>
          </w:p>
        </w:tc>
        <w:tc>
          <w:tcPr>
            <w:tcW w:w="2760" w:type="dxa"/>
          </w:tcPr>
          <w:p>
            <w:pPr>
              <w:rPr>
                <w:noProof/>
              </w:rPr>
            </w:pPr>
            <w:r>
              <w:rPr>
                <w:noProof/>
              </w:rPr>
              <w:t>Clarification to allow for the use of modern means of communication (phone, Skype) to conduct interviews during the examination, where necessary.</w:t>
            </w:r>
          </w:p>
        </w:tc>
        <w:tc>
          <w:tcPr>
            <w:tcW w:w="4020" w:type="dxa"/>
          </w:tcPr>
          <w:p>
            <w:pPr>
              <w:rPr>
                <w:noProof/>
              </w:rPr>
            </w:pPr>
            <w:r>
              <w:rPr>
                <w:noProof/>
              </w:rPr>
              <w:t xml:space="preserve">This measure, where used by Member States, will avoid that the applicant has to come in person to the consulate (after having lodged the application). This will save applicants time and money. </w:t>
            </w:r>
          </w:p>
        </w:tc>
      </w:tr>
      <w:tr>
        <w:tc>
          <w:tcPr>
            <w:tcW w:w="2508" w:type="dxa"/>
          </w:tcPr>
          <w:p>
            <w:pPr>
              <w:rPr>
                <w:noProof/>
              </w:rPr>
            </w:pPr>
            <w:r>
              <w:rPr>
                <w:noProof/>
              </w:rPr>
              <w:t>Application form</w:t>
            </w:r>
          </w:p>
        </w:tc>
        <w:tc>
          <w:tcPr>
            <w:tcW w:w="2760" w:type="dxa"/>
          </w:tcPr>
          <w:p>
            <w:pPr>
              <w:rPr>
                <w:noProof/>
              </w:rPr>
            </w:pPr>
            <w:r>
              <w:rPr>
                <w:noProof/>
              </w:rPr>
              <w:t>Form will be simplified and reorganised</w:t>
            </w:r>
          </w:p>
        </w:tc>
        <w:tc>
          <w:tcPr>
            <w:tcW w:w="4020" w:type="dxa"/>
          </w:tcPr>
          <w:p>
            <w:pPr>
              <w:rPr>
                <w:noProof/>
              </w:rPr>
            </w:pPr>
            <w:r>
              <w:rPr>
                <w:noProof/>
              </w:rPr>
              <w:t>This will make the form more user-friendly.</w:t>
            </w:r>
          </w:p>
        </w:tc>
      </w:tr>
      <w:tr>
        <w:tc>
          <w:tcPr>
            <w:tcW w:w="2508" w:type="dxa"/>
          </w:tcPr>
          <w:p>
            <w:pPr>
              <w:rPr>
                <w:noProof/>
              </w:rPr>
            </w:pPr>
            <w:r>
              <w:rPr>
                <w:noProof/>
              </w:rPr>
              <w:t>Refusal from</w:t>
            </w:r>
          </w:p>
        </w:tc>
        <w:tc>
          <w:tcPr>
            <w:tcW w:w="2760" w:type="dxa"/>
          </w:tcPr>
          <w:p>
            <w:pPr>
              <w:rPr>
                <w:noProof/>
              </w:rPr>
            </w:pPr>
            <w:r>
              <w:rPr>
                <w:noProof/>
              </w:rPr>
              <w:t>Entries have been added to ensure that the refused person is given detailed information on the appeal procedures</w:t>
            </w:r>
          </w:p>
        </w:tc>
        <w:tc>
          <w:tcPr>
            <w:tcW w:w="4020" w:type="dxa"/>
          </w:tcPr>
          <w:p>
            <w:pPr>
              <w:rPr>
                <w:noProof/>
              </w:rPr>
            </w:pPr>
            <w:r>
              <w:rPr>
                <w:noProof/>
              </w:rPr>
              <w:t>This will give the person concerned precise information on the deadline and procedures to respect when appealing a negative decision</w:t>
            </w:r>
          </w:p>
        </w:tc>
      </w:tr>
    </w:tbl>
    <w:p>
      <w:pPr>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Clarification and streamlining </w:t>
      </w:r>
    </w:p>
    <w:tbl>
      <w:tblPr>
        <w:tblStyle w:val="TableGrid"/>
        <w:tblW w:w="0" w:type="auto"/>
        <w:tblLook w:val="04A0" w:firstRow="1" w:lastRow="0" w:firstColumn="1" w:lastColumn="0" w:noHBand="0" w:noVBand="1"/>
      </w:tblPr>
      <w:tblGrid>
        <w:gridCol w:w="2268"/>
        <w:gridCol w:w="2808"/>
        <w:gridCol w:w="3758"/>
      </w:tblGrid>
      <w:tr>
        <w:tc>
          <w:tcPr>
            <w:tcW w:w="2268" w:type="dxa"/>
          </w:tcPr>
          <w:p>
            <w:pPr>
              <w:rPr>
                <w:b/>
                <w:noProof/>
              </w:rPr>
            </w:pPr>
            <w:r>
              <w:rPr>
                <w:b/>
                <w:noProof/>
              </w:rPr>
              <w:t>Provision</w:t>
            </w:r>
          </w:p>
        </w:tc>
        <w:tc>
          <w:tcPr>
            <w:tcW w:w="2808" w:type="dxa"/>
          </w:tcPr>
          <w:p>
            <w:pPr>
              <w:rPr>
                <w:b/>
                <w:noProof/>
              </w:rPr>
            </w:pPr>
            <w:r>
              <w:rPr>
                <w:b/>
                <w:noProof/>
              </w:rPr>
              <w:t>Change</w:t>
            </w:r>
          </w:p>
        </w:tc>
        <w:tc>
          <w:tcPr>
            <w:tcW w:w="3758" w:type="dxa"/>
          </w:tcPr>
          <w:p>
            <w:pPr>
              <w:rPr>
                <w:b/>
                <w:noProof/>
              </w:rPr>
            </w:pPr>
            <w:r>
              <w:rPr>
                <w:b/>
                <w:noProof/>
              </w:rPr>
              <w:t>Expected impacts</w:t>
            </w:r>
          </w:p>
        </w:tc>
      </w:tr>
      <w:tr>
        <w:trPr>
          <w:trHeight w:val="949"/>
        </w:trPr>
        <w:tc>
          <w:tcPr>
            <w:tcW w:w="2268" w:type="dxa"/>
          </w:tcPr>
          <w:p>
            <w:pPr>
              <w:rPr>
                <w:noProof/>
              </w:rPr>
            </w:pPr>
            <w:r>
              <w:rPr>
                <w:noProof/>
              </w:rPr>
              <w:t>Definition of 'seafarers'</w:t>
            </w:r>
          </w:p>
        </w:tc>
        <w:tc>
          <w:tcPr>
            <w:tcW w:w="2808" w:type="dxa"/>
          </w:tcPr>
          <w:p>
            <w:pPr>
              <w:rPr>
                <w:noProof/>
              </w:rPr>
            </w:pPr>
            <w:r>
              <w:rPr>
                <w:noProof/>
              </w:rPr>
              <w:t>Clarification to ensure that all staff working on ships benefit from the various procedural facilitations.</w:t>
            </w:r>
          </w:p>
        </w:tc>
        <w:tc>
          <w:tcPr>
            <w:tcW w:w="3758" w:type="dxa"/>
          </w:tcPr>
          <w:p>
            <w:pPr>
              <w:rPr>
                <w:noProof/>
              </w:rPr>
            </w:pPr>
            <w:r>
              <w:rPr>
                <w:noProof/>
              </w:rPr>
              <w:t>This clarification will ensure equal treatment of all categories of staff working on ships and allow for the smooth rotation of staff in the the shipping industry.</w:t>
            </w:r>
          </w:p>
        </w:tc>
      </w:tr>
      <w:tr>
        <w:trPr>
          <w:trHeight w:val="1177"/>
        </w:trPr>
        <w:tc>
          <w:tcPr>
            <w:tcW w:w="2268" w:type="dxa"/>
          </w:tcPr>
          <w:p>
            <w:pPr>
              <w:rPr>
                <w:noProof/>
              </w:rPr>
            </w:pPr>
            <w:r>
              <w:rPr>
                <w:noProof/>
              </w:rPr>
              <w:t>Airport transit visa (ATV) requirements</w:t>
            </w:r>
          </w:p>
        </w:tc>
        <w:tc>
          <w:tcPr>
            <w:tcW w:w="2808" w:type="dxa"/>
          </w:tcPr>
          <w:p>
            <w:pPr>
              <w:rPr>
                <w:noProof/>
              </w:rPr>
            </w:pPr>
            <w:r>
              <w:rPr>
                <w:noProof/>
              </w:rPr>
              <w:t>Clarification of the rules regarding the exemption from the ATV requirement to persons holding certain residence and entry permits</w:t>
            </w:r>
          </w:p>
        </w:tc>
        <w:tc>
          <w:tcPr>
            <w:tcW w:w="3758" w:type="dxa"/>
          </w:tcPr>
          <w:p>
            <w:pPr>
              <w:rPr>
                <w:noProof/>
              </w:rPr>
            </w:pPr>
            <w:r>
              <w:rPr>
                <w:noProof/>
              </w:rPr>
              <w:t>This clarification will facilitate travel and airline boarding and controls at borders, for the persons concerned, airline ground staff and border guards.</w:t>
            </w:r>
          </w:p>
        </w:tc>
      </w:tr>
      <w:tr>
        <w:trPr>
          <w:trHeight w:val="1620"/>
        </w:trPr>
        <w:tc>
          <w:tcPr>
            <w:tcW w:w="2268" w:type="dxa"/>
          </w:tcPr>
          <w:p>
            <w:pPr>
              <w:rPr>
                <w:noProof/>
              </w:rPr>
            </w:pPr>
            <w:r>
              <w:rPr>
                <w:noProof/>
              </w:rPr>
              <w:t>Member States' competence for examining and deciding on applications</w:t>
            </w:r>
          </w:p>
        </w:tc>
        <w:tc>
          <w:tcPr>
            <w:tcW w:w="2808" w:type="dxa"/>
          </w:tcPr>
          <w:p>
            <w:pPr>
              <w:rPr>
                <w:noProof/>
              </w:rPr>
            </w:pPr>
            <w:r>
              <w:rPr>
                <w:noProof/>
              </w:rPr>
              <w:t xml:space="preserve">In case of one trip visiting several Member States or of several separate trips within a short time frame, the length of the intended stay will determine the main destination and thus which Member State is competent. </w:t>
            </w:r>
          </w:p>
        </w:tc>
        <w:tc>
          <w:tcPr>
            <w:tcW w:w="3758" w:type="dxa"/>
          </w:tcPr>
          <w:p>
            <w:pPr>
              <w:rPr>
                <w:noProof/>
              </w:rPr>
            </w:pPr>
            <w:r>
              <w:rPr>
                <w:noProof/>
              </w:rPr>
              <w:t>Clarification. Applicants will know better where to lodge the application. Member States will know who is competent. Currently the criterion of 'main' purpose of a trip is less precise and interpreted differently by Member States.</w:t>
            </w:r>
          </w:p>
        </w:tc>
      </w:tr>
      <w:tr>
        <w:trPr>
          <w:trHeight w:val="233"/>
        </w:trPr>
        <w:tc>
          <w:tcPr>
            <w:tcW w:w="2268" w:type="dxa"/>
            <w:vMerge w:val="restart"/>
          </w:tcPr>
          <w:p>
            <w:pPr>
              <w:rPr>
                <w:noProof/>
              </w:rPr>
            </w:pPr>
            <w:r>
              <w:rPr>
                <w:noProof/>
              </w:rPr>
              <w:t>Prior consultation</w:t>
            </w:r>
          </w:p>
        </w:tc>
        <w:tc>
          <w:tcPr>
            <w:tcW w:w="2808" w:type="dxa"/>
          </w:tcPr>
          <w:p>
            <w:pPr>
              <w:rPr>
                <w:noProof/>
              </w:rPr>
            </w:pPr>
            <w:r>
              <w:rPr>
                <w:noProof/>
              </w:rPr>
              <w:t>Member States are required to reply as soon as possible to consultation requests</w:t>
            </w:r>
          </w:p>
        </w:tc>
        <w:tc>
          <w:tcPr>
            <w:tcW w:w="3758" w:type="dxa"/>
          </w:tcPr>
          <w:p>
            <w:pPr>
              <w:rPr>
                <w:noProof/>
              </w:rPr>
            </w:pPr>
            <w:r>
              <w:rPr>
                <w:noProof/>
              </w:rPr>
              <w:t>This will contribute to shortening processing time and is in the interest of both applicants and the case-handling Member State.</w:t>
            </w:r>
          </w:p>
        </w:tc>
      </w:tr>
      <w:tr>
        <w:trPr>
          <w:trHeight w:val="232"/>
        </w:trPr>
        <w:tc>
          <w:tcPr>
            <w:tcW w:w="2268" w:type="dxa"/>
            <w:vMerge/>
          </w:tcPr>
          <w:p>
            <w:pPr>
              <w:rPr>
                <w:noProof/>
              </w:rPr>
            </w:pPr>
          </w:p>
        </w:tc>
        <w:tc>
          <w:tcPr>
            <w:tcW w:w="2808" w:type="dxa"/>
          </w:tcPr>
          <w:p>
            <w:pPr>
              <w:rPr>
                <w:noProof/>
              </w:rPr>
            </w:pPr>
            <w:r>
              <w:rPr>
                <w:noProof/>
              </w:rPr>
              <w:t xml:space="preserve">Deadlines for timely notification to the Commission on introduction/withdrawal of prior consultation </w:t>
            </w:r>
          </w:p>
        </w:tc>
        <w:tc>
          <w:tcPr>
            <w:tcW w:w="3758" w:type="dxa"/>
          </w:tcPr>
          <w:p>
            <w:pPr>
              <w:rPr>
                <w:noProof/>
              </w:rPr>
            </w:pPr>
            <w:r>
              <w:rPr>
                <w:noProof/>
              </w:rPr>
              <w:t xml:space="preserve">The Commission will be able to ensure timely information to other Member States and allow Member States to prepare at technical level and to inform the public.  </w:t>
            </w:r>
          </w:p>
        </w:tc>
      </w:tr>
      <w:tr>
        <w:tc>
          <w:tcPr>
            <w:tcW w:w="2268" w:type="dxa"/>
          </w:tcPr>
          <w:p>
            <w:pPr>
              <w:rPr>
                <w:noProof/>
              </w:rPr>
            </w:pPr>
            <w:r>
              <w:rPr>
                <w:noProof/>
              </w:rPr>
              <w:t xml:space="preserve">Verification of compliance with the 90/180-days rule </w:t>
            </w:r>
          </w:p>
        </w:tc>
        <w:tc>
          <w:tcPr>
            <w:tcW w:w="2808" w:type="dxa"/>
          </w:tcPr>
          <w:p>
            <w:pPr>
              <w:rPr>
                <w:noProof/>
              </w:rPr>
            </w:pPr>
            <w:r>
              <w:rPr>
                <w:noProof/>
              </w:rPr>
              <w:t>Clarification that earlier stays on the basis of a national long stay visa or a residence permit are not to be counted when verifying compliance with the 90/180-days rule.</w:t>
            </w:r>
          </w:p>
        </w:tc>
        <w:tc>
          <w:tcPr>
            <w:tcW w:w="3758" w:type="dxa"/>
          </w:tcPr>
          <w:p>
            <w:pPr>
              <w:rPr>
                <w:noProof/>
              </w:rPr>
            </w:pPr>
            <w:r>
              <w:rPr>
                <w:noProof/>
              </w:rPr>
              <w:t>Clarification for both Member States and applicants.</w:t>
            </w:r>
          </w:p>
        </w:tc>
      </w:tr>
      <w:tr>
        <w:tc>
          <w:tcPr>
            <w:tcW w:w="2268" w:type="dxa"/>
          </w:tcPr>
          <w:p>
            <w:pPr>
              <w:rPr>
                <w:noProof/>
              </w:rPr>
            </w:pPr>
            <w:r>
              <w:rPr>
                <w:noProof/>
              </w:rPr>
              <w:t>Cooperation with external service providers (ESP)</w:t>
            </w:r>
          </w:p>
        </w:tc>
        <w:tc>
          <w:tcPr>
            <w:tcW w:w="2808" w:type="dxa"/>
          </w:tcPr>
          <w:p>
            <w:pPr>
              <w:rPr>
                <w:noProof/>
              </w:rPr>
            </w:pPr>
            <w:r>
              <w:rPr>
                <w:noProof/>
              </w:rPr>
              <w:t>Strengthening of rules regarding Member States' monitoring of ESP to ensure systematic and regular inspections and reporting.</w:t>
            </w:r>
          </w:p>
        </w:tc>
        <w:tc>
          <w:tcPr>
            <w:tcW w:w="3758" w:type="dxa"/>
          </w:tcPr>
          <w:p>
            <w:pPr>
              <w:rPr>
                <w:noProof/>
              </w:rPr>
            </w:pPr>
            <w:r>
              <w:rPr>
                <w:noProof/>
              </w:rPr>
              <w:t>Improved monitoring of ESP activities, especially as regards data protection.</w:t>
            </w:r>
          </w:p>
        </w:tc>
      </w:tr>
      <w:tr>
        <w:tc>
          <w:tcPr>
            <w:tcW w:w="2268" w:type="dxa"/>
            <w:vMerge w:val="restart"/>
          </w:tcPr>
          <w:p>
            <w:pPr>
              <w:rPr>
                <w:noProof/>
              </w:rPr>
            </w:pPr>
            <w:r>
              <w:rPr>
                <w:noProof/>
              </w:rPr>
              <w:t>Representation arrangements</w:t>
            </w:r>
          </w:p>
        </w:tc>
        <w:tc>
          <w:tcPr>
            <w:tcW w:w="2808" w:type="dxa"/>
          </w:tcPr>
          <w:p>
            <w:pPr>
              <w:rPr>
                <w:noProof/>
              </w:rPr>
            </w:pPr>
            <w:r>
              <w:rPr>
                <w:noProof/>
              </w:rPr>
              <w:t>The represented Member State will not be able to require to be consulted during the examination procedure.</w:t>
            </w:r>
          </w:p>
        </w:tc>
        <w:tc>
          <w:tcPr>
            <w:tcW w:w="3758" w:type="dxa"/>
          </w:tcPr>
          <w:p>
            <w:pPr>
              <w:rPr>
                <w:noProof/>
              </w:rPr>
            </w:pPr>
            <w:r>
              <w:rPr>
                <w:noProof/>
              </w:rPr>
              <w:t>This will simplify the conclusion of representation arrangements and contribute to shortening the processing time</w:t>
            </w:r>
          </w:p>
        </w:tc>
      </w:tr>
      <w:tr>
        <w:tc>
          <w:tcPr>
            <w:tcW w:w="2268" w:type="dxa"/>
            <w:vMerge/>
          </w:tcPr>
          <w:p>
            <w:pPr>
              <w:rPr>
                <w:noProof/>
              </w:rPr>
            </w:pPr>
          </w:p>
        </w:tc>
        <w:tc>
          <w:tcPr>
            <w:tcW w:w="2808" w:type="dxa"/>
          </w:tcPr>
          <w:p>
            <w:pPr>
              <w:rPr>
                <w:noProof/>
              </w:rPr>
            </w:pPr>
            <w:r>
              <w:rPr>
                <w:noProof/>
              </w:rPr>
              <w:t>Deadlines for timely information by Member States on representation arrangements</w:t>
            </w:r>
          </w:p>
        </w:tc>
        <w:tc>
          <w:tcPr>
            <w:tcW w:w="3758" w:type="dxa"/>
          </w:tcPr>
          <w:p>
            <w:pPr>
              <w:rPr>
                <w:noProof/>
              </w:rPr>
            </w:pPr>
            <w:r>
              <w:rPr>
                <w:noProof/>
              </w:rPr>
              <w:t>More transparency about representation.</w:t>
            </w:r>
          </w:p>
        </w:tc>
      </w:tr>
      <w:tr>
        <w:tc>
          <w:tcPr>
            <w:tcW w:w="2268" w:type="dxa"/>
          </w:tcPr>
          <w:p>
            <w:pPr>
              <w:rPr>
                <w:noProof/>
              </w:rPr>
            </w:pPr>
            <w:r>
              <w:rPr>
                <w:noProof/>
              </w:rPr>
              <w:t>Cooperation between Member States</w:t>
            </w:r>
          </w:p>
        </w:tc>
        <w:tc>
          <w:tcPr>
            <w:tcW w:w="2808" w:type="dxa"/>
          </w:tcPr>
          <w:p>
            <w:pPr>
              <w:rPr>
                <w:noProof/>
              </w:rPr>
            </w:pPr>
            <w:r>
              <w:rPr>
                <w:noProof/>
              </w:rPr>
              <w:t>More flexible rules to allow Member States to increase their consular coverage and develop cooperation with other MS.</w:t>
            </w:r>
          </w:p>
        </w:tc>
        <w:tc>
          <w:tcPr>
            <w:tcW w:w="3758" w:type="dxa"/>
          </w:tcPr>
          <w:p>
            <w:pPr>
              <w:rPr>
                <w:noProof/>
              </w:rPr>
            </w:pPr>
            <w:r>
              <w:rPr>
                <w:noProof/>
              </w:rPr>
              <w:t>Enhanced consular coverage/presence and optimised use of Member States' resources.</w:t>
            </w:r>
          </w:p>
        </w:tc>
      </w:tr>
      <w:tr>
        <w:tc>
          <w:tcPr>
            <w:tcW w:w="2268" w:type="dxa"/>
          </w:tcPr>
          <w:p>
            <w:pPr>
              <w:rPr>
                <w:noProof/>
              </w:rPr>
            </w:pPr>
            <w:r>
              <w:rPr>
                <w:noProof/>
              </w:rPr>
              <w:t>Local Schengen cooperation</w:t>
            </w:r>
          </w:p>
          <w:p>
            <w:pPr>
              <w:rPr>
                <w:noProof/>
              </w:rPr>
            </w:pPr>
            <w:r>
              <w:rPr>
                <w:noProof/>
              </w:rPr>
              <w:t>(LSC)</w:t>
            </w:r>
          </w:p>
        </w:tc>
        <w:tc>
          <w:tcPr>
            <w:tcW w:w="2808" w:type="dxa"/>
          </w:tcPr>
          <w:p>
            <w:pPr>
              <w:rPr>
                <w:noProof/>
              </w:rPr>
            </w:pPr>
            <w:r>
              <w:rPr>
                <w:noProof/>
              </w:rPr>
              <w:t>Strengthening of provisions to ensure that Member States carry out the mandatory tasks regarding harmonisation of practices and that EU Delegations ensure the coordination of LSC.</w:t>
            </w:r>
          </w:p>
        </w:tc>
        <w:tc>
          <w:tcPr>
            <w:tcW w:w="3758" w:type="dxa"/>
          </w:tcPr>
          <w:p>
            <w:pPr>
              <w:rPr>
                <w:noProof/>
              </w:rPr>
            </w:pPr>
            <w:r>
              <w:rPr>
                <w:noProof/>
              </w:rPr>
              <w:t xml:space="preserve">More efficient cooperation between Member States at local level. </w:t>
            </w:r>
          </w:p>
        </w:tc>
      </w:tr>
      <w:tr>
        <w:trPr>
          <w:trHeight w:val="553"/>
        </w:trPr>
        <w:tc>
          <w:tcPr>
            <w:tcW w:w="2268" w:type="dxa"/>
          </w:tcPr>
          <w:p>
            <w:pPr>
              <w:rPr>
                <w:noProof/>
              </w:rPr>
            </w:pPr>
            <w:r>
              <w:rPr>
                <w:noProof/>
              </w:rPr>
              <w:t>Operational annexes</w:t>
            </w:r>
          </w:p>
        </w:tc>
        <w:tc>
          <w:tcPr>
            <w:tcW w:w="2808" w:type="dxa"/>
          </w:tcPr>
          <w:p>
            <w:pPr>
              <w:rPr>
                <w:noProof/>
              </w:rPr>
            </w:pPr>
            <w:r>
              <w:rPr>
                <w:noProof/>
              </w:rPr>
              <w:t>Deletion of annexes on filling in and affixing the visa sticker</w:t>
            </w:r>
          </w:p>
        </w:tc>
        <w:tc>
          <w:tcPr>
            <w:tcW w:w="3758" w:type="dxa"/>
          </w:tcPr>
          <w:p>
            <w:pPr>
              <w:rPr>
                <w:noProof/>
              </w:rPr>
            </w:pPr>
            <w:r>
              <w:rPr>
                <w:noProof/>
              </w:rPr>
              <w:t>Simplification. Deletion of obsolete rules. Clarification in new operational instructions.</w:t>
            </w:r>
          </w:p>
        </w:tc>
      </w:tr>
    </w:tbl>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AnnexTitle"/>
        <w:rPr>
          <w:noProof/>
        </w:rPr>
      </w:pPr>
      <w:bookmarkStart w:id="98" w:name="_Toc507148527"/>
      <w:r>
        <w:rPr>
          <w:noProof/>
        </w:rPr>
        <w:t>Annex 8: Sensitivity analysis of MCA</w:t>
      </w:r>
      <w:bookmarkEnd w:id="98"/>
      <w:r>
        <w:rPr>
          <w:noProof/>
        </w:rPr>
        <w:t xml:space="preserve"> </w:t>
      </w:r>
    </w:p>
    <w:p>
      <w:pPr>
        <w:keepNext/>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This annex contains a sensitivity analysis of the qualitative assessment of policy options using the multi-criteria analysis (MCA) approach. It compares the aggregate impact score of the various options under the original weighting of impact criteria (as elaborated in section 6.2) with the impact score that options would obtain if equal weighting were given to all specific impact criteria. The purpose is to assess the sensitivity of the MCA to such changes. The assessment of options against general principles (i.e. effectiveness, proportionality, feasibility and coherence) is not affected by different weighting of impact criteria and is therefore not taken into account in this annex.</w:t>
      </w:r>
    </w:p>
    <w:p>
      <w:pPr>
        <w:pStyle w:val="Heading1"/>
        <w:numPr>
          <w:ilvl w:val="0"/>
          <w:numId w:val="40"/>
        </w:numPr>
        <w:rPr>
          <w:noProof/>
          <w:lang w:eastAsia="en-GB"/>
        </w:rPr>
      </w:pPr>
      <w:bookmarkStart w:id="99" w:name="_Toc507148528"/>
      <w:r>
        <w:rPr>
          <w:noProof/>
          <w:lang w:eastAsia="en-GB"/>
        </w:rPr>
        <w:t>Insufficient financial resources</w:t>
      </w:r>
      <w:bookmarkEnd w:id="99"/>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tables show the original weighting used for the assessment in section 6.2.1 and the alternative equal weighting. After assigning the same weighting to all impact criteria for the visa fee policy options, the overall impact score does not change significantly and the </w:t>
      </w:r>
      <w:r>
        <w:rPr>
          <w:rFonts w:ascii="Times New Roman" w:hAnsi="Times New Roman" w:cs="Times New Roman"/>
          <w:b/>
          <w:noProof/>
          <w:sz w:val="24"/>
          <w:szCs w:val="24"/>
        </w:rPr>
        <w:t>ranking order remains the same</w:t>
      </w:r>
      <w:r>
        <w:rPr>
          <w:rFonts w:ascii="Times New Roman" w:hAnsi="Times New Roman" w:cs="Times New Roman"/>
          <w:noProof/>
          <w:sz w:val="24"/>
          <w:szCs w:val="24"/>
        </w:rPr>
        <w:t>. The option 1C3 (fee of 120 EUR) records the highest score, followed by the option 1C2 (100 EUR). Options 1C1 (80 EUR) and 1C4 (80 EUR for MEV/SEV up to 6 months, 120 EUR for 1-5 years MEV) still largely record the same impact score.</w:t>
      </w:r>
    </w:p>
    <w:tbl>
      <w:tblPr>
        <w:tblStyle w:val="TableGrid"/>
        <w:tblW w:w="8748" w:type="dxa"/>
        <w:tblLayout w:type="fixed"/>
        <w:tblLook w:val="04A0" w:firstRow="1" w:lastRow="0" w:firstColumn="1" w:lastColumn="0" w:noHBand="0" w:noVBand="1"/>
      </w:tblPr>
      <w:tblGrid>
        <w:gridCol w:w="2868"/>
        <w:gridCol w:w="1080"/>
        <w:gridCol w:w="840"/>
        <w:gridCol w:w="720"/>
        <w:gridCol w:w="840"/>
        <w:gridCol w:w="840"/>
        <w:gridCol w:w="720"/>
        <w:gridCol w:w="840"/>
      </w:tblGrid>
      <w:tr>
        <w:trPr>
          <w:trHeight w:val="144"/>
        </w:trPr>
        <w:tc>
          <w:tcPr>
            <w:tcW w:w="2868" w:type="dxa"/>
            <w:vMerge w:val="restart"/>
          </w:tcPr>
          <w:p>
            <w:pPr>
              <w:jc w:val="center"/>
              <w:rPr>
                <w:b/>
                <w:noProof/>
                <w:sz w:val="24"/>
                <w:szCs w:val="24"/>
              </w:rPr>
            </w:pPr>
            <w:r>
              <w:rPr>
                <w:b/>
                <w:noProof/>
                <w:sz w:val="24"/>
                <w:szCs w:val="24"/>
              </w:rPr>
              <w:t>Impact criteria</w:t>
            </w:r>
          </w:p>
        </w:tc>
        <w:tc>
          <w:tcPr>
            <w:tcW w:w="1080" w:type="dxa"/>
            <w:vMerge w:val="restart"/>
          </w:tcPr>
          <w:p>
            <w:pPr>
              <w:jc w:val="center"/>
              <w:rPr>
                <w:b/>
                <w:noProof/>
                <w:sz w:val="24"/>
                <w:szCs w:val="24"/>
              </w:rPr>
            </w:pPr>
            <w:r>
              <w:rPr>
                <w:b/>
                <w:noProof/>
                <w:sz w:val="24"/>
                <w:szCs w:val="24"/>
              </w:rPr>
              <w:t>Weight</w:t>
            </w:r>
          </w:p>
        </w:tc>
        <w:tc>
          <w:tcPr>
            <w:tcW w:w="4800" w:type="dxa"/>
            <w:gridSpan w:val="6"/>
          </w:tcPr>
          <w:p>
            <w:pPr>
              <w:jc w:val="center"/>
              <w:rPr>
                <w:b/>
                <w:noProof/>
                <w:sz w:val="24"/>
                <w:szCs w:val="24"/>
              </w:rPr>
            </w:pPr>
            <w:r>
              <w:rPr>
                <w:b/>
                <w:noProof/>
                <w:sz w:val="24"/>
                <w:szCs w:val="24"/>
              </w:rPr>
              <w:t>Options</w:t>
            </w:r>
          </w:p>
        </w:tc>
      </w:tr>
      <w:tr>
        <w:trPr>
          <w:trHeight w:val="144"/>
        </w:trPr>
        <w:tc>
          <w:tcPr>
            <w:tcW w:w="2868" w:type="dxa"/>
            <w:vMerge/>
          </w:tcPr>
          <w:p>
            <w:pPr>
              <w:jc w:val="center"/>
              <w:rPr>
                <w:b/>
                <w:noProof/>
                <w:sz w:val="24"/>
                <w:szCs w:val="24"/>
              </w:rPr>
            </w:pPr>
          </w:p>
        </w:tc>
        <w:tc>
          <w:tcPr>
            <w:tcW w:w="1080" w:type="dxa"/>
            <w:vMerge/>
          </w:tcPr>
          <w:p>
            <w:pPr>
              <w:jc w:val="center"/>
              <w:rPr>
                <w:b/>
                <w:i/>
                <w:noProof/>
                <w:sz w:val="24"/>
                <w:szCs w:val="24"/>
              </w:rPr>
            </w:pPr>
          </w:p>
        </w:tc>
        <w:tc>
          <w:tcPr>
            <w:tcW w:w="840" w:type="dxa"/>
          </w:tcPr>
          <w:p>
            <w:pPr>
              <w:jc w:val="center"/>
              <w:rPr>
                <w:b/>
                <w:noProof/>
                <w:sz w:val="24"/>
                <w:szCs w:val="24"/>
              </w:rPr>
            </w:pPr>
            <w:r>
              <w:rPr>
                <w:b/>
                <w:noProof/>
                <w:sz w:val="24"/>
                <w:szCs w:val="24"/>
              </w:rPr>
              <w:t>1A</w:t>
            </w:r>
          </w:p>
        </w:tc>
        <w:tc>
          <w:tcPr>
            <w:tcW w:w="720" w:type="dxa"/>
          </w:tcPr>
          <w:p>
            <w:pPr>
              <w:jc w:val="center"/>
              <w:rPr>
                <w:b/>
                <w:noProof/>
                <w:sz w:val="24"/>
                <w:szCs w:val="24"/>
              </w:rPr>
            </w:pPr>
            <w:r>
              <w:rPr>
                <w:b/>
                <w:noProof/>
                <w:sz w:val="24"/>
                <w:szCs w:val="24"/>
              </w:rPr>
              <w:t>1B</w:t>
            </w:r>
          </w:p>
        </w:tc>
        <w:tc>
          <w:tcPr>
            <w:tcW w:w="840" w:type="dxa"/>
          </w:tcPr>
          <w:p>
            <w:pPr>
              <w:jc w:val="center"/>
              <w:rPr>
                <w:b/>
                <w:noProof/>
                <w:sz w:val="24"/>
                <w:szCs w:val="24"/>
              </w:rPr>
            </w:pPr>
            <w:r>
              <w:rPr>
                <w:b/>
                <w:noProof/>
                <w:sz w:val="24"/>
                <w:szCs w:val="24"/>
              </w:rPr>
              <w:t>1C1</w:t>
            </w:r>
          </w:p>
        </w:tc>
        <w:tc>
          <w:tcPr>
            <w:tcW w:w="840" w:type="dxa"/>
          </w:tcPr>
          <w:p>
            <w:pPr>
              <w:jc w:val="center"/>
              <w:rPr>
                <w:b/>
                <w:noProof/>
                <w:sz w:val="24"/>
                <w:szCs w:val="24"/>
              </w:rPr>
            </w:pPr>
            <w:r>
              <w:rPr>
                <w:b/>
                <w:noProof/>
                <w:sz w:val="24"/>
                <w:szCs w:val="24"/>
              </w:rPr>
              <w:t>1C2</w:t>
            </w:r>
          </w:p>
        </w:tc>
        <w:tc>
          <w:tcPr>
            <w:tcW w:w="720" w:type="dxa"/>
          </w:tcPr>
          <w:p>
            <w:pPr>
              <w:jc w:val="center"/>
              <w:rPr>
                <w:b/>
                <w:noProof/>
                <w:sz w:val="24"/>
                <w:szCs w:val="24"/>
              </w:rPr>
            </w:pPr>
            <w:r>
              <w:rPr>
                <w:b/>
                <w:noProof/>
                <w:sz w:val="24"/>
                <w:szCs w:val="24"/>
              </w:rPr>
              <w:t>1C3</w:t>
            </w:r>
          </w:p>
        </w:tc>
        <w:tc>
          <w:tcPr>
            <w:tcW w:w="840" w:type="dxa"/>
          </w:tcPr>
          <w:p>
            <w:pPr>
              <w:jc w:val="center"/>
              <w:rPr>
                <w:b/>
                <w:noProof/>
                <w:sz w:val="24"/>
                <w:szCs w:val="24"/>
              </w:rPr>
            </w:pPr>
            <w:r>
              <w:rPr>
                <w:b/>
                <w:noProof/>
                <w:sz w:val="24"/>
                <w:szCs w:val="24"/>
              </w:rPr>
              <w:t>1C4</w:t>
            </w:r>
          </w:p>
        </w:tc>
      </w:tr>
      <w:tr>
        <w:trPr>
          <w:trHeight w:val="264"/>
        </w:trPr>
        <w:tc>
          <w:tcPr>
            <w:tcW w:w="2868" w:type="dxa"/>
          </w:tcPr>
          <w:p>
            <w:pPr>
              <w:rPr>
                <w:noProof/>
                <w:sz w:val="24"/>
                <w:szCs w:val="24"/>
              </w:rPr>
            </w:pPr>
            <w:r>
              <w:rPr>
                <w:noProof/>
                <w:sz w:val="24"/>
                <w:szCs w:val="24"/>
              </w:rPr>
              <w:t>Financial resources</w:t>
            </w:r>
          </w:p>
        </w:tc>
        <w:tc>
          <w:tcPr>
            <w:tcW w:w="1080" w:type="dxa"/>
            <w:shd w:val="clear" w:color="auto" w:fill="C6D9F1" w:themeFill="text2" w:themeFillTint="33"/>
          </w:tcPr>
          <w:p>
            <w:pPr>
              <w:jc w:val="center"/>
              <w:rPr>
                <w:i/>
                <w:noProof/>
                <w:sz w:val="24"/>
                <w:szCs w:val="24"/>
              </w:rPr>
            </w:pPr>
            <w:r>
              <w:rPr>
                <w:i/>
                <w:noProof/>
                <w:sz w:val="24"/>
                <w:szCs w:val="24"/>
              </w:rPr>
              <w:t>40%</w:t>
            </w:r>
          </w:p>
        </w:tc>
        <w:tc>
          <w:tcPr>
            <w:tcW w:w="840" w:type="dxa"/>
          </w:tcPr>
          <w:p>
            <w:pPr>
              <w:jc w:val="center"/>
              <w:rPr>
                <w:noProof/>
                <w:sz w:val="24"/>
                <w:szCs w:val="24"/>
              </w:rPr>
            </w:pPr>
            <w:r>
              <w:rPr>
                <w:noProof/>
                <w:sz w:val="24"/>
                <w:szCs w:val="24"/>
              </w:rPr>
              <w:t>0</w:t>
            </w:r>
          </w:p>
        </w:tc>
        <w:tc>
          <w:tcPr>
            <w:tcW w:w="72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+2</w:t>
            </w:r>
          </w:p>
        </w:tc>
        <w:tc>
          <w:tcPr>
            <w:tcW w:w="72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+1</w:t>
            </w:r>
          </w:p>
        </w:tc>
      </w:tr>
      <w:tr>
        <w:trPr>
          <w:trHeight w:val="276"/>
        </w:trPr>
        <w:tc>
          <w:tcPr>
            <w:tcW w:w="2868" w:type="dxa"/>
          </w:tcPr>
          <w:p>
            <w:pPr>
              <w:rPr>
                <w:noProof/>
                <w:sz w:val="24"/>
                <w:szCs w:val="24"/>
              </w:rPr>
            </w:pPr>
            <w:r>
              <w:rPr>
                <w:noProof/>
                <w:sz w:val="24"/>
                <w:szCs w:val="24"/>
              </w:rPr>
              <w:t>Integrity / security of Schengen area</w:t>
            </w:r>
          </w:p>
        </w:tc>
        <w:tc>
          <w:tcPr>
            <w:tcW w:w="1080" w:type="dxa"/>
            <w:shd w:val="clear" w:color="auto" w:fill="C6D9F1" w:themeFill="text2" w:themeFillTint="33"/>
          </w:tcPr>
          <w:p>
            <w:pPr>
              <w:jc w:val="center"/>
              <w:rPr>
                <w:i/>
                <w:noProof/>
                <w:sz w:val="24"/>
                <w:szCs w:val="24"/>
              </w:rPr>
            </w:pPr>
            <w:r>
              <w:rPr>
                <w:i/>
                <w:noProof/>
                <w:sz w:val="24"/>
                <w:szCs w:val="24"/>
              </w:rPr>
              <w:t>20%</w:t>
            </w:r>
          </w:p>
        </w:tc>
        <w:tc>
          <w:tcPr>
            <w:tcW w:w="840" w:type="dxa"/>
          </w:tcPr>
          <w:p>
            <w:pPr>
              <w:jc w:val="center"/>
              <w:rPr>
                <w:noProof/>
                <w:sz w:val="24"/>
                <w:szCs w:val="24"/>
              </w:rPr>
            </w:pPr>
            <w:r>
              <w:rPr>
                <w:noProof/>
                <w:sz w:val="24"/>
                <w:szCs w:val="24"/>
              </w:rPr>
              <w:t>0</w:t>
            </w:r>
          </w:p>
        </w:tc>
        <w:tc>
          <w:tcPr>
            <w:tcW w:w="72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+2</w:t>
            </w:r>
          </w:p>
        </w:tc>
        <w:tc>
          <w:tcPr>
            <w:tcW w:w="72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+1</w:t>
            </w:r>
          </w:p>
        </w:tc>
      </w:tr>
      <w:tr>
        <w:trPr>
          <w:trHeight w:val="264"/>
        </w:trPr>
        <w:tc>
          <w:tcPr>
            <w:tcW w:w="2868" w:type="dxa"/>
          </w:tcPr>
          <w:p>
            <w:pPr>
              <w:rPr>
                <w:noProof/>
                <w:sz w:val="24"/>
                <w:szCs w:val="24"/>
              </w:rPr>
            </w:pPr>
            <w:r>
              <w:rPr>
                <w:noProof/>
                <w:sz w:val="24"/>
                <w:szCs w:val="24"/>
              </w:rPr>
              <w:t>Changes in travel behaviour</w:t>
            </w:r>
          </w:p>
        </w:tc>
        <w:tc>
          <w:tcPr>
            <w:tcW w:w="1080" w:type="dxa"/>
            <w:shd w:val="clear" w:color="auto" w:fill="C6D9F1" w:themeFill="text2" w:themeFillTint="33"/>
          </w:tcPr>
          <w:p>
            <w:pPr>
              <w:jc w:val="center"/>
              <w:rPr>
                <w:i/>
                <w:noProof/>
                <w:sz w:val="24"/>
                <w:szCs w:val="24"/>
              </w:rPr>
            </w:pPr>
            <w:r>
              <w:rPr>
                <w:i/>
                <w:noProof/>
                <w:sz w:val="24"/>
                <w:szCs w:val="24"/>
              </w:rPr>
              <w:t>40%</w:t>
            </w:r>
          </w:p>
        </w:tc>
        <w:tc>
          <w:tcPr>
            <w:tcW w:w="840" w:type="dxa"/>
          </w:tcPr>
          <w:p>
            <w:pPr>
              <w:jc w:val="center"/>
              <w:rPr>
                <w:noProof/>
                <w:sz w:val="24"/>
                <w:szCs w:val="24"/>
              </w:rPr>
            </w:pPr>
            <w:r>
              <w:rPr>
                <w:noProof/>
                <w:sz w:val="24"/>
                <w:szCs w:val="24"/>
              </w:rPr>
              <w:t>0</w:t>
            </w:r>
          </w:p>
        </w:tc>
        <w:tc>
          <w:tcPr>
            <w:tcW w:w="72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-1</w:t>
            </w:r>
          </w:p>
        </w:tc>
        <w:tc>
          <w:tcPr>
            <w:tcW w:w="72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0</w:t>
            </w:r>
          </w:p>
        </w:tc>
      </w:tr>
      <w:tr>
        <w:trPr>
          <w:trHeight w:val="288"/>
        </w:trPr>
        <w:tc>
          <w:tcPr>
            <w:tcW w:w="2868" w:type="dxa"/>
          </w:tcPr>
          <w:p>
            <w:pPr>
              <w:rPr>
                <w:b/>
                <w:noProof/>
                <w:sz w:val="24"/>
                <w:szCs w:val="24"/>
              </w:rPr>
            </w:pPr>
            <w:r>
              <w:rPr>
                <w:b/>
                <w:noProof/>
                <w:sz w:val="24"/>
                <w:szCs w:val="24"/>
              </w:rPr>
              <w:t>Aggregate impact score</w:t>
            </w:r>
          </w:p>
        </w:tc>
        <w:tc>
          <w:tcPr>
            <w:tcW w:w="1080" w:type="dxa"/>
          </w:tcPr>
          <w:p>
            <w:pPr>
              <w:jc w:val="center"/>
              <w:rPr>
                <w:b/>
                <w:i/>
                <w:noProof/>
                <w:sz w:val="24"/>
                <w:szCs w:val="24"/>
              </w:rPr>
            </w:pPr>
            <w:r>
              <w:rPr>
                <w:b/>
                <w:i/>
                <w:noProof/>
                <w:sz w:val="24"/>
                <w:szCs w:val="24"/>
              </w:rPr>
              <w:t>100%</w:t>
            </w:r>
          </w:p>
        </w:tc>
        <w:tc>
          <w:tcPr>
            <w:tcW w:w="840" w:type="dxa"/>
            <w:shd w:val="clear" w:color="auto" w:fill="C6D9F1" w:themeFill="text2" w:themeFillTint="33"/>
          </w:tcPr>
          <w:p>
            <w:pPr>
              <w:jc w:val="center"/>
              <w:rPr>
                <w:b/>
                <w:noProof/>
                <w:sz w:val="24"/>
                <w:szCs w:val="24"/>
              </w:rPr>
            </w:pPr>
            <w:r>
              <w:rPr>
                <w:b/>
                <w:noProof/>
                <w:sz w:val="24"/>
                <w:szCs w:val="24"/>
              </w:rPr>
              <w:t>0</w:t>
            </w:r>
          </w:p>
        </w:tc>
        <w:tc>
          <w:tcPr>
            <w:tcW w:w="720" w:type="dxa"/>
            <w:shd w:val="clear" w:color="auto" w:fill="C6D9F1" w:themeFill="text2" w:themeFillTint="33"/>
          </w:tcPr>
          <w:p>
            <w:pPr>
              <w:jc w:val="center"/>
              <w:rPr>
                <w:b/>
                <w:noProof/>
                <w:sz w:val="24"/>
                <w:szCs w:val="24"/>
              </w:rPr>
            </w:pPr>
            <w:r>
              <w:rPr>
                <w:b/>
                <w:noProof/>
                <w:sz w:val="24"/>
                <w:szCs w:val="24"/>
              </w:rPr>
              <w:t>+0.2</w:t>
            </w:r>
          </w:p>
        </w:tc>
        <w:tc>
          <w:tcPr>
            <w:tcW w:w="840" w:type="dxa"/>
            <w:shd w:val="clear" w:color="auto" w:fill="C6D9F1" w:themeFill="text2" w:themeFillTint="33"/>
          </w:tcPr>
          <w:p>
            <w:pPr>
              <w:jc w:val="center"/>
              <w:rPr>
                <w:b/>
                <w:noProof/>
                <w:sz w:val="24"/>
                <w:szCs w:val="24"/>
              </w:rPr>
            </w:pPr>
            <w:r>
              <w:rPr>
                <w:b/>
                <w:noProof/>
                <w:sz w:val="24"/>
                <w:szCs w:val="24"/>
              </w:rPr>
              <w:t>+0.6</w:t>
            </w:r>
          </w:p>
        </w:tc>
        <w:tc>
          <w:tcPr>
            <w:tcW w:w="840" w:type="dxa"/>
            <w:shd w:val="clear" w:color="auto" w:fill="C6D9F1" w:themeFill="text2" w:themeFillTint="33"/>
          </w:tcPr>
          <w:p>
            <w:pPr>
              <w:jc w:val="center"/>
              <w:rPr>
                <w:b/>
                <w:noProof/>
                <w:sz w:val="24"/>
                <w:szCs w:val="24"/>
              </w:rPr>
            </w:pPr>
            <w:r>
              <w:rPr>
                <w:b/>
                <w:noProof/>
                <w:sz w:val="24"/>
                <w:szCs w:val="24"/>
              </w:rPr>
              <w:t>+0.8</w:t>
            </w:r>
          </w:p>
        </w:tc>
        <w:tc>
          <w:tcPr>
            <w:tcW w:w="720" w:type="dxa"/>
            <w:shd w:val="clear" w:color="auto" w:fill="C6D9F1" w:themeFill="text2" w:themeFillTint="33"/>
          </w:tcPr>
          <w:p>
            <w:pPr>
              <w:jc w:val="center"/>
              <w:rPr>
                <w:b/>
                <w:noProof/>
                <w:sz w:val="24"/>
                <w:szCs w:val="24"/>
              </w:rPr>
            </w:pPr>
            <w:r>
              <w:rPr>
                <w:b/>
                <w:noProof/>
                <w:sz w:val="24"/>
                <w:szCs w:val="24"/>
              </w:rPr>
              <w:t>+1.0</w:t>
            </w:r>
          </w:p>
        </w:tc>
        <w:tc>
          <w:tcPr>
            <w:tcW w:w="840" w:type="dxa"/>
            <w:shd w:val="clear" w:color="auto" w:fill="C6D9F1" w:themeFill="text2" w:themeFillTint="33"/>
          </w:tcPr>
          <w:p>
            <w:pPr>
              <w:jc w:val="center"/>
              <w:rPr>
                <w:b/>
                <w:noProof/>
                <w:sz w:val="24"/>
                <w:szCs w:val="24"/>
              </w:rPr>
            </w:pPr>
            <w:r>
              <w:rPr>
                <w:b/>
                <w:noProof/>
                <w:sz w:val="24"/>
                <w:szCs w:val="24"/>
              </w:rPr>
              <w:t>+0.6</w:t>
            </w:r>
          </w:p>
        </w:tc>
      </w:tr>
    </w:tbl>
    <w:p>
      <w:pPr>
        <w:jc w:val="both"/>
        <w:rPr>
          <w:rFonts w:ascii="Times New Roman" w:hAnsi="Times New Roman" w:cs="Times New Roman"/>
          <w:noProof/>
          <w:sz w:val="24"/>
          <w:szCs w:val="24"/>
        </w:rPr>
      </w:pPr>
    </w:p>
    <w:tbl>
      <w:tblPr>
        <w:tblStyle w:val="TableGrid"/>
        <w:tblW w:w="8748" w:type="dxa"/>
        <w:tblLayout w:type="fixed"/>
        <w:tblLook w:val="04A0" w:firstRow="1" w:lastRow="0" w:firstColumn="1" w:lastColumn="0" w:noHBand="0" w:noVBand="1"/>
      </w:tblPr>
      <w:tblGrid>
        <w:gridCol w:w="2868"/>
        <w:gridCol w:w="1080"/>
        <w:gridCol w:w="840"/>
        <w:gridCol w:w="720"/>
        <w:gridCol w:w="840"/>
        <w:gridCol w:w="840"/>
        <w:gridCol w:w="720"/>
        <w:gridCol w:w="840"/>
      </w:tblGrid>
      <w:tr>
        <w:trPr>
          <w:trHeight w:val="144"/>
        </w:trPr>
        <w:tc>
          <w:tcPr>
            <w:tcW w:w="2868" w:type="dxa"/>
            <w:vMerge w:val="restart"/>
          </w:tcPr>
          <w:p>
            <w:pPr>
              <w:jc w:val="center"/>
              <w:rPr>
                <w:b/>
                <w:noProof/>
                <w:sz w:val="24"/>
                <w:szCs w:val="24"/>
              </w:rPr>
            </w:pPr>
            <w:r>
              <w:rPr>
                <w:b/>
                <w:noProof/>
                <w:sz w:val="24"/>
                <w:szCs w:val="24"/>
              </w:rPr>
              <w:t>Impact criteria</w:t>
            </w:r>
          </w:p>
        </w:tc>
        <w:tc>
          <w:tcPr>
            <w:tcW w:w="1080" w:type="dxa"/>
            <w:vMerge w:val="restart"/>
          </w:tcPr>
          <w:p>
            <w:pPr>
              <w:jc w:val="center"/>
              <w:rPr>
                <w:b/>
                <w:noProof/>
                <w:sz w:val="24"/>
                <w:szCs w:val="24"/>
              </w:rPr>
            </w:pPr>
            <w:r>
              <w:rPr>
                <w:b/>
                <w:noProof/>
                <w:sz w:val="24"/>
                <w:szCs w:val="24"/>
              </w:rPr>
              <w:t>Weight</w:t>
            </w:r>
          </w:p>
        </w:tc>
        <w:tc>
          <w:tcPr>
            <w:tcW w:w="4800" w:type="dxa"/>
            <w:gridSpan w:val="6"/>
          </w:tcPr>
          <w:p>
            <w:pPr>
              <w:jc w:val="center"/>
              <w:rPr>
                <w:b/>
                <w:noProof/>
                <w:sz w:val="24"/>
                <w:szCs w:val="24"/>
              </w:rPr>
            </w:pPr>
            <w:r>
              <w:rPr>
                <w:b/>
                <w:noProof/>
                <w:sz w:val="24"/>
                <w:szCs w:val="24"/>
              </w:rPr>
              <w:t>Options</w:t>
            </w:r>
          </w:p>
        </w:tc>
      </w:tr>
      <w:tr>
        <w:trPr>
          <w:trHeight w:val="144"/>
        </w:trPr>
        <w:tc>
          <w:tcPr>
            <w:tcW w:w="2868" w:type="dxa"/>
            <w:vMerge/>
          </w:tcPr>
          <w:p>
            <w:pPr>
              <w:jc w:val="center"/>
              <w:rPr>
                <w:b/>
                <w:noProof/>
                <w:sz w:val="24"/>
                <w:szCs w:val="24"/>
              </w:rPr>
            </w:pPr>
          </w:p>
        </w:tc>
        <w:tc>
          <w:tcPr>
            <w:tcW w:w="1080" w:type="dxa"/>
            <w:vMerge/>
          </w:tcPr>
          <w:p>
            <w:pPr>
              <w:jc w:val="center"/>
              <w:rPr>
                <w:b/>
                <w:noProof/>
                <w:sz w:val="24"/>
                <w:szCs w:val="24"/>
              </w:rPr>
            </w:pPr>
          </w:p>
        </w:tc>
        <w:tc>
          <w:tcPr>
            <w:tcW w:w="840" w:type="dxa"/>
          </w:tcPr>
          <w:p>
            <w:pPr>
              <w:jc w:val="center"/>
              <w:rPr>
                <w:b/>
                <w:noProof/>
                <w:sz w:val="24"/>
                <w:szCs w:val="24"/>
              </w:rPr>
            </w:pPr>
            <w:r>
              <w:rPr>
                <w:b/>
                <w:noProof/>
                <w:sz w:val="24"/>
                <w:szCs w:val="24"/>
              </w:rPr>
              <w:t>1A</w:t>
            </w:r>
          </w:p>
        </w:tc>
        <w:tc>
          <w:tcPr>
            <w:tcW w:w="720" w:type="dxa"/>
          </w:tcPr>
          <w:p>
            <w:pPr>
              <w:jc w:val="center"/>
              <w:rPr>
                <w:b/>
                <w:noProof/>
                <w:sz w:val="24"/>
                <w:szCs w:val="24"/>
              </w:rPr>
            </w:pPr>
            <w:r>
              <w:rPr>
                <w:b/>
                <w:noProof/>
                <w:sz w:val="24"/>
                <w:szCs w:val="24"/>
              </w:rPr>
              <w:t>1B</w:t>
            </w:r>
          </w:p>
        </w:tc>
        <w:tc>
          <w:tcPr>
            <w:tcW w:w="840" w:type="dxa"/>
          </w:tcPr>
          <w:p>
            <w:pPr>
              <w:jc w:val="center"/>
              <w:rPr>
                <w:b/>
                <w:noProof/>
                <w:sz w:val="24"/>
                <w:szCs w:val="24"/>
              </w:rPr>
            </w:pPr>
            <w:r>
              <w:rPr>
                <w:b/>
                <w:noProof/>
                <w:sz w:val="24"/>
                <w:szCs w:val="24"/>
              </w:rPr>
              <w:t>1C1</w:t>
            </w:r>
          </w:p>
        </w:tc>
        <w:tc>
          <w:tcPr>
            <w:tcW w:w="840" w:type="dxa"/>
          </w:tcPr>
          <w:p>
            <w:pPr>
              <w:jc w:val="center"/>
              <w:rPr>
                <w:b/>
                <w:noProof/>
                <w:sz w:val="24"/>
                <w:szCs w:val="24"/>
              </w:rPr>
            </w:pPr>
            <w:r>
              <w:rPr>
                <w:b/>
                <w:noProof/>
                <w:sz w:val="24"/>
                <w:szCs w:val="24"/>
              </w:rPr>
              <w:t>1C2</w:t>
            </w:r>
          </w:p>
        </w:tc>
        <w:tc>
          <w:tcPr>
            <w:tcW w:w="720" w:type="dxa"/>
          </w:tcPr>
          <w:p>
            <w:pPr>
              <w:jc w:val="center"/>
              <w:rPr>
                <w:b/>
                <w:noProof/>
                <w:sz w:val="24"/>
                <w:szCs w:val="24"/>
              </w:rPr>
            </w:pPr>
            <w:r>
              <w:rPr>
                <w:b/>
                <w:noProof/>
                <w:sz w:val="24"/>
                <w:szCs w:val="24"/>
              </w:rPr>
              <w:t>1C3</w:t>
            </w:r>
          </w:p>
        </w:tc>
        <w:tc>
          <w:tcPr>
            <w:tcW w:w="840" w:type="dxa"/>
          </w:tcPr>
          <w:p>
            <w:pPr>
              <w:jc w:val="center"/>
              <w:rPr>
                <w:b/>
                <w:noProof/>
                <w:sz w:val="24"/>
                <w:szCs w:val="24"/>
              </w:rPr>
            </w:pPr>
            <w:r>
              <w:rPr>
                <w:b/>
                <w:noProof/>
                <w:sz w:val="24"/>
                <w:szCs w:val="24"/>
              </w:rPr>
              <w:t>1C4</w:t>
            </w:r>
          </w:p>
        </w:tc>
      </w:tr>
      <w:tr>
        <w:trPr>
          <w:trHeight w:val="264"/>
        </w:trPr>
        <w:tc>
          <w:tcPr>
            <w:tcW w:w="2868" w:type="dxa"/>
          </w:tcPr>
          <w:p>
            <w:pPr>
              <w:rPr>
                <w:noProof/>
                <w:sz w:val="24"/>
                <w:szCs w:val="24"/>
              </w:rPr>
            </w:pPr>
            <w:r>
              <w:rPr>
                <w:noProof/>
                <w:sz w:val="24"/>
                <w:szCs w:val="24"/>
              </w:rPr>
              <w:t>Financial resources</w:t>
            </w:r>
          </w:p>
        </w:tc>
        <w:tc>
          <w:tcPr>
            <w:tcW w:w="1080" w:type="dxa"/>
            <w:shd w:val="clear" w:color="auto" w:fill="C6D9F1" w:themeFill="text2" w:themeFillTint="33"/>
          </w:tcPr>
          <w:p>
            <w:pPr>
              <w:jc w:val="center"/>
              <w:rPr>
                <w:i/>
                <w:noProof/>
                <w:sz w:val="24"/>
                <w:szCs w:val="24"/>
              </w:rPr>
            </w:pPr>
            <w:r>
              <w:rPr>
                <w:i/>
                <w:noProof/>
                <w:sz w:val="24"/>
                <w:szCs w:val="24"/>
              </w:rPr>
              <w:t>33%</w:t>
            </w:r>
          </w:p>
        </w:tc>
        <w:tc>
          <w:tcPr>
            <w:tcW w:w="840" w:type="dxa"/>
          </w:tcPr>
          <w:p>
            <w:pPr>
              <w:jc w:val="center"/>
              <w:rPr>
                <w:noProof/>
                <w:sz w:val="24"/>
                <w:szCs w:val="24"/>
              </w:rPr>
            </w:pPr>
            <w:r>
              <w:rPr>
                <w:noProof/>
                <w:sz w:val="24"/>
                <w:szCs w:val="24"/>
              </w:rPr>
              <w:t>0</w:t>
            </w:r>
          </w:p>
        </w:tc>
        <w:tc>
          <w:tcPr>
            <w:tcW w:w="72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+2</w:t>
            </w:r>
          </w:p>
        </w:tc>
        <w:tc>
          <w:tcPr>
            <w:tcW w:w="72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+1</w:t>
            </w:r>
          </w:p>
        </w:tc>
      </w:tr>
      <w:tr>
        <w:trPr>
          <w:trHeight w:val="276"/>
        </w:trPr>
        <w:tc>
          <w:tcPr>
            <w:tcW w:w="2868" w:type="dxa"/>
          </w:tcPr>
          <w:p>
            <w:pPr>
              <w:rPr>
                <w:noProof/>
                <w:sz w:val="24"/>
                <w:szCs w:val="24"/>
              </w:rPr>
            </w:pPr>
            <w:r>
              <w:rPr>
                <w:noProof/>
                <w:sz w:val="24"/>
                <w:szCs w:val="24"/>
              </w:rPr>
              <w:t>Integrity / security of Schengen area</w:t>
            </w:r>
          </w:p>
        </w:tc>
        <w:tc>
          <w:tcPr>
            <w:tcW w:w="1080" w:type="dxa"/>
            <w:shd w:val="clear" w:color="auto" w:fill="C6D9F1" w:themeFill="text2" w:themeFillTint="33"/>
          </w:tcPr>
          <w:p>
            <w:pPr>
              <w:jc w:val="center"/>
              <w:rPr>
                <w:i/>
                <w:noProof/>
                <w:sz w:val="24"/>
                <w:szCs w:val="24"/>
              </w:rPr>
            </w:pPr>
            <w:r>
              <w:rPr>
                <w:i/>
                <w:noProof/>
                <w:sz w:val="24"/>
                <w:szCs w:val="24"/>
              </w:rPr>
              <w:t>33%</w:t>
            </w:r>
          </w:p>
        </w:tc>
        <w:tc>
          <w:tcPr>
            <w:tcW w:w="840" w:type="dxa"/>
          </w:tcPr>
          <w:p>
            <w:pPr>
              <w:jc w:val="center"/>
              <w:rPr>
                <w:noProof/>
                <w:sz w:val="24"/>
                <w:szCs w:val="24"/>
              </w:rPr>
            </w:pPr>
            <w:r>
              <w:rPr>
                <w:noProof/>
                <w:sz w:val="24"/>
                <w:szCs w:val="24"/>
              </w:rPr>
              <w:t>0</w:t>
            </w:r>
          </w:p>
        </w:tc>
        <w:tc>
          <w:tcPr>
            <w:tcW w:w="72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+2</w:t>
            </w:r>
          </w:p>
        </w:tc>
        <w:tc>
          <w:tcPr>
            <w:tcW w:w="72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+1</w:t>
            </w:r>
          </w:p>
        </w:tc>
      </w:tr>
      <w:tr>
        <w:trPr>
          <w:trHeight w:val="264"/>
        </w:trPr>
        <w:tc>
          <w:tcPr>
            <w:tcW w:w="2868" w:type="dxa"/>
          </w:tcPr>
          <w:p>
            <w:pPr>
              <w:rPr>
                <w:noProof/>
                <w:sz w:val="24"/>
                <w:szCs w:val="24"/>
              </w:rPr>
            </w:pPr>
            <w:r>
              <w:rPr>
                <w:noProof/>
                <w:sz w:val="24"/>
                <w:szCs w:val="24"/>
              </w:rPr>
              <w:t>Changes in travel behaviour</w:t>
            </w:r>
          </w:p>
        </w:tc>
        <w:tc>
          <w:tcPr>
            <w:tcW w:w="1080" w:type="dxa"/>
            <w:shd w:val="clear" w:color="auto" w:fill="C6D9F1" w:themeFill="text2" w:themeFillTint="33"/>
          </w:tcPr>
          <w:p>
            <w:pPr>
              <w:jc w:val="center"/>
              <w:rPr>
                <w:i/>
                <w:noProof/>
                <w:sz w:val="24"/>
                <w:szCs w:val="24"/>
              </w:rPr>
            </w:pPr>
            <w:r>
              <w:rPr>
                <w:i/>
                <w:noProof/>
                <w:sz w:val="24"/>
                <w:szCs w:val="24"/>
              </w:rPr>
              <w:t>33%</w:t>
            </w:r>
          </w:p>
        </w:tc>
        <w:tc>
          <w:tcPr>
            <w:tcW w:w="840" w:type="dxa"/>
          </w:tcPr>
          <w:p>
            <w:pPr>
              <w:jc w:val="center"/>
              <w:rPr>
                <w:noProof/>
                <w:sz w:val="24"/>
                <w:szCs w:val="24"/>
              </w:rPr>
            </w:pPr>
            <w:r>
              <w:rPr>
                <w:noProof/>
                <w:sz w:val="24"/>
                <w:szCs w:val="24"/>
              </w:rPr>
              <w:t>0</w:t>
            </w:r>
          </w:p>
        </w:tc>
        <w:tc>
          <w:tcPr>
            <w:tcW w:w="72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-1</w:t>
            </w:r>
          </w:p>
        </w:tc>
        <w:tc>
          <w:tcPr>
            <w:tcW w:w="72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0</w:t>
            </w:r>
          </w:p>
        </w:tc>
      </w:tr>
      <w:tr>
        <w:trPr>
          <w:trHeight w:val="288"/>
        </w:trPr>
        <w:tc>
          <w:tcPr>
            <w:tcW w:w="2868" w:type="dxa"/>
          </w:tcPr>
          <w:p>
            <w:pPr>
              <w:rPr>
                <w:b/>
                <w:noProof/>
                <w:sz w:val="24"/>
                <w:szCs w:val="24"/>
              </w:rPr>
            </w:pPr>
            <w:r>
              <w:rPr>
                <w:b/>
                <w:noProof/>
                <w:sz w:val="24"/>
                <w:szCs w:val="24"/>
              </w:rPr>
              <w:t>Aggregate impact score</w:t>
            </w:r>
          </w:p>
        </w:tc>
        <w:tc>
          <w:tcPr>
            <w:tcW w:w="1080" w:type="dxa"/>
          </w:tcPr>
          <w:p>
            <w:pPr>
              <w:jc w:val="center"/>
              <w:rPr>
                <w:b/>
                <w:i/>
                <w:noProof/>
                <w:sz w:val="24"/>
                <w:szCs w:val="24"/>
              </w:rPr>
            </w:pPr>
            <w:r>
              <w:rPr>
                <w:b/>
                <w:i/>
                <w:noProof/>
                <w:sz w:val="24"/>
                <w:szCs w:val="24"/>
              </w:rPr>
              <w:t>100%</w:t>
            </w:r>
          </w:p>
        </w:tc>
        <w:tc>
          <w:tcPr>
            <w:tcW w:w="840" w:type="dxa"/>
            <w:shd w:val="clear" w:color="auto" w:fill="C6D9F1" w:themeFill="text2" w:themeFillTint="33"/>
          </w:tcPr>
          <w:p>
            <w:pPr>
              <w:jc w:val="center"/>
              <w:rPr>
                <w:b/>
                <w:noProof/>
                <w:sz w:val="24"/>
                <w:szCs w:val="24"/>
              </w:rPr>
            </w:pPr>
            <w:r>
              <w:rPr>
                <w:b/>
                <w:noProof/>
                <w:sz w:val="24"/>
                <w:szCs w:val="24"/>
              </w:rPr>
              <w:t>0</w:t>
            </w:r>
          </w:p>
        </w:tc>
        <w:tc>
          <w:tcPr>
            <w:tcW w:w="720" w:type="dxa"/>
            <w:shd w:val="clear" w:color="auto" w:fill="C6D9F1" w:themeFill="text2" w:themeFillTint="33"/>
          </w:tcPr>
          <w:p>
            <w:pPr>
              <w:jc w:val="center"/>
              <w:rPr>
                <w:b/>
                <w:noProof/>
                <w:sz w:val="24"/>
                <w:szCs w:val="24"/>
              </w:rPr>
            </w:pPr>
            <w:r>
              <w:rPr>
                <w:b/>
                <w:noProof/>
                <w:sz w:val="24"/>
                <w:szCs w:val="24"/>
              </w:rPr>
              <w:t>0</w:t>
            </w:r>
          </w:p>
        </w:tc>
        <w:tc>
          <w:tcPr>
            <w:tcW w:w="840" w:type="dxa"/>
            <w:shd w:val="clear" w:color="auto" w:fill="C6D9F1" w:themeFill="text2" w:themeFillTint="33"/>
          </w:tcPr>
          <w:p>
            <w:pPr>
              <w:jc w:val="center"/>
              <w:rPr>
                <w:b/>
                <w:noProof/>
                <w:sz w:val="24"/>
                <w:szCs w:val="24"/>
              </w:rPr>
            </w:pPr>
            <w:r>
              <w:rPr>
                <w:b/>
                <w:noProof/>
                <w:sz w:val="24"/>
                <w:szCs w:val="24"/>
              </w:rPr>
              <w:t>+0.7</w:t>
            </w:r>
          </w:p>
        </w:tc>
        <w:tc>
          <w:tcPr>
            <w:tcW w:w="840" w:type="dxa"/>
            <w:shd w:val="clear" w:color="auto" w:fill="C6D9F1" w:themeFill="text2" w:themeFillTint="33"/>
          </w:tcPr>
          <w:p>
            <w:pPr>
              <w:jc w:val="center"/>
              <w:rPr>
                <w:b/>
                <w:noProof/>
                <w:sz w:val="24"/>
                <w:szCs w:val="24"/>
              </w:rPr>
            </w:pPr>
            <w:r>
              <w:rPr>
                <w:b/>
                <w:noProof/>
                <w:sz w:val="24"/>
                <w:szCs w:val="24"/>
              </w:rPr>
              <w:t>+1.0</w:t>
            </w:r>
          </w:p>
        </w:tc>
        <w:tc>
          <w:tcPr>
            <w:tcW w:w="720" w:type="dxa"/>
            <w:shd w:val="clear" w:color="auto" w:fill="C6D9F1" w:themeFill="text2" w:themeFillTint="33"/>
          </w:tcPr>
          <w:p>
            <w:pPr>
              <w:jc w:val="center"/>
              <w:rPr>
                <w:b/>
                <w:noProof/>
                <w:sz w:val="24"/>
                <w:szCs w:val="24"/>
              </w:rPr>
            </w:pPr>
            <w:r>
              <w:rPr>
                <w:b/>
                <w:noProof/>
                <w:sz w:val="24"/>
                <w:szCs w:val="24"/>
              </w:rPr>
              <w:t>+1.3</w:t>
            </w:r>
          </w:p>
        </w:tc>
        <w:tc>
          <w:tcPr>
            <w:tcW w:w="840" w:type="dxa"/>
            <w:shd w:val="clear" w:color="auto" w:fill="C6D9F1" w:themeFill="text2" w:themeFillTint="33"/>
          </w:tcPr>
          <w:p>
            <w:pPr>
              <w:jc w:val="center"/>
              <w:rPr>
                <w:b/>
                <w:noProof/>
                <w:sz w:val="24"/>
                <w:szCs w:val="24"/>
              </w:rPr>
            </w:pPr>
            <w:r>
              <w:rPr>
                <w:b/>
                <w:noProof/>
                <w:sz w:val="24"/>
                <w:szCs w:val="24"/>
              </w:rPr>
              <w:t>+0.7</w:t>
            </w:r>
          </w:p>
        </w:tc>
      </w:tr>
    </w:tbl>
    <w:p>
      <w:pPr>
        <w:jc w:val="both"/>
        <w:rPr>
          <w:rFonts w:ascii="Times New Roman" w:hAnsi="Times New Roman" w:cs="Times New Roman"/>
          <w:noProof/>
          <w:sz w:val="24"/>
          <w:szCs w:val="24"/>
        </w:rPr>
      </w:pPr>
    </w:p>
    <w:p>
      <w:pPr>
        <w:pStyle w:val="Heading1"/>
        <w:numPr>
          <w:ilvl w:val="0"/>
          <w:numId w:val="40"/>
        </w:numPr>
        <w:rPr>
          <w:noProof/>
          <w:lang w:eastAsia="en-GB"/>
        </w:rPr>
      </w:pPr>
      <w:bookmarkStart w:id="100" w:name="_Toc507148529"/>
      <w:r>
        <w:rPr>
          <w:noProof/>
          <w:lang w:eastAsia="en-GB"/>
        </w:rPr>
        <w:t>Repeated visa procedures</w:t>
      </w:r>
      <w:bookmarkEnd w:id="100"/>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tables show the original weighting used for the assessment in section 6.2.2 and the alternative equal weighting. The overall impact score of the policy options for repeated visa procedures does not change significantly and the </w:t>
      </w:r>
      <w:r>
        <w:rPr>
          <w:rFonts w:ascii="Times New Roman" w:hAnsi="Times New Roman" w:cs="Times New Roman"/>
          <w:b/>
          <w:noProof/>
          <w:sz w:val="24"/>
          <w:szCs w:val="24"/>
        </w:rPr>
        <w:t xml:space="preserve">ranking order remains the same </w:t>
      </w:r>
      <w:r>
        <w:rPr>
          <w:rFonts w:ascii="Times New Roman" w:hAnsi="Times New Roman" w:cs="Times New Roman"/>
          <w:noProof/>
          <w:sz w:val="24"/>
          <w:szCs w:val="24"/>
        </w:rPr>
        <w:t>after assigning the same weighting to all impact criteria. The option 2D (standard MEV of 2-5 years) still records the highest score, followed by options 2C1 (general MEV cascade) and preferred 2C2 (general and country MEV cascades).</w:t>
      </w:r>
    </w:p>
    <w:tbl>
      <w:tblPr>
        <w:tblStyle w:val="TableGrid"/>
        <w:tblW w:w="8748" w:type="dxa"/>
        <w:tblLayout w:type="fixed"/>
        <w:tblLook w:val="04A0" w:firstRow="1" w:lastRow="0" w:firstColumn="1" w:lastColumn="0" w:noHBand="0" w:noVBand="1"/>
      </w:tblPr>
      <w:tblGrid>
        <w:gridCol w:w="2748"/>
        <w:gridCol w:w="1080"/>
        <w:gridCol w:w="720"/>
        <w:gridCol w:w="840"/>
        <w:gridCol w:w="840"/>
        <w:gridCol w:w="840"/>
        <w:gridCol w:w="840"/>
        <w:gridCol w:w="840"/>
      </w:tblGrid>
      <w:tr>
        <w:trPr>
          <w:trHeight w:val="144"/>
        </w:trPr>
        <w:tc>
          <w:tcPr>
            <w:tcW w:w="2748" w:type="dxa"/>
            <w:vMerge w:val="restart"/>
          </w:tcPr>
          <w:p>
            <w:pPr>
              <w:jc w:val="center"/>
              <w:rPr>
                <w:b/>
                <w:noProof/>
                <w:sz w:val="24"/>
                <w:szCs w:val="24"/>
              </w:rPr>
            </w:pPr>
            <w:r>
              <w:rPr>
                <w:b/>
                <w:noProof/>
                <w:sz w:val="24"/>
                <w:szCs w:val="24"/>
              </w:rPr>
              <w:t>Impact criteria</w:t>
            </w:r>
          </w:p>
        </w:tc>
        <w:tc>
          <w:tcPr>
            <w:tcW w:w="1080" w:type="dxa"/>
            <w:vMerge w:val="restart"/>
          </w:tcPr>
          <w:p>
            <w:pPr>
              <w:jc w:val="center"/>
              <w:rPr>
                <w:b/>
                <w:noProof/>
                <w:sz w:val="24"/>
                <w:szCs w:val="24"/>
              </w:rPr>
            </w:pPr>
            <w:r>
              <w:rPr>
                <w:b/>
                <w:noProof/>
                <w:sz w:val="24"/>
                <w:szCs w:val="24"/>
              </w:rPr>
              <w:t>Weight</w:t>
            </w:r>
          </w:p>
        </w:tc>
        <w:tc>
          <w:tcPr>
            <w:tcW w:w="4920" w:type="dxa"/>
            <w:gridSpan w:val="6"/>
          </w:tcPr>
          <w:p>
            <w:pPr>
              <w:jc w:val="center"/>
              <w:rPr>
                <w:b/>
                <w:noProof/>
                <w:sz w:val="24"/>
                <w:szCs w:val="24"/>
              </w:rPr>
            </w:pPr>
            <w:r>
              <w:rPr>
                <w:b/>
                <w:noProof/>
                <w:sz w:val="24"/>
                <w:szCs w:val="24"/>
              </w:rPr>
              <w:t>Options</w:t>
            </w:r>
          </w:p>
        </w:tc>
      </w:tr>
      <w:tr>
        <w:trPr>
          <w:trHeight w:val="144"/>
        </w:trPr>
        <w:tc>
          <w:tcPr>
            <w:tcW w:w="2748" w:type="dxa"/>
            <w:vMerge/>
          </w:tcPr>
          <w:p>
            <w:pPr>
              <w:jc w:val="center"/>
              <w:rPr>
                <w:b/>
                <w:noProof/>
                <w:sz w:val="24"/>
                <w:szCs w:val="24"/>
              </w:rPr>
            </w:pPr>
          </w:p>
        </w:tc>
        <w:tc>
          <w:tcPr>
            <w:tcW w:w="1080" w:type="dxa"/>
            <w:vMerge/>
          </w:tcPr>
          <w:p>
            <w:pPr>
              <w:jc w:val="center"/>
              <w:rPr>
                <w:b/>
                <w:i/>
                <w:noProof/>
                <w:sz w:val="24"/>
                <w:szCs w:val="24"/>
              </w:rPr>
            </w:pPr>
          </w:p>
        </w:tc>
        <w:tc>
          <w:tcPr>
            <w:tcW w:w="720" w:type="dxa"/>
          </w:tcPr>
          <w:p>
            <w:pPr>
              <w:jc w:val="center"/>
              <w:rPr>
                <w:b/>
                <w:noProof/>
                <w:sz w:val="24"/>
                <w:szCs w:val="24"/>
              </w:rPr>
            </w:pPr>
            <w:r>
              <w:rPr>
                <w:b/>
                <w:noProof/>
                <w:sz w:val="24"/>
                <w:szCs w:val="24"/>
              </w:rPr>
              <w:t>2A</w:t>
            </w:r>
          </w:p>
        </w:tc>
        <w:tc>
          <w:tcPr>
            <w:tcW w:w="840" w:type="dxa"/>
          </w:tcPr>
          <w:p>
            <w:pPr>
              <w:jc w:val="center"/>
              <w:rPr>
                <w:b/>
                <w:noProof/>
                <w:sz w:val="24"/>
                <w:szCs w:val="24"/>
              </w:rPr>
            </w:pPr>
            <w:r>
              <w:rPr>
                <w:b/>
                <w:noProof/>
                <w:sz w:val="24"/>
                <w:szCs w:val="24"/>
              </w:rPr>
              <w:t>2B</w:t>
            </w:r>
          </w:p>
        </w:tc>
        <w:tc>
          <w:tcPr>
            <w:tcW w:w="840" w:type="dxa"/>
          </w:tcPr>
          <w:p>
            <w:pPr>
              <w:jc w:val="center"/>
              <w:rPr>
                <w:b/>
                <w:noProof/>
                <w:sz w:val="24"/>
                <w:szCs w:val="24"/>
              </w:rPr>
            </w:pPr>
            <w:r>
              <w:rPr>
                <w:b/>
                <w:noProof/>
                <w:sz w:val="24"/>
                <w:szCs w:val="24"/>
              </w:rPr>
              <w:t>2C1</w:t>
            </w:r>
          </w:p>
        </w:tc>
        <w:tc>
          <w:tcPr>
            <w:tcW w:w="840" w:type="dxa"/>
          </w:tcPr>
          <w:p>
            <w:pPr>
              <w:jc w:val="center"/>
              <w:rPr>
                <w:b/>
                <w:noProof/>
                <w:sz w:val="24"/>
                <w:szCs w:val="24"/>
              </w:rPr>
            </w:pPr>
            <w:r>
              <w:rPr>
                <w:b/>
                <w:noProof/>
                <w:sz w:val="24"/>
                <w:szCs w:val="24"/>
              </w:rPr>
              <w:t>2C2</w:t>
            </w:r>
          </w:p>
        </w:tc>
        <w:tc>
          <w:tcPr>
            <w:tcW w:w="840" w:type="dxa"/>
          </w:tcPr>
          <w:p>
            <w:pPr>
              <w:jc w:val="center"/>
              <w:rPr>
                <w:b/>
                <w:noProof/>
                <w:sz w:val="24"/>
                <w:szCs w:val="24"/>
              </w:rPr>
            </w:pPr>
            <w:r>
              <w:rPr>
                <w:b/>
                <w:noProof/>
                <w:sz w:val="24"/>
                <w:szCs w:val="24"/>
              </w:rPr>
              <w:t>2C3</w:t>
            </w:r>
          </w:p>
        </w:tc>
        <w:tc>
          <w:tcPr>
            <w:tcW w:w="840" w:type="dxa"/>
          </w:tcPr>
          <w:p>
            <w:pPr>
              <w:jc w:val="center"/>
              <w:rPr>
                <w:b/>
                <w:noProof/>
                <w:sz w:val="24"/>
                <w:szCs w:val="24"/>
              </w:rPr>
            </w:pPr>
            <w:r>
              <w:rPr>
                <w:b/>
                <w:noProof/>
                <w:sz w:val="24"/>
                <w:szCs w:val="24"/>
              </w:rPr>
              <w:t>2D</w:t>
            </w:r>
          </w:p>
        </w:tc>
      </w:tr>
      <w:tr>
        <w:trPr>
          <w:trHeight w:val="264"/>
        </w:trPr>
        <w:tc>
          <w:tcPr>
            <w:tcW w:w="2748" w:type="dxa"/>
          </w:tcPr>
          <w:p>
            <w:pPr>
              <w:rPr>
                <w:noProof/>
                <w:sz w:val="24"/>
                <w:szCs w:val="24"/>
              </w:rPr>
            </w:pPr>
            <w:r>
              <w:rPr>
                <w:noProof/>
                <w:sz w:val="24"/>
                <w:szCs w:val="24"/>
              </w:rPr>
              <w:t xml:space="preserve">Cost savings for Member States </w:t>
            </w:r>
          </w:p>
        </w:tc>
        <w:tc>
          <w:tcPr>
            <w:tcW w:w="1080" w:type="dxa"/>
            <w:shd w:val="clear" w:color="auto" w:fill="C6D9F1" w:themeFill="text2" w:themeFillTint="33"/>
          </w:tcPr>
          <w:p>
            <w:pPr>
              <w:jc w:val="center"/>
              <w:rPr>
                <w:i/>
                <w:noProof/>
                <w:sz w:val="24"/>
                <w:szCs w:val="24"/>
              </w:rPr>
            </w:pPr>
            <w:r>
              <w:rPr>
                <w:i/>
                <w:noProof/>
                <w:sz w:val="24"/>
                <w:szCs w:val="24"/>
              </w:rPr>
              <w:t>20%</w:t>
            </w:r>
          </w:p>
        </w:tc>
        <w:tc>
          <w:tcPr>
            <w:tcW w:w="72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+4</w:t>
            </w:r>
          </w:p>
        </w:tc>
      </w:tr>
      <w:tr>
        <w:trPr>
          <w:trHeight w:val="276"/>
        </w:trPr>
        <w:tc>
          <w:tcPr>
            <w:tcW w:w="2748" w:type="dxa"/>
          </w:tcPr>
          <w:p>
            <w:pPr>
              <w:rPr>
                <w:noProof/>
                <w:sz w:val="24"/>
                <w:szCs w:val="24"/>
              </w:rPr>
            </w:pPr>
            <w:r>
              <w:rPr>
                <w:noProof/>
                <w:sz w:val="24"/>
                <w:szCs w:val="24"/>
              </w:rPr>
              <w:t>Cost savings for frequent travellers</w:t>
            </w:r>
          </w:p>
        </w:tc>
        <w:tc>
          <w:tcPr>
            <w:tcW w:w="1080" w:type="dxa"/>
            <w:shd w:val="clear" w:color="auto" w:fill="C6D9F1" w:themeFill="text2" w:themeFillTint="33"/>
          </w:tcPr>
          <w:p>
            <w:pPr>
              <w:jc w:val="center"/>
              <w:rPr>
                <w:i/>
                <w:noProof/>
                <w:sz w:val="24"/>
                <w:szCs w:val="24"/>
              </w:rPr>
            </w:pPr>
            <w:r>
              <w:rPr>
                <w:i/>
                <w:noProof/>
                <w:sz w:val="24"/>
                <w:szCs w:val="24"/>
              </w:rPr>
              <w:t>20%</w:t>
            </w:r>
          </w:p>
        </w:tc>
        <w:tc>
          <w:tcPr>
            <w:tcW w:w="72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+5</w:t>
            </w:r>
          </w:p>
        </w:tc>
      </w:tr>
      <w:tr>
        <w:trPr>
          <w:trHeight w:val="264"/>
        </w:trPr>
        <w:tc>
          <w:tcPr>
            <w:tcW w:w="2748" w:type="dxa"/>
          </w:tcPr>
          <w:p>
            <w:pPr>
              <w:rPr>
                <w:noProof/>
                <w:sz w:val="24"/>
                <w:szCs w:val="24"/>
              </w:rPr>
            </w:pPr>
            <w:r>
              <w:rPr>
                <w:noProof/>
                <w:sz w:val="24"/>
                <w:szCs w:val="24"/>
              </w:rPr>
              <w:t>Changes in travel behaviour</w:t>
            </w:r>
          </w:p>
        </w:tc>
        <w:tc>
          <w:tcPr>
            <w:tcW w:w="1080" w:type="dxa"/>
            <w:shd w:val="clear" w:color="auto" w:fill="C6D9F1" w:themeFill="text2" w:themeFillTint="33"/>
          </w:tcPr>
          <w:p>
            <w:pPr>
              <w:jc w:val="center"/>
              <w:rPr>
                <w:i/>
                <w:noProof/>
                <w:sz w:val="24"/>
                <w:szCs w:val="24"/>
              </w:rPr>
            </w:pPr>
            <w:r>
              <w:rPr>
                <w:i/>
                <w:noProof/>
                <w:sz w:val="24"/>
                <w:szCs w:val="24"/>
              </w:rPr>
              <w:t>60%</w:t>
            </w:r>
          </w:p>
        </w:tc>
        <w:tc>
          <w:tcPr>
            <w:tcW w:w="72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+4</w:t>
            </w:r>
          </w:p>
        </w:tc>
      </w:tr>
      <w:tr>
        <w:trPr>
          <w:trHeight w:val="288"/>
        </w:trPr>
        <w:tc>
          <w:tcPr>
            <w:tcW w:w="2748" w:type="dxa"/>
          </w:tcPr>
          <w:p>
            <w:pPr>
              <w:rPr>
                <w:b/>
                <w:noProof/>
                <w:sz w:val="24"/>
                <w:szCs w:val="24"/>
              </w:rPr>
            </w:pPr>
            <w:r>
              <w:rPr>
                <w:b/>
                <w:noProof/>
                <w:sz w:val="24"/>
                <w:szCs w:val="24"/>
              </w:rPr>
              <w:t>Aggregate impact score</w:t>
            </w:r>
          </w:p>
        </w:tc>
        <w:tc>
          <w:tcPr>
            <w:tcW w:w="1080" w:type="dxa"/>
          </w:tcPr>
          <w:p>
            <w:pPr>
              <w:jc w:val="center"/>
              <w:rPr>
                <w:b/>
                <w:i/>
                <w:noProof/>
                <w:sz w:val="24"/>
                <w:szCs w:val="24"/>
              </w:rPr>
            </w:pPr>
            <w:r>
              <w:rPr>
                <w:b/>
                <w:i/>
                <w:noProof/>
                <w:sz w:val="24"/>
                <w:szCs w:val="24"/>
              </w:rPr>
              <w:t>100%</w:t>
            </w:r>
          </w:p>
        </w:tc>
        <w:tc>
          <w:tcPr>
            <w:tcW w:w="720" w:type="dxa"/>
            <w:shd w:val="clear" w:color="auto" w:fill="C6D9F1" w:themeFill="text2" w:themeFillTint="33"/>
          </w:tcPr>
          <w:p>
            <w:pPr>
              <w:jc w:val="center"/>
              <w:rPr>
                <w:b/>
                <w:noProof/>
                <w:sz w:val="24"/>
                <w:szCs w:val="24"/>
              </w:rPr>
            </w:pPr>
            <w:r>
              <w:rPr>
                <w:b/>
                <w:noProof/>
                <w:sz w:val="24"/>
                <w:szCs w:val="24"/>
              </w:rPr>
              <w:t>0</w:t>
            </w:r>
          </w:p>
        </w:tc>
        <w:tc>
          <w:tcPr>
            <w:tcW w:w="840" w:type="dxa"/>
            <w:shd w:val="clear" w:color="auto" w:fill="C6D9F1" w:themeFill="text2" w:themeFillTint="33"/>
          </w:tcPr>
          <w:p>
            <w:pPr>
              <w:jc w:val="center"/>
              <w:rPr>
                <w:b/>
                <w:noProof/>
                <w:sz w:val="24"/>
                <w:szCs w:val="24"/>
              </w:rPr>
            </w:pPr>
            <w:r>
              <w:rPr>
                <w:b/>
                <w:noProof/>
                <w:sz w:val="24"/>
                <w:szCs w:val="24"/>
              </w:rPr>
              <w:t>+0.8</w:t>
            </w:r>
          </w:p>
        </w:tc>
        <w:tc>
          <w:tcPr>
            <w:tcW w:w="840" w:type="dxa"/>
            <w:shd w:val="clear" w:color="auto" w:fill="C6D9F1" w:themeFill="text2" w:themeFillTint="33"/>
          </w:tcPr>
          <w:p>
            <w:pPr>
              <w:jc w:val="center"/>
              <w:rPr>
                <w:b/>
                <w:noProof/>
                <w:sz w:val="24"/>
                <w:szCs w:val="24"/>
              </w:rPr>
            </w:pPr>
            <w:r>
              <w:rPr>
                <w:b/>
                <w:noProof/>
                <w:sz w:val="24"/>
                <w:szCs w:val="24"/>
              </w:rPr>
              <w:t>+2.8</w:t>
            </w:r>
          </w:p>
        </w:tc>
        <w:tc>
          <w:tcPr>
            <w:tcW w:w="840" w:type="dxa"/>
            <w:shd w:val="clear" w:color="auto" w:fill="C6D9F1" w:themeFill="text2" w:themeFillTint="33"/>
          </w:tcPr>
          <w:p>
            <w:pPr>
              <w:jc w:val="center"/>
              <w:rPr>
                <w:b/>
                <w:noProof/>
                <w:sz w:val="24"/>
                <w:szCs w:val="24"/>
              </w:rPr>
            </w:pPr>
            <w:r>
              <w:rPr>
                <w:b/>
                <w:noProof/>
                <w:sz w:val="24"/>
                <w:szCs w:val="24"/>
              </w:rPr>
              <w:t>+2.8</w:t>
            </w:r>
          </w:p>
        </w:tc>
        <w:tc>
          <w:tcPr>
            <w:tcW w:w="840" w:type="dxa"/>
            <w:shd w:val="clear" w:color="auto" w:fill="C6D9F1" w:themeFill="text2" w:themeFillTint="33"/>
          </w:tcPr>
          <w:p>
            <w:pPr>
              <w:jc w:val="center"/>
              <w:rPr>
                <w:b/>
                <w:noProof/>
                <w:sz w:val="24"/>
                <w:szCs w:val="24"/>
              </w:rPr>
            </w:pPr>
            <w:r>
              <w:rPr>
                <w:b/>
                <w:noProof/>
                <w:sz w:val="24"/>
                <w:szCs w:val="24"/>
              </w:rPr>
              <w:t>+1.8</w:t>
            </w:r>
          </w:p>
        </w:tc>
        <w:tc>
          <w:tcPr>
            <w:tcW w:w="840" w:type="dxa"/>
            <w:shd w:val="clear" w:color="auto" w:fill="C6D9F1" w:themeFill="text2" w:themeFillTint="33"/>
          </w:tcPr>
          <w:p>
            <w:pPr>
              <w:jc w:val="center"/>
              <w:rPr>
                <w:b/>
                <w:noProof/>
                <w:sz w:val="24"/>
                <w:szCs w:val="24"/>
              </w:rPr>
            </w:pPr>
            <w:r>
              <w:rPr>
                <w:b/>
                <w:noProof/>
                <w:sz w:val="24"/>
                <w:szCs w:val="24"/>
              </w:rPr>
              <w:t>+4.2</w:t>
            </w:r>
          </w:p>
        </w:tc>
      </w:tr>
    </w:tbl>
    <w:p>
      <w:pPr>
        <w:rPr>
          <w:noProof/>
        </w:rPr>
      </w:pPr>
    </w:p>
    <w:tbl>
      <w:tblPr>
        <w:tblStyle w:val="TableGrid"/>
        <w:tblW w:w="8748" w:type="dxa"/>
        <w:tblLayout w:type="fixed"/>
        <w:tblLook w:val="04A0" w:firstRow="1" w:lastRow="0" w:firstColumn="1" w:lastColumn="0" w:noHBand="0" w:noVBand="1"/>
      </w:tblPr>
      <w:tblGrid>
        <w:gridCol w:w="2748"/>
        <w:gridCol w:w="1080"/>
        <w:gridCol w:w="720"/>
        <w:gridCol w:w="840"/>
        <w:gridCol w:w="840"/>
        <w:gridCol w:w="840"/>
        <w:gridCol w:w="840"/>
        <w:gridCol w:w="840"/>
      </w:tblGrid>
      <w:tr>
        <w:trPr>
          <w:trHeight w:val="144"/>
        </w:trPr>
        <w:tc>
          <w:tcPr>
            <w:tcW w:w="2748" w:type="dxa"/>
            <w:vMerge w:val="restart"/>
          </w:tcPr>
          <w:p>
            <w:pPr>
              <w:jc w:val="center"/>
              <w:rPr>
                <w:b/>
                <w:noProof/>
                <w:sz w:val="24"/>
                <w:szCs w:val="24"/>
              </w:rPr>
            </w:pPr>
            <w:r>
              <w:rPr>
                <w:b/>
                <w:noProof/>
                <w:sz w:val="24"/>
                <w:szCs w:val="24"/>
              </w:rPr>
              <w:t>Impact criteria</w:t>
            </w:r>
          </w:p>
        </w:tc>
        <w:tc>
          <w:tcPr>
            <w:tcW w:w="1080" w:type="dxa"/>
            <w:vMerge w:val="restart"/>
          </w:tcPr>
          <w:p>
            <w:pPr>
              <w:jc w:val="center"/>
              <w:rPr>
                <w:b/>
                <w:noProof/>
                <w:sz w:val="24"/>
                <w:szCs w:val="24"/>
              </w:rPr>
            </w:pPr>
            <w:r>
              <w:rPr>
                <w:b/>
                <w:noProof/>
                <w:sz w:val="24"/>
                <w:szCs w:val="24"/>
              </w:rPr>
              <w:t>Weight</w:t>
            </w:r>
          </w:p>
        </w:tc>
        <w:tc>
          <w:tcPr>
            <w:tcW w:w="4920" w:type="dxa"/>
            <w:gridSpan w:val="6"/>
          </w:tcPr>
          <w:p>
            <w:pPr>
              <w:jc w:val="center"/>
              <w:rPr>
                <w:b/>
                <w:noProof/>
                <w:sz w:val="24"/>
                <w:szCs w:val="24"/>
              </w:rPr>
            </w:pPr>
            <w:r>
              <w:rPr>
                <w:b/>
                <w:noProof/>
                <w:sz w:val="24"/>
                <w:szCs w:val="24"/>
              </w:rPr>
              <w:t>Options</w:t>
            </w:r>
          </w:p>
        </w:tc>
      </w:tr>
      <w:tr>
        <w:trPr>
          <w:trHeight w:val="144"/>
        </w:trPr>
        <w:tc>
          <w:tcPr>
            <w:tcW w:w="2748" w:type="dxa"/>
            <w:vMerge/>
          </w:tcPr>
          <w:p>
            <w:pPr>
              <w:jc w:val="center"/>
              <w:rPr>
                <w:b/>
                <w:noProof/>
                <w:sz w:val="24"/>
                <w:szCs w:val="24"/>
              </w:rPr>
            </w:pPr>
          </w:p>
        </w:tc>
        <w:tc>
          <w:tcPr>
            <w:tcW w:w="1080" w:type="dxa"/>
            <w:vMerge/>
          </w:tcPr>
          <w:p>
            <w:pPr>
              <w:jc w:val="center"/>
              <w:rPr>
                <w:b/>
                <w:i/>
                <w:noProof/>
                <w:sz w:val="24"/>
                <w:szCs w:val="24"/>
              </w:rPr>
            </w:pPr>
          </w:p>
        </w:tc>
        <w:tc>
          <w:tcPr>
            <w:tcW w:w="720" w:type="dxa"/>
          </w:tcPr>
          <w:p>
            <w:pPr>
              <w:jc w:val="center"/>
              <w:rPr>
                <w:b/>
                <w:noProof/>
                <w:sz w:val="24"/>
                <w:szCs w:val="24"/>
              </w:rPr>
            </w:pPr>
            <w:r>
              <w:rPr>
                <w:b/>
                <w:noProof/>
                <w:sz w:val="24"/>
                <w:szCs w:val="24"/>
              </w:rPr>
              <w:t>2A</w:t>
            </w:r>
          </w:p>
        </w:tc>
        <w:tc>
          <w:tcPr>
            <w:tcW w:w="840" w:type="dxa"/>
          </w:tcPr>
          <w:p>
            <w:pPr>
              <w:jc w:val="center"/>
              <w:rPr>
                <w:b/>
                <w:noProof/>
                <w:sz w:val="24"/>
                <w:szCs w:val="24"/>
              </w:rPr>
            </w:pPr>
            <w:r>
              <w:rPr>
                <w:b/>
                <w:noProof/>
                <w:sz w:val="24"/>
                <w:szCs w:val="24"/>
              </w:rPr>
              <w:t>2B</w:t>
            </w:r>
          </w:p>
        </w:tc>
        <w:tc>
          <w:tcPr>
            <w:tcW w:w="840" w:type="dxa"/>
          </w:tcPr>
          <w:p>
            <w:pPr>
              <w:jc w:val="center"/>
              <w:rPr>
                <w:b/>
                <w:noProof/>
                <w:sz w:val="24"/>
                <w:szCs w:val="24"/>
              </w:rPr>
            </w:pPr>
            <w:r>
              <w:rPr>
                <w:b/>
                <w:noProof/>
                <w:sz w:val="24"/>
                <w:szCs w:val="24"/>
              </w:rPr>
              <w:t>2C1</w:t>
            </w:r>
          </w:p>
        </w:tc>
        <w:tc>
          <w:tcPr>
            <w:tcW w:w="840" w:type="dxa"/>
          </w:tcPr>
          <w:p>
            <w:pPr>
              <w:jc w:val="center"/>
              <w:rPr>
                <w:b/>
                <w:noProof/>
                <w:sz w:val="24"/>
                <w:szCs w:val="24"/>
              </w:rPr>
            </w:pPr>
            <w:r>
              <w:rPr>
                <w:b/>
                <w:noProof/>
                <w:sz w:val="24"/>
                <w:szCs w:val="24"/>
              </w:rPr>
              <w:t>2C2</w:t>
            </w:r>
          </w:p>
        </w:tc>
        <w:tc>
          <w:tcPr>
            <w:tcW w:w="840" w:type="dxa"/>
          </w:tcPr>
          <w:p>
            <w:pPr>
              <w:jc w:val="center"/>
              <w:rPr>
                <w:b/>
                <w:noProof/>
                <w:sz w:val="24"/>
                <w:szCs w:val="24"/>
              </w:rPr>
            </w:pPr>
            <w:r>
              <w:rPr>
                <w:b/>
                <w:noProof/>
                <w:sz w:val="24"/>
                <w:szCs w:val="24"/>
              </w:rPr>
              <w:t>2C3</w:t>
            </w:r>
          </w:p>
        </w:tc>
        <w:tc>
          <w:tcPr>
            <w:tcW w:w="840" w:type="dxa"/>
          </w:tcPr>
          <w:p>
            <w:pPr>
              <w:jc w:val="center"/>
              <w:rPr>
                <w:b/>
                <w:noProof/>
                <w:sz w:val="24"/>
                <w:szCs w:val="24"/>
              </w:rPr>
            </w:pPr>
            <w:r>
              <w:rPr>
                <w:b/>
                <w:noProof/>
                <w:sz w:val="24"/>
                <w:szCs w:val="24"/>
              </w:rPr>
              <w:t>2D</w:t>
            </w:r>
          </w:p>
        </w:tc>
      </w:tr>
      <w:tr>
        <w:trPr>
          <w:trHeight w:val="264"/>
        </w:trPr>
        <w:tc>
          <w:tcPr>
            <w:tcW w:w="2748" w:type="dxa"/>
          </w:tcPr>
          <w:p>
            <w:pPr>
              <w:rPr>
                <w:noProof/>
                <w:sz w:val="24"/>
                <w:szCs w:val="24"/>
              </w:rPr>
            </w:pPr>
            <w:r>
              <w:rPr>
                <w:noProof/>
                <w:sz w:val="24"/>
                <w:szCs w:val="24"/>
              </w:rPr>
              <w:t xml:space="preserve">Cost savings for Member States </w:t>
            </w:r>
          </w:p>
        </w:tc>
        <w:tc>
          <w:tcPr>
            <w:tcW w:w="1080" w:type="dxa"/>
            <w:shd w:val="clear" w:color="auto" w:fill="C6D9F1" w:themeFill="text2" w:themeFillTint="33"/>
          </w:tcPr>
          <w:p>
            <w:pPr>
              <w:jc w:val="center"/>
              <w:rPr>
                <w:i/>
                <w:noProof/>
                <w:sz w:val="24"/>
                <w:szCs w:val="24"/>
              </w:rPr>
            </w:pPr>
            <w:r>
              <w:rPr>
                <w:i/>
                <w:noProof/>
                <w:sz w:val="24"/>
                <w:szCs w:val="24"/>
              </w:rPr>
              <w:t>33%</w:t>
            </w:r>
          </w:p>
        </w:tc>
        <w:tc>
          <w:tcPr>
            <w:tcW w:w="72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+4</w:t>
            </w:r>
          </w:p>
        </w:tc>
      </w:tr>
      <w:tr>
        <w:trPr>
          <w:trHeight w:val="276"/>
        </w:trPr>
        <w:tc>
          <w:tcPr>
            <w:tcW w:w="2748" w:type="dxa"/>
          </w:tcPr>
          <w:p>
            <w:pPr>
              <w:rPr>
                <w:noProof/>
                <w:sz w:val="24"/>
                <w:szCs w:val="24"/>
              </w:rPr>
            </w:pPr>
            <w:r>
              <w:rPr>
                <w:noProof/>
                <w:sz w:val="24"/>
                <w:szCs w:val="24"/>
              </w:rPr>
              <w:t>Cost savings for frequent travellers</w:t>
            </w:r>
          </w:p>
        </w:tc>
        <w:tc>
          <w:tcPr>
            <w:tcW w:w="1080" w:type="dxa"/>
            <w:shd w:val="clear" w:color="auto" w:fill="C6D9F1" w:themeFill="text2" w:themeFillTint="33"/>
          </w:tcPr>
          <w:p>
            <w:pPr>
              <w:jc w:val="center"/>
              <w:rPr>
                <w:i/>
                <w:noProof/>
                <w:sz w:val="24"/>
                <w:szCs w:val="24"/>
              </w:rPr>
            </w:pPr>
            <w:r>
              <w:rPr>
                <w:i/>
                <w:noProof/>
                <w:sz w:val="24"/>
                <w:szCs w:val="24"/>
              </w:rPr>
              <w:t>33%</w:t>
            </w:r>
          </w:p>
        </w:tc>
        <w:tc>
          <w:tcPr>
            <w:tcW w:w="72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+5</w:t>
            </w:r>
          </w:p>
        </w:tc>
      </w:tr>
      <w:tr>
        <w:trPr>
          <w:trHeight w:val="264"/>
        </w:trPr>
        <w:tc>
          <w:tcPr>
            <w:tcW w:w="2748" w:type="dxa"/>
          </w:tcPr>
          <w:p>
            <w:pPr>
              <w:rPr>
                <w:noProof/>
                <w:sz w:val="24"/>
                <w:szCs w:val="24"/>
              </w:rPr>
            </w:pPr>
            <w:r>
              <w:rPr>
                <w:noProof/>
                <w:sz w:val="24"/>
                <w:szCs w:val="24"/>
              </w:rPr>
              <w:t>Changes in travel behaviour</w:t>
            </w:r>
          </w:p>
        </w:tc>
        <w:tc>
          <w:tcPr>
            <w:tcW w:w="1080" w:type="dxa"/>
            <w:shd w:val="clear" w:color="auto" w:fill="C6D9F1" w:themeFill="text2" w:themeFillTint="33"/>
          </w:tcPr>
          <w:p>
            <w:pPr>
              <w:jc w:val="center"/>
              <w:rPr>
                <w:i/>
                <w:noProof/>
                <w:sz w:val="24"/>
                <w:szCs w:val="24"/>
              </w:rPr>
            </w:pPr>
            <w:r>
              <w:rPr>
                <w:i/>
                <w:noProof/>
                <w:sz w:val="24"/>
                <w:szCs w:val="24"/>
              </w:rPr>
              <w:t>33%</w:t>
            </w:r>
          </w:p>
        </w:tc>
        <w:tc>
          <w:tcPr>
            <w:tcW w:w="720" w:type="dxa"/>
          </w:tcPr>
          <w:p>
            <w:pPr>
              <w:jc w:val="center"/>
              <w:rPr>
                <w:noProof/>
                <w:sz w:val="24"/>
                <w:szCs w:val="24"/>
              </w:rPr>
            </w:pPr>
            <w:r>
              <w:rPr>
                <w:noProof/>
                <w:sz w:val="24"/>
                <w:szCs w:val="24"/>
              </w:rPr>
              <w:t>0</w:t>
            </w:r>
          </w:p>
        </w:tc>
        <w:tc>
          <w:tcPr>
            <w:tcW w:w="840" w:type="dxa"/>
          </w:tcPr>
          <w:p>
            <w:pPr>
              <w:jc w:val="center"/>
              <w:rPr>
                <w:noProof/>
                <w:sz w:val="24"/>
                <w:szCs w:val="24"/>
              </w:rPr>
            </w:pPr>
            <w:r>
              <w:rPr>
                <w:noProof/>
                <w:sz w:val="24"/>
                <w:szCs w:val="24"/>
              </w:rPr>
              <w:t>+1</w:t>
            </w:r>
          </w:p>
        </w:tc>
        <w:tc>
          <w:tcPr>
            <w:tcW w:w="84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+3</w:t>
            </w:r>
          </w:p>
        </w:tc>
        <w:tc>
          <w:tcPr>
            <w:tcW w:w="840" w:type="dxa"/>
          </w:tcPr>
          <w:p>
            <w:pPr>
              <w:jc w:val="center"/>
              <w:rPr>
                <w:noProof/>
                <w:sz w:val="24"/>
                <w:szCs w:val="24"/>
              </w:rPr>
            </w:pPr>
            <w:r>
              <w:rPr>
                <w:noProof/>
                <w:sz w:val="24"/>
                <w:szCs w:val="24"/>
              </w:rPr>
              <w:t>+2</w:t>
            </w:r>
          </w:p>
        </w:tc>
        <w:tc>
          <w:tcPr>
            <w:tcW w:w="840" w:type="dxa"/>
          </w:tcPr>
          <w:p>
            <w:pPr>
              <w:jc w:val="center"/>
              <w:rPr>
                <w:noProof/>
                <w:sz w:val="24"/>
                <w:szCs w:val="24"/>
              </w:rPr>
            </w:pPr>
            <w:r>
              <w:rPr>
                <w:noProof/>
                <w:sz w:val="24"/>
                <w:szCs w:val="24"/>
              </w:rPr>
              <w:t>+4</w:t>
            </w:r>
          </w:p>
        </w:tc>
      </w:tr>
      <w:tr>
        <w:trPr>
          <w:trHeight w:val="288"/>
        </w:trPr>
        <w:tc>
          <w:tcPr>
            <w:tcW w:w="2748" w:type="dxa"/>
          </w:tcPr>
          <w:p>
            <w:pPr>
              <w:rPr>
                <w:b/>
                <w:noProof/>
                <w:sz w:val="24"/>
                <w:szCs w:val="24"/>
              </w:rPr>
            </w:pPr>
            <w:r>
              <w:rPr>
                <w:b/>
                <w:noProof/>
                <w:sz w:val="24"/>
                <w:szCs w:val="24"/>
              </w:rPr>
              <w:t>Aggregate impact score</w:t>
            </w:r>
          </w:p>
        </w:tc>
        <w:tc>
          <w:tcPr>
            <w:tcW w:w="1080" w:type="dxa"/>
          </w:tcPr>
          <w:p>
            <w:pPr>
              <w:jc w:val="center"/>
              <w:rPr>
                <w:b/>
                <w:i/>
                <w:noProof/>
                <w:sz w:val="24"/>
                <w:szCs w:val="24"/>
              </w:rPr>
            </w:pPr>
            <w:r>
              <w:rPr>
                <w:b/>
                <w:i/>
                <w:noProof/>
                <w:sz w:val="24"/>
                <w:szCs w:val="24"/>
              </w:rPr>
              <w:t>100%</w:t>
            </w:r>
          </w:p>
        </w:tc>
        <w:tc>
          <w:tcPr>
            <w:tcW w:w="720" w:type="dxa"/>
            <w:shd w:val="clear" w:color="auto" w:fill="C6D9F1" w:themeFill="text2" w:themeFillTint="33"/>
          </w:tcPr>
          <w:p>
            <w:pPr>
              <w:jc w:val="center"/>
              <w:rPr>
                <w:b/>
                <w:noProof/>
                <w:sz w:val="24"/>
                <w:szCs w:val="24"/>
              </w:rPr>
            </w:pPr>
            <w:r>
              <w:rPr>
                <w:b/>
                <w:noProof/>
                <w:sz w:val="24"/>
                <w:szCs w:val="24"/>
              </w:rPr>
              <w:t>0</w:t>
            </w:r>
          </w:p>
        </w:tc>
        <w:tc>
          <w:tcPr>
            <w:tcW w:w="840" w:type="dxa"/>
            <w:shd w:val="clear" w:color="auto" w:fill="C6D9F1" w:themeFill="text2" w:themeFillTint="33"/>
          </w:tcPr>
          <w:p>
            <w:pPr>
              <w:jc w:val="center"/>
              <w:rPr>
                <w:b/>
                <w:noProof/>
                <w:sz w:val="24"/>
                <w:szCs w:val="24"/>
              </w:rPr>
            </w:pPr>
            <w:r>
              <w:rPr>
                <w:b/>
                <w:noProof/>
                <w:sz w:val="24"/>
                <w:szCs w:val="24"/>
              </w:rPr>
              <w:t>+0.7</w:t>
            </w:r>
          </w:p>
        </w:tc>
        <w:tc>
          <w:tcPr>
            <w:tcW w:w="840" w:type="dxa"/>
            <w:shd w:val="clear" w:color="auto" w:fill="C6D9F1" w:themeFill="text2" w:themeFillTint="33"/>
          </w:tcPr>
          <w:p>
            <w:pPr>
              <w:jc w:val="center"/>
              <w:rPr>
                <w:b/>
                <w:noProof/>
                <w:sz w:val="24"/>
                <w:szCs w:val="24"/>
              </w:rPr>
            </w:pPr>
            <w:r>
              <w:rPr>
                <w:b/>
                <w:noProof/>
                <w:sz w:val="24"/>
                <w:szCs w:val="24"/>
              </w:rPr>
              <w:t>+2.7</w:t>
            </w:r>
          </w:p>
        </w:tc>
        <w:tc>
          <w:tcPr>
            <w:tcW w:w="840" w:type="dxa"/>
            <w:shd w:val="clear" w:color="auto" w:fill="C6D9F1" w:themeFill="text2" w:themeFillTint="33"/>
          </w:tcPr>
          <w:p>
            <w:pPr>
              <w:jc w:val="center"/>
              <w:rPr>
                <w:b/>
                <w:noProof/>
                <w:sz w:val="24"/>
                <w:szCs w:val="24"/>
              </w:rPr>
            </w:pPr>
            <w:r>
              <w:rPr>
                <w:b/>
                <w:noProof/>
                <w:sz w:val="24"/>
                <w:szCs w:val="24"/>
              </w:rPr>
              <w:t>+2.7</w:t>
            </w:r>
          </w:p>
        </w:tc>
        <w:tc>
          <w:tcPr>
            <w:tcW w:w="840" w:type="dxa"/>
            <w:shd w:val="clear" w:color="auto" w:fill="C6D9F1" w:themeFill="text2" w:themeFillTint="33"/>
          </w:tcPr>
          <w:p>
            <w:pPr>
              <w:jc w:val="center"/>
              <w:rPr>
                <w:b/>
                <w:noProof/>
                <w:sz w:val="24"/>
                <w:szCs w:val="24"/>
              </w:rPr>
            </w:pPr>
            <w:r>
              <w:rPr>
                <w:b/>
                <w:noProof/>
                <w:sz w:val="24"/>
                <w:szCs w:val="24"/>
              </w:rPr>
              <w:t>+1.7</w:t>
            </w:r>
          </w:p>
        </w:tc>
        <w:tc>
          <w:tcPr>
            <w:tcW w:w="840" w:type="dxa"/>
            <w:shd w:val="clear" w:color="auto" w:fill="C6D9F1" w:themeFill="text2" w:themeFillTint="33"/>
          </w:tcPr>
          <w:p>
            <w:pPr>
              <w:jc w:val="center"/>
              <w:rPr>
                <w:b/>
                <w:noProof/>
                <w:sz w:val="24"/>
                <w:szCs w:val="24"/>
              </w:rPr>
            </w:pPr>
            <w:r>
              <w:rPr>
                <w:b/>
                <w:noProof/>
                <w:sz w:val="24"/>
                <w:szCs w:val="24"/>
              </w:rPr>
              <w:t>+4.3</w:t>
            </w:r>
          </w:p>
        </w:tc>
      </w:tr>
    </w:tbl>
    <w:p>
      <w:pPr>
        <w:jc w:val="both"/>
        <w:rPr>
          <w:rFonts w:ascii="Times New Roman" w:hAnsi="Times New Roman" w:cs="Times New Roman"/>
          <w:noProof/>
          <w:sz w:val="24"/>
          <w:szCs w:val="24"/>
        </w:rPr>
      </w:pPr>
    </w:p>
    <w:p>
      <w:pPr>
        <w:pStyle w:val="Heading1"/>
        <w:numPr>
          <w:ilvl w:val="0"/>
          <w:numId w:val="40"/>
        </w:numPr>
        <w:rPr>
          <w:noProof/>
          <w:lang w:eastAsia="en-GB"/>
        </w:rPr>
      </w:pPr>
      <w:bookmarkStart w:id="101" w:name="_Toc507148530"/>
      <w:r>
        <w:rPr>
          <w:noProof/>
          <w:lang w:eastAsia="en-GB"/>
        </w:rPr>
        <w:t>Return of irregular migrants</w:t>
      </w:r>
      <w:bookmarkEnd w:id="101"/>
      <w:r>
        <w:rPr>
          <w:noProof/>
          <w:lang w:eastAsia="en-GB"/>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following tables show the original weighting used for the assessment in section 6.2.3 and the alternative equal weighting. The policy option 3C1 (negative incentives – maximum approach) obtains the negative score of -0.3 after equalling weighting of the impact criteria, which makes it the least favourable option. The score of the preferred option 3C2 (negative incentives – targeted approach) ranks equally with the remaining options 3A (status quo) and 3B (positive incentives).</w:t>
      </w:r>
    </w:p>
    <w:tbl>
      <w:tblPr>
        <w:tblStyle w:val="TableGrid"/>
        <w:tblW w:w="8748" w:type="dxa"/>
        <w:tblLayout w:type="fixed"/>
        <w:tblLook w:val="04A0" w:firstRow="1" w:lastRow="0" w:firstColumn="1" w:lastColumn="0" w:noHBand="0" w:noVBand="1"/>
      </w:tblPr>
      <w:tblGrid>
        <w:gridCol w:w="3828"/>
        <w:gridCol w:w="1080"/>
        <w:gridCol w:w="960"/>
        <w:gridCol w:w="960"/>
        <w:gridCol w:w="960"/>
        <w:gridCol w:w="960"/>
      </w:tblGrid>
      <w:tr>
        <w:trPr>
          <w:trHeight w:val="144"/>
        </w:trPr>
        <w:tc>
          <w:tcPr>
            <w:tcW w:w="3828" w:type="dxa"/>
            <w:vMerge w:val="restart"/>
          </w:tcPr>
          <w:p>
            <w:pPr>
              <w:jc w:val="center"/>
              <w:rPr>
                <w:b/>
                <w:noProof/>
                <w:sz w:val="24"/>
                <w:szCs w:val="24"/>
              </w:rPr>
            </w:pPr>
            <w:r>
              <w:rPr>
                <w:b/>
                <w:noProof/>
                <w:sz w:val="24"/>
                <w:szCs w:val="24"/>
              </w:rPr>
              <w:t>Impact criteria</w:t>
            </w:r>
          </w:p>
        </w:tc>
        <w:tc>
          <w:tcPr>
            <w:tcW w:w="1080" w:type="dxa"/>
            <w:vMerge w:val="restart"/>
          </w:tcPr>
          <w:p>
            <w:pPr>
              <w:jc w:val="center"/>
              <w:rPr>
                <w:b/>
                <w:noProof/>
                <w:sz w:val="24"/>
                <w:szCs w:val="24"/>
              </w:rPr>
            </w:pPr>
            <w:r>
              <w:rPr>
                <w:b/>
                <w:noProof/>
                <w:sz w:val="24"/>
                <w:szCs w:val="24"/>
              </w:rPr>
              <w:t>Weight</w:t>
            </w:r>
          </w:p>
        </w:tc>
        <w:tc>
          <w:tcPr>
            <w:tcW w:w="3840" w:type="dxa"/>
            <w:gridSpan w:val="4"/>
          </w:tcPr>
          <w:p>
            <w:pPr>
              <w:jc w:val="center"/>
              <w:rPr>
                <w:b/>
                <w:noProof/>
                <w:sz w:val="24"/>
                <w:szCs w:val="24"/>
              </w:rPr>
            </w:pPr>
            <w:r>
              <w:rPr>
                <w:b/>
                <w:noProof/>
                <w:sz w:val="24"/>
                <w:szCs w:val="24"/>
              </w:rPr>
              <w:t>Options</w:t>
            </w:r>
          </w:p>
        </w:tc>
      </w:tr>
      <w:tr>
        <w:trPr>
          <w:trHeight w:val="144"/>
        </w:trPr>
        <w:tc>
          <w:tcPr>
            <w:tcW w:w="3828" w:type="dxa"/>
            <w:vMerge/>
          </w:tcPr>
          <w:p>
            <w:pPr>
              <w:jc w:val="center"/>
              <w:rPr>
                <w:b/>
                <w:noProof/>
                <w:sz w:val="24"/>
                <w:szCs w:val="24"/>
              </w:rPr>
            </w:pPr>
          </w:p>
        </w:tc>
        <w:tc>
          <w:tcPr>
            <w:tcW w:w="1080" w:type="dxa"/>
            <w:vMerge/>
          </w:tcPr>
          <w:p>
            <w:pPr>
              <w:jc w:val="center"/>
              <w:rPr>
                <w:b/>
                <w:i/>
                <w:noProof/>
                <w:sz w:val="24"/>
                <w:szCs w:val="24"/>
              </w:rPr>
            </w:pPr>
          </w:p>
        </w:tc>
        <w:tc>
          <w:tcPr>
            <w:tcW w:w="960" w:type="dxa"/>
          </w:tcPr>
          <w:p>
            <w:pPr>
              <w:jc w:val="center"/>
              <w:rPr>
                <w:b/>
                <w:noProof/>
                <w:sz w:val="24"/>
                <w:szCs w:val="24"/>
              </w:rPr>
            </w:pPr>
            <w:r>
              <w:rPr>
                <w:b/>
                <w:noProof/>
                <w:sz w:val="24"/>
                <w:szCs w:val="24"/>
              </w:rPr>
              <w:t>3A</w:t>
            </w:r>
          </w:p>
        </w:tc>
        <w:tc>
          <w:tcPr>
            <w:tcW w:w="960" w:type="dxa"/>
          </w:tcPr>
          <w:p>
            <w:pPr>
              <w:jc w:val="center"/>
              <w:rPr>
                <w:b/>
                <w:noProof/>
                <w:sz w:val="24"/>
                <w:szCs w:val="24"/>
              </w:rPr>
            </w:pPr>
            <w:r>
              <w:rPr>
                <w:b/>
                <w:noProof/>
                <w:sz w:val="24"/>
                <w:szCs w:val="24"/>
              </w:rPr>
              <w:t>3B</w:t>
            </w:r>
          </w:p>
        </w:tc>
        <w:tc>
          <w:tcPr>
            <w:tcW w:w="960" w:type="dxa"/>
          </w:tcPr>
          <w:p>
            <w:pPr>
              <w:jc w:val="center"/>
              <w:rPr>
                <w:b/>
                <w:noProof/>
                <w:sz w:val="24"/>
                <w:szCs w:val="24"/>
              </w:rPr>
            </w:pPr>
            <w:r>
              <w:rPr>
                <w:b/>
                <w:noProof/>
                <w:sz w:val="24"/>
                <w:szCs w:val="24"/>
              </w:rPr>
              <w:t>3C1</w:t>
            </w:r>
          </w:p>
        </w:tc>
        <w:tc>
          <w:tcPr>
            <w:tcW w:w="960" w:type="dxa"/>
          </w:tcPr>
          <w:p>
            <w:pPr>
              <w:jc w:val="center"/>
              <w:rPr>
                <w:b/>
                <w:noProof/>
                <w:sz w:val="24"/>
                <w:szCs w:val="24"/>
              </w:rPr>
            </w:pPr>
            <w:r>
              <w:rPr>
                <w:b/>
                <w:noProof/>
                <w:sz w:val="24"/>
                <w:szCs w:val="24"/>
              </w:rPr>
              <w:t>3C2</w:t>
            </w:r>
          </w:p>
        </w:tc>
      </w:tr>
      <w:tr>
        <w:trPr>
          <w:trHeight w:val="264"/>
        </w:trPr>
        <w:tc>
          <w:tcPr>
            <w:tcW w:w="3828" w:type="dxa"/>
          </w:tcPr>
          <w:p>
            <w:pPr>
              <w:jc w:val="both"/>
              <w:rPr>
                <w:noProof/>
                <w:sz w:val="24"/>
                <w:szCs w:val="24"/>
              </w:rPr>
            </w:pPr>
            <w:r>
              <w:rPr>
                <w:noProof/>
                <w:sz w:val="24"/>
                <w:szCs w:val="24"/>
              </w:rPr>
              <w:t>Improved return rates</w:t>
            </w:r>
          </w:p>
        </w:tc>
        <w:tc>
          <w:tcPr>
            <w:tcW w:w="1080" w:type="dxa"/>
            <w:shd w:val="clear" w:color="auto" w:fill="C6D9F1" w:themeFill="text2" w:themeFillTint="33"/>
          </w:tcPr>
          <w:p>
            <w:pPr>
              <w:jc w:val="center"/>
              <w:rPr>
                <w:noProof/>
                <w:sz w:val="24"/>
                <w:szCs w:val="24"/>
              </w:rPr>
            </w:pPr>
            <w:r>
              <w:rPr>
                <w:noProof/>
                <w:sz w:val="24"/>
                <w:szCs w:val="24"/>
              </w:rPr>
              <w:t>60%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+2</w:t>
            </w:r>
          </w:p>
        </w:tc>
        <w:tc>
          <w:tcPr>
            <w:tcW w:w="960" w:type="dxa"/>
          </w:tcPr>
          <w:p>
            <w:pPr>
              <w:jc w:val="center"/>
              <w:rPr>
                <w:noProof/>
                <w:sz w:val="24"/>
                <w:szCs w:val="24"/>
              </w:rPr>
            </w:pPr>
            <w:r>
              <w:rPr>
                <w:noProof/>
                <w:sz w:val="24"/>
                <w:szCs w:val="24"/>
              </w:rPr>
              <w:t>+2</w:t>
            </w:r>
          </w:p>
        </w:tc>
      </w:tr>
      <w:tr>
        <w:trPr>
          <w:trHeight w:val="276"/>
        </w:trPr>
        <w:tc>
          <w:tcPr>
            <w:tcW w:w="3828" w:type="dxa"/>
          </w:tcPr>
          <w:p>
            <w:pPr>
              <w:jc w:val="both"/>
              <w:rPr>
                <w:noProof/>
                <w:sz w:val="24"/>
                <w:szCs w:val="24"/>
              </w:rPr>
            </w:pPr>
            <w:r>
              <w:rPr>
                <w:noProof/>
                <w:sz w:val="24"/>
                <w:szCs w:val="24"/>
              </w:rPr>
              <w:t>Changes in travel behaviour</w:t>
            </w:r>
          </w:p>
        </w:tc>
        <w:tc>
          <w:tcPr>
            <w:tcW w:w="1080" w:type="dxa"/>
            <w:shd w:val="clear" w:color="auto" w:fill="C6D9F1" w:themeFill="text2" w:themeFillTint="33"/>
          </w:tcPr>
          <w:p>
            <w:pPr>
              <w:jc w:val="center"/>
              <w:rPr>
                <w:noProof/>
                <w:sz w:val="24"/>
                <w:szCs w:val="24"/>
              </w:rPr>
            </w:pPr>
            <w:r>
              <w:rPr>
                <w:noProof/>
                <w:sz w:val="24"/>
                <w:szCs w:val="24"/>
              </w:rPr>
              <w:t>10%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-1</w:t>
            </w:r>
          </w:p>
        </w:tc>
        <w:tc>
          <w:tcPr>
            <w:tcW w:w="960" w:type="dxa"/>
          </w:tcPr>
          <w:p>
            <w:pPr>
              <w:jc w:val="center"/>
              <w:rPr>
                <w:noProof/>
                <w:sz w:val="24"/>
                <w:szCs w:val="24"/>
              </w:rPr>
            </w:pPr>
            <w:r>
              <w:rPr>
                <w:noProof/>
                <w:sz w:val="24"/>
                <w:szCs w:val="24"/>
              </w:rPr>
              <w:t>-1</w:t>
            </w:r>
          </w:p>
        </w:tc>
      </w:tr>
      <w:tr>
        <w:trPr>
          <w:trHeight w:val="276"/>
        </w:trPr>
        <w:tc>
          <w:tcPr>
            <w:tcW w:w="3828" w:type="dxa"/>
          </w:tcPr>
          <w:p>
            <w:pPr>
              <w:jc w:val="both"/>
              <w:rPr>
                <w:noProof/>
                <w:sz w:val="24"/>
                <w:szCs w:val="24"/>
              </w:rPr>
            </w:pPr>
            <w:r>
              <w:rPr>
                <w:noProof/>
                <w:sz w:val="24"/>
                <w:szCs w:val="24"/>
              </w:rPr>
              <w:t>External relations / image of EU</w:t>
            </w:r>
          </w:p>
        </w:tc>
        <w:tc>
          <w:tcPr>
            <w:tcW w:w="1080" w:type="dxa"/>
            <w:shd w:val="clear" w:color="auto" w:fill="C6D9F1" w:themeFill="text2" w:themeFillTint="33"/>
          </w:tcPr>
          <w:p>
            <w:pPr>
              <w:jc w:val="center"/>
              <w:rPr>
                <w:noProof/>
                <w:sz w:val="24"/>
                <w:szCs w:val="24"/>
              </w:rPr>
            </w:pPr>
            <w:r>
              <w:rPr>
                <w:noProof/>
                <w:sz w:val="24"/>
                <w:szCs w:val="24"/>
              </w:rPr>
              <w:t>30%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-2</w:t>
            </w:r>
          </w:p>
        </w:tc>
        <w:tc>
          <w:tcPr>
            <w:tcW w:w="960" w:type="dxa"/>
          </w:tcPr>
          <w:p>
            <w:pPr>
              <w:jc w:val="center"/>
              <w:rPr>
                <w:noProof/>
                <w:sz w:val="24"/>
                <w:szCs w:val="24"/>
              </w:rPr>
            </w:pPr>
            <w:r>
              <w:rPr>
                <w:noProof/>
                <w:sz w:val="24"/>
                <w:szCs w:val="24"/>
              </w:rPr>
              <w:t>-1</w:t>
            </w:r>
          </w:p>
        </w:tc>
      </w:tr>
      <w:tr>
        <w:trPr>
          <w:trHeight w:val="288"/>
        </w:trPr>
        <w:tc>
          <w:tcPr>
            <w:tcW w:w="3828" w:type="dxa"/>
          </w:tcPr>
          <w:p>
            <w:pPr>
              <w:rPr>
                <w:b/>
                <w:noProof/>
                <w:sz w:val="24"/>
                <w:szCs w:val="24"/>
              </w:rPr>
            </w:pPr>
            <w:r>
              <w:rPr>
                <w:b/>
                <w:noProof/>
                <w:sz w:val="24"/>
                <w:szCs w:val="24"/>
              </w:rPr>
              <w:t>Aggregate impact score</w:t>
            </w:r>
          </w:p>
        </w:tc>
        <w:tc>
          <w:tcPr>
            <w:tcW w:w="1080" w:type="dxa"/>
          </w:tcPr>
          <w:p>
            <w:pPr>
              <w:jc w:val="center"/>
              <w:rPr>
                <w:b/>
                <w:i/>
                <w:noProof/>
                <w:sz w:val="24"/>
                <w:szCs w:val="24"/>
              </w:rPr>
            </w:pPr>
            <w:r>
              <w:rPr>
                <w:b/>
                <w:i/>
                <w:noProof/>
                <w:sz w:val="24"/>
                <w:szCs w:val="24"/>
              </w:rPr>
              <w:t>100%</w:t>
            </w:r>
          </w:p>
        </w:tc>
        <w:tc>
          <w:tcPr>
            <w:tcW w:w="960" w:type="dxa"/>
            <w:shd w:val="clear" w:color="auto" w:fill="C6D9F1" w:themeFill="text2" w:themeFillTint="33"/>
          </w:tcPr>
          <w:p>
            <w:pPr>
              <w:jc w:val="center"/>
              <w:rPr>
                <w:b/>
                <w:noProof/>
                <w:sz w:val="24"/>
                <w:szCs w:val="24"/>
              </w:rPr>
            </w:pPr>
            <w:r>
              <w:rPr>
                <w:b/>
                <w:noProof/>
                <w:sz w:val="24"/>
                <w:szCs w:val="24"/>
              </w:rPr>
              <w:t>0</w:t>
            </w:r>
          </w:p>
        </w:tc>
        <w:tc>
          <w:tcPr>
            <w:tcW w:w="960" w:type="dxa"/>
            <w:shd w:val="clear" w:color="auto" w:fill="C6D9F1" w:themeFill="text2" w:themeFillTint="33"/>
          </w:tcPr>
          <w:p>
            <w:pPr>
              <w:jc w:val="center"/>
              <w:rPr>
                <w:b/>
                <w:noProof/>
                <w:sz w:val="24"/>
                <w:szCs w:val="24"/>
              </w:rPr>
            </w:pPr>
            <w:r>
              <w:rPr>
                <w:b/>
                <w:noProof/>
                <w:sz w:val="24"/>
                <w:szCs w:val="24"/>
              </w:rPr>
              <w:t>0</w:t>
            </w:r>
          </w:p>
        </w:tc>
        <w:tc>
          <w:tcPr>
            <w:tcW w:w="960" w:type="dxa"/>
            <w:shd w:val="clear" w:color="auto" w:fill="C6D9F1" w:themeFill="text2" w:themeFillTint="33"/>
          </w:tcPr>
          <w:p>
            <w:pPr>
              <w:jc w:val="center"/>
              <w:rPr>
                <w:b/>
                <w:noProof/>
                <w:sz w:val="24"/>
                <w:szCs w:val="24"/>
              </w:rPr>
            </w:pPr>
            <w:r>
              <w:rPr>
                <w:b/>
                <w:noProof/>
                <w:sz w:val="24"/>
                <w:szCs w:val="24"/>
              </w:rPr>
              <w:t>+0.5</w:t>
            </w:r>
          </w:p>
        </w:tc>
        <w:tc>
          <w:tcPr>
            <w:tcW w:w="960" w:type="dxa"/>
            <w:shd w:val="clear" w:color="auto" w:fill="C6D9F1" w:themeFill="text2" w:themeFillTint="33"/>
          </w:tcPr>
          <w:p>
            <w:pPr>
              <w:jc w:val="center"/>
              <w:rPr>
                <w:b/>
                <w:noProof/>
                <w:sz w:val="24"/>
                <w:szCs w:val="24"/>
              </w:rPr>
            </w:pPr>
            <w:r>
              <w:rPr>
                <w:b/>
                <w:noProof/>
                <w:sz w:val="24"/>
                <w:szCs w:val="24"/>
              </w:rPr>
              <w:t>+0.8</w:t>
            </w:r>
          </w:p>
        </w:tc>
      </w:tr>
    </w:tbl>
    <w:p>
      <w:pPr>
        <w:jc w:val="both"/>
        <w:rPr>
          <w:rFonts w:ascii="Times New Roman" w:hAnsi="Times New Roman" w:cs="Times New Roman"/>
          <w:noProof/>
          <w:sz w:val="24"/>
          <w:szCs w:val="24"/>
        </w:rPr>
      </w:pPr>
    </w:p>
    <w:tbl>
      <w:tblPr>
        <w:tblStyle w:val="TableGrid"/>
        <w:tblW w:w="8748" w:type="dxa"/>
        <w:tblLayout w:type="fixed"/>
        <w:tblLook w:val="04A0" w:firstRow="1" w:lastRow="0" w:firstColumn="1" w:lastColumn="0" w:noHBand="0" w:noVBand="1"/>
      </w:tblPr>
      <w:tblGrid>
        <w:gridCol w:w="3828"/>
        <w:gridCol w:w="1080"/>
        <w:gridCol w:w="960"/>
        <w:gridCol w:w="960"/>
        <w:gridCol w:w="960"/>
        <w:gridCol w:w="960"/>
      </w:tblGrid>
      <w:tr>
        <w:trPr>
          <w:trHeight w:val="144"/>
        </w:trPr>
        <w:tc>
          <w:tcPr>
            <w:tcW w:w="3828" w:type="dxa"/>
            <w:vMerge w:val="restart"/>
          </w:tcPr>
          <w:p>
            <w:pPr>
              <w:jc w:val="center"/>
              <w:rPr>
                <w:b/>
                <w:noProof/>
                <w:sz w:val="24"/>
                <w:szCs w:val="24"/>
              </w:rPr>
            </w:pPr>
            <w:r>
              <w:rPr>
                <w:b/>
                <w:noProof/>
                <w:sz w:val="24"/>
                <w:szCs w:val="24"/>
              </w:rPr>
              <w:t>Impact criteria</w:t>
            </w:r>
          </w:p>
        </w:tc>
        <w:tc>
          <w:tcPr>
            <w:tcW w:w="1080" w:type="dxa"/>
            <w:vMerge w:val="restart"/>
          </w:tcPr>
          <w:p>
            <w:pPr>
              <w:jc w:val="center"/>
              <w:rPr>
                <w:b/>
                <w:noProof/>
                <w:sz w:val="24"/>
                <w:szCs w:val="24"/>
              </w:rPr>
            </w:pPr>
            <w:r>
              <w:rPr>
                <w:b/>
                <w:noProof/>
                <w:sz w:val="24"/>
                <w:szCs w:val="24"/>
              </w:rPr>
              <w:t>Weight</w:t>
            </w:r>
          </w:p>
        </w:tc>
        <w:tc>
          <w:tcPr>
            <w:tcW w:w="3840" w:type="dxa"/>
            <w:gridSpan w:val="4"/>
          </w:tcPr>
          <w:p>
            <w:pPr>
              <w:jc w:val="center"/>
              <w:rPr>
                <w:b/>
                <w:noProof/>
                <w:sz w:val="24"/>
                <w:szCs w:val="24"/>
              </w:rPr>
            </w:pPr>
            <w:r>
              <w:rPr>
                <w:b/>
                <w:noProof/>
                <w:sz w:val="24"/>
                <w:szCs w:val="24"/>
              </w:rPr>
              <w:t>Options</w:t>
            </w:r>
          </w:p>
        </w:tc>
      </w:tr>
      <w:tr>
        <w:trPr>
          <w:trHeight w:val="144"/>
        </w:trPr>
        <w:tc>
          <w:tcPr>
            <w:tcW w:w="3828" w:type="dxa"/>
            <w:vMerge/>
          </w:tcPr>
          <w:p>
            <w:pPr>
              <w:jc w:val="center"/>
              <w:rPr>
                <w:b/>
                <w:noProof/>
                <w:sz w:val="24"/>
                <w:szCs w:val="24"/>
              </w:rPr>
            </w:pPr>
          </w:p>
        </w:tc>
        <w:tc>
          <w:tcPr>
            <w:tcW w:w="1080" w:type="dxa"/>
            <w:vMerge/>
          </w:tcPr>
          <w:p>
            <w:pPr>
              <w:jc w:val="center"/>
              <w:rPr>
                <w:b/>
                <w:i/>
                <w:noProof/>
                <w:sz w:val="24"/>
                <w:szCs w:val="24"/>
              </w:rPr>
            </w:pPr>
          </w:p>
        </w:tc>
        <w:tc>
          <w:tcPr>
            <w:tcW w:w="960" w:type="dxa"/>
          </w:tcPr>
          <w:p>
            <w:pPr>
              <w:jc w:val="center"/>
              <w:rPr>
                <w:b/>
                <w:noProof/>
                <w:sz w:val="24"/>
                <w:szCs w:val="24"/>
              </w:rPr>
            </w:pPr>
            <w:r>
              <w:rPr>
                <w:b/>
                <w:noProof/>
                <w:sz w:val="24"/>
                <w:szCs w:val="24"/>
              </w:rPr>
              <w:t>3A</w:t>
            </w:r>
          </w:p>
        </w:tc>
        <w:tc>
          <w:tcPr>
            <w:tcW w:w="960" w:type="dxa"/>
          </w:tcPr>
          <w:p>
            <w:pPr>
              <w:jc w:val="center"/>
              <w:rPr>
                <w:b/>
                <w:noProof/>
                <w:sz w:val="24"/>
                <w:szCs w:val="24"/>
              </w:rPr>
            </w:pPr>
            <w:r>
              <w:rPr>
                <w:b/>
                <w:noProof/>
                <w:sz w:val="24"/>
                <w:szCs w:val="24"/>
              </w:rPr>
              <w:t>3B</w:t>
            </w:r>
          </w:p>
        </w:tc>
        <w:tc>
          <w:tcPr>
            <w:tcW w:w="960" w:type="dxa"/>
          </w:tcPr>
          <w:p>
            <w:pPr>
              <w:jc w:val="center"/>
              <w:rPr>
                <w:b/>
                <w:noProof/>
                <w:sz w:val="24"/>
                <w:szCs w:val="24"/>
              </w:rPr>
            </w:pPr>
            <w:r>
              <w:rPr>
                <w:b/>
                <w:noProof/>
                <w:sz w:val="24"/>
                <w:szCs w:val="24"/>
              </w:rPr>
              <w:t>3C1</w:t>
            </w:r>
          </w:p>
        </w:tc>
        <w:tc>
          <w:tcPr>
            <w:tcW w:w="960" w:type="dxa"/>
          </w:tcPr>
          <w:p>
            <w:pPr>
              <w:jc w:val="center"/>
              <w:rPr>
                <w:b/>
                <w:noProof/>
                <w:sz w:val="24"/>
                <w:szCs w:val="24"/>
              </w:rPr>
            </w:pPr>
            <w:r>
              <w:rPr>
                <w:b/>
                <w:noProof/>
                <w:sz w:val="24"/>
                <w:szCs w:val="24"/>
              </w:rPr>
              <w:t>3C2</w:t>
            </w:r>
          </w:p>
        </w:tc>
      </w:tr>
      <w:tr>
        <w:trPr>
          <w:trHeight w:val="264"/>
        </w:trPr>
        <w:tc>
          <w:tcPr>
            <w:tcW w:w="3828" w:type="dxa"/>
          </w:tcPr>
          <w:p>
            <w:pPr>
              <w:jc w:val="both"/>
              <w:rPr>
                <w:noProof/>
                <w:sz w:val="24"/>
                <w:szCs w:val="24"/>
              </w:rPr>
            </w:pPr>
            <w:r>
              <w:rPr>
                <w:noProof/>
                <w:sz w:val="24"/>
                <w:szCs w:val="24"/>
              </w:rPr>
              <w:t>Improved return rates</w:t>
            </w:r>
          </w:p>
        </w:tc>
        <w:tc>
          <w:tcPr>
            <w:tcW w:w="1080" w:type="dxa"/>
            <w:shd w:val="clear" w:color="auto" w:fill="C6D9F1" w:themeFill="text2" w:themeFillTint="33"/>
          </w:tcPr>
          <w:p>
            <w:pPr>
              <w:jc w:val="center"/>
              <w:rPr>
                <w:i/>
                <w:noProof/>
                <w:sz w:val="24"/>
                <w:szCs w:val="24"/>
              </w:rPr>
            </w:pPr>
            <w:r>
              <w:rPr>
                <w:i/>
                <w:noProof/>
                <w:sz w:val="24"/>
                <w:szCs w:val="24"/>
              </w:rPr>
              <w:t>33%</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+2</w:t>
            </w:r>
          </w:p>
        </w:tc>
        <w:tc>
          <w:tcPr>
            <w:tcW w:w="960" w:type="dxa"/>
          </w:tcPr>
          <w:p>
            <w:pPr>
              <w:jc w:val="center"/>
              <w:rPr>
                <w:noProof/>
                <w:sz w:val="24"/>
                <w:szCs w:val="24"/>
              </w:rPr>
            </w:pPr>
            <w:r>
              <w:rPr>
                <w:noProof/>
                <w:sz w:val="24"/>
                <w:szCs w:val="24"/>
              </w:rPr>
              <w:t>+2</w:t>
            </w:r>
          </w:p>
        </w:tc>
      </w:tr>
      <w:tr>
        <w:trPr>
          <w:trHeight w:val="276"/>
        </w:trPr>
        <w:tc>
          <w:tcPr>
            <w:tcW w:w="3828" w:type="dxa"/>
          </w:tcPr>
          <w:p>
            <w:pPr>
              <w:jc w:val="both"/>
              <w:rPr>
                <w:noProof/>
                <w:sz w:val="24"/>
                <w:szCs w:val="24"/>
              </w:rPr>
            </w:pPr>
            <w:r>
              <w:rPr>
                <w:noProof/>
                <w:sz w:val="24"/>
                <w:szCs w:val="24"/>
              </w:rPr>
              <w:t>Changes in travel behaviour</w:t>
            </w:r>
          </w:p>
        </w:tc>
        <w:tc>
          <w:tcPr>
            <w:tcW w:w="1080" w:type="dxa"/>
            <w:shd w:val="clear" w:color="auto" w:fill="C6D9F1" w:themeFill="text2" w:themeFillTint="33"/>
          </w:tcPr>
          <w:p>
            <w:pPr>
              <w:jc w:val="center"/>
              <w:rPr>
                <w:i/>
                <w:noProof/>
                <w:sz w:val="24"/>
                <w:szCs w:val="24"/>
              </w:rPr>
            </w:pPr>
            <w:r>
              <w:rPr>
                <w:i/>
                <w:noProof/>
                <w:sz w:val="24"/>
                <w:szCs w:val="24"/>
              </w:rPr>
              <w:t>33%</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-1</w:t>
            </w:r>
          </w:p>
        </w:tc>
        <w:tc>
          <w:tcPr>
            <w:tcW w:w="960" w:type="dxa"/>
          </w:tcPr>
          <w:p>
            <w:pPr>
              <w:jc w:val="center"/>
              <w:rPr>
                <w:noProof/>
                <w:sz w:val="24"/>
                <w:szCs w:val="24"/>
              </w:rPr>
            </w:pPr>
            <w:r>
              <w:rPr>
                <w:noProof/>
                <w:sz w:val="24"/>
                <w:szCs w:val="24"/>
              </w:rPr>
              <w:t>-1</w:t>
            </w:r>
          </w:p>
        </w:tc>
      </w:tr>
      <w:tr>
        <w:trPr>
          <w:trHeight w:val="276"/>
        </w:trPr>
        <w:tc>
          <w:tcPr>
            <w:tcW w:w="3828" w:type="dxa"/>
          </w:tcPr>
          <w:p>
            <w:pPr>
              <w:jc w:val="both"/>
              <w:rPr>
                <w:noProof/>
                <w:sz w:val="24"/>
                <w:szCs w:val="24"/>
              </w:rPr>
            </w:pPr>
            <w:r>
              <w:rPr>
                <w:noProof/>
                <w:sz w:val="24"/>
                <w:szCs w:val="24"/>
              </w:rPr>
              <w:t>External relations / image of EU</w:t>
            </w:r>
          </w:p>
        </w:tc>
        <w:tc>
          <w:tcPr>
            <w:tcW w:w="1080" w:type="dxa"/>
            <w:shd w:val="clear" w:color="auto" w:fill="C6D9F1" w:themeFill="text2" w:themeFillTint="33"/>
          </w:tcPr>
          <w:p>
            <w:pPr>
              <w:jc w:val="center"/>
              <w:rPr>
                <w:i/>
                <w:noProof/>
                <w:sz w:val="24"/>
                <w:szCs w:val="24"/>
              </w:rPr>
            </w:pPr>
            <w:r>
              <w:rPr>
                <w:i/>
                <w:noProof/>
                <w:sz w:val="24"/>
                <w:szCs w:val="24"/>
              </w:rPr>
              <w:t>33%</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0</w:t>
            </w:r>
          </w:p>
        </w:tc>
        <w:tc>
          <w:tcPr>
            <w:tcW w:w="960" w:type="dxa"/>
          </w:tcPr>
          <w:p>
            <w:pPr>
              <w:jc w:val="center"/>
              <w:rPr>
                <w:noProof/>
                <w:sz w:val="24"/>
                <w:szCs w:val="24"/>
              </w:rPr>
            </w:pPr>
            <w:r>
              <w:rPr>
                <w:noProof/>
                <w:sz w:val="24"/>
                <w:szCs w:val="24"/>
              </w:rPr>
              <w:t>-2</w:t>
            </w:r>
          </w:p>
        </w:tc>
        <w:tc>
          <w:tcPr>
            <w:tcW w:w="960" w:type="dxa"/>
          </w:tcPr>
          <w:p>
            <w:pPr>
              <w:jc w:val="center"/>
              <w:rPr>
                <w:noProof/>
                <w:sz w:val="24"/>
                <w:szCs w:val="24"/>
              </w:rPr>
            </w:pPr>
            <w:r>
              <w:rPr>
                <w:noProof/>
                <w:sz w:val="24"/>
                <w:szCs w:val="24"/>
              </w:rPr>
              <w:t>-1</w:t>
            </w:r>
          </w:p>
        </w:tc>
      </w:tr>
      <w:tr>
        <w:trPr>
          <w:trHeight w:val="288"/>
        </w:trPr>
        <w:tc>
          <w:tcPr>
            <w:tcW w:w="3828" w:type="dxa"/>
          </w:tcPr>
          <w:p>
            <w:pPr>
              <w:rPr>
                <w:b/>
                <w:noProof/>
                <w:sz w:val="24"/>
                <w:szCs w:val="24"/>
              </w:rPr>
            </w:pPr>
            <w:r>
              <w:rPr>
                <w:b/>
                <w:noProof/>
                <w:sz w:val="24"/>
                <w:szCs w:val="24"/>
              </w:rPr>
              <w:t>Aggregate impact score</w:t>
            </w:r>
          </w:p>
        </w:tc>
        <w:tc>
          <w:tcPr>
            <w:tcW w:w="1080" w:type="dxa"/>
          </w:tcPr>
          <w:p>
            <w:pPr>
              <w:jc w:val="center"/>
              <w:rPr>
                <w:b/>
                <w:i/>
                <w:noProof/>
                <w:sz w:val="24"/>
                <w:szCs w:val="24"/>
              </w:rPr>
            </w:pPr>
            <w:r>
              <w:rPr>
                <w:b/>
                <w:i/>
                <w:noProof/>
                <w:sz w:val="24"/>
                <w:szCs w:val="24"/>
              </w:rPr>
              <w:t>100%</w:t>
            </w:r>
          </w:p>
        </w:tc>
        <w:tc>
          <w:tcPr>
            <w:tcW w:w="960" w:type="dxa"/>
            <w:shd w:val="clear" w:color="auto" w:fill="C6D9F1" w:themeFill="text2" w:themeFillTint="33"/>
          </w:tcPr>
          <w:p>
            <w:pPr>
              <w:jc w:val="center"/>
              <w:rPr>
                <w:b/>
                <w:noProof/>
                <w:sz w:val="24"/>
                <w:szCs w:val="24"/>
              </w:rPr>
            </w:pPr>
            <w:r>
              <w:rPr>
                <w:b/>
                <w:noProof/>
                <w:sz w:val="24"/>
                <w:szCs w:val="24"/>
              </w:rPr>
              <w:t>0</w:t>
            </w:r>
          </w:p>
        </w:tc>
        <w:tc>
          <w:tcPr>
            <w:tcW w:w="960" w:type="dxa"/>
            <w:shd w:val="clear" w:color="auto" w:fill="C6D9F1" w:themeFill="text2" w:themeFillTint="33"/>
          </w:tcPr>
          <w:p>
            <w:pPr>
              <w:jc w:val="center"/>
              <w:rPr>
                <w:b/>
                <w:noProof/>
                <w:sz w:val="24"/>
                <w:szCs w:val="24"/>
              </w:rPr>
            </w:pPr>
            <w:r>
              <w:rPr>
                <w:b/>
                <w:noProof/>
                <w:sz w:val="24"/>
                <w:szCs w:val="24"/>
              </w:rPr>
              <w:t>0</w:t>
            </w:r>
          </w:p>
        </w:tc>
        <w:tc>
          <w:tcPr>
            <w:tcW w:w="960" w:type="dxa"/>
            <w:shd w:val="clear" w:color="auto" w:fill="C6D9F1" w:themeFill="text2" w:themeFillTint="33"/>
          </w:tcPr>
          <w:p>
            <w:pPr>
              <w:jc w:val="center"/>
              <w:rPr>
                <w:b/>
                <w:noProof/>
                <w:sz w:val="24"/>
                <w:szCs w:val="24"/>
              </w:rPr>
            </w:pPr>
            <w:r>
              <w:rPr>
                <w:b/>
                <w:noProof/>
                <w:sz w:val="24"/>
                <w:szCs w:val="24"/>
              </w:rPr>
              <w:t>-0.3</w:t>
            </w:r>
          </w:p>
        </w:tc>
        <w:tc>
          <w:tcPr>
            <w:tcW w:w="960" w:type="dxa"/>
            <w:shd w:val="clear" w:color="auto" w:fill="C6D9F1" w:themeFill="text2" w:themeFillTint="33"/>
          </w:tcPr>
          <w:p>
            <w:pPr>
              <w:jc w:val="center"/>
              <w:rPr>
                <w:b/>
                <w:noProof/>
                <w:sz w:val="24"/>
                <w:szCs w:val="24"/>
              </w:rPr>
            </w:pPr>
            <w:r>
              <w:rPr>
                <w:b/>
                <w:noProof/>
                <w:sz w:val="24"/>
                <w:szCs w:val="24"/>
              </w:rPr>
              <w:t>0</w:t>
            </w:r>
          </w:p>
        </w:tc>
      </w:tr>
    </w:tbl>
    <w:p>
      <w:pPr>
        <w:jc w:val="both"/>
        <w:rPr>
          <w:rFonts w:ascii="Times New Roman" w:hAnsi="Times New Roman" w:cs="Times New Roman"/>
          <w:noProof/>
          <w:sz w:val="24"/>
          <w:szCs w:val="24"/>
        </w:rPr>
      </w:pPr>
    </w:p>
    <w:sectPr>
      <w:headerReference w:type="even" r:id="rId51"/>
      <w:headerReference w:type="default" r:id="rId52"/>
      <w:footerReference w:type="even" r:id="rId53"/>
      <w:footerReference w:type="default" r:id="rId54"/>
      <w:headerReference w:type="first" r:id="rId55"/>
      <w:footerReference w:type="first" r:id="rId56"/>
      <w:pgSz w:w="11906" w:h="16838"/>
      <w:pgMar w:top="1020" w:right="1701" w:bottom="1020" w:left="1587" w:header="601" w:footer="3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83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5541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84</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90</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0"/>
      <w:rPr>
        <w:lang w:val="fr-B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2527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22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Not all of these regulations are applied equally by all EU Member States. The visa policy is part of the Schengen acquis and therefore does not apply to the United Kingdom and Ireland; it does apply to Schengen associated countries (Iceland, Liechtenstein, Norway and Switzerland). While the Visa Regulation applies to all Member States, the Visa Code and the VIS Regulation only apply to the Member States fully applying the Schengen acquis</w:t>
      </w:r>
    </w:p>
  </w:footnote>
  <w:footnote w:id="3">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provisions on notification of a visa refusal and its grounds and on providing an appeal procedure against a visa refusal became applicable on 5 April 2011.</w:t>
      </w:r>
    </w:p>
  </w:footnote>
  <w:footnote w:id="4">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COM(2014) 164 final.</w:t>
      </w:r>
    </w:p>
  </w:footnote>
  <w:footnote w:id="5">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COM(2014) 163 final.</w:t>
      </w:r>
    </w:p>
  </w:footnote>
  <w:footnote w:id="6">
    <w:p>
      <w:pPr>
        <w:spacing w:after="0" w:line="240" w:lineRule="auto"/>
        <w:ind w:left="600" w:hanging="60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number of "blank spots" (the number of instances where a Member State is neither present nor represented in a visa-required country and where an applicant therefore has to travel abroad to lodge a visa application) has decreased from approximately 900 in 2014 to around 750 in early 2018, so that about 150 "blank spots" were "filled" in the meantime. (Those numbers include the 12 visa-required countries worldwide where no Member State is present or represented, amounting to 312 blank spots alone.). </w:t>
      </w:r>
    </w:p>
  </w:footnote>
  <w:footnote w:id="7">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Case C-638/16 PPU.</w:t>
      </w:r>
    </w:p>
  </w:footnote>
  <w:footnote w:id="8">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 COM(2017) 650 final, 24.10.2017, annex IV.</w:t>
      </w:r>
    </w:p>
  </w:footnote>
  <w:footnote w:id="9">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2017/2226 of the European Parliament and of the Council of 30 November 2017, OJ L 327, 9.12.2017, p. 20.</w:t>
      </w:r>
    </w:p>
  </w:footnote>
  <w:footnote w:id="10">
    <w:p>
      <w:pPr>
        <w:pStyle w:val="FootnoteText"/>
        <w:ind w:left="600" w:hanging="600"/>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731 final, 16.11.2016.</w:t>
      </w:r>
    </w:p>
  </w:footnote>
  <w:footnote w:id="11">
    <w:p>
      <w:pPr>
        <w:pStyle w:val="FootnoteText"/>
        <w:ind w:left="600" w:hanging="600"/>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793 final, 12.12.2017.</w:t>
      </w:r>
    </w:p>
  </w:footnote>
  <w:footnote w:id="12">
    <w:p>
      <w:pPr>
        <w:pStyle w:val="FootnoteText"/>
        <w:ind w:left="600" w:hanging="600"/>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COM(2015) 453 final, 9.9.2015.</w:t>
      </w:r>
    </w:p>
  </w:footnote>
  <w:footnote w:id="13">
    <w:p>
      <w:pPr>
        <w:pStyle w:val="FootnoteText"/>
        <w:ind w:left="600" w:hanging="600"/>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COM(2016) 385 final, 7.6.2016.</w:t>
      </w:r>
    </w:p>
  </w:footnote>
  <w:footnote w:id="14">
    <w:p>
      <w:pPr>
        <w:pStyle w:val="FootnoteText"/>
        <w:ind w:left="600" w:hanging="600"/>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558 final, 27.9.2017.</w:t>
      </w:r>
    </w:p>
  </w:footnote>
  <w:footnote w:id="15">
    <w:p>
      <w:pPr>
        <w:pStyle w:val="FootnoteText"/>
        <w:ind w:left="600" w:hanging="600"/>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650 final, 24.10.2017.</w:t>
      </w:r>
    </w:p>
  </w:footnote>
  <w:footnote w:id="16">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initiative will require a revision of the VIS Regulation and some aspects of the Visa Code which relate to the use of the VIS by consulates.</w:t>
      </w:r>
    </w:p>
  </w:footnote>
  <w:footnote w:id="17">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summary of the consultations in annex 2. </w:t>
      </w:r>
    </w:p>
  </w:footnote>
  <w:footnote w:id="18">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Some of the provisions from the original proposal will be amended to take account of positions expressed in the negotiations between the co-legislators.</w:t>
      </w:r>
    </w:p>
  </w:footnote>
  <w:footnote w:id="19">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drop in numbers was mostly due to a very strong decrease of applications in Russia (from 7 million in 2013 to 3.2 million in 2016) and was not fully compensated by increases in other countries such as China and India. </w:t>
      </w:r>
    </w:p>
  </w:footnote>
  <w:footnote w:id="20">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instance since 2014 France, citing budgetary reasons, closed its visa sections in Nepal, Papua New Guinea, Fiji, Botswana, South Sudan, Brunei, Paraguay, Moldova and Montenegro. Similarly Denmark closed visa sections in Bolivia, Ecuador and Nepal. Several Member States started refusing representation of other Member States quoting lack of resources. </w:t>
      </w:r>
    </w:p>
  </w:footnote>
  <w:footnote w:id="21">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Study on the economic impact of short stay visa facilitation on the tourism industry, </w:t>
      </w:r>
      <w:hyperlink r:id="rId1" w:history="1">
        <w:r>
          <w:rPr>
            <w:rStyle w:val="Hyperlink"/>
            <w:rFonts w:ascii="Times New Roman" w:hAnsi="Times New Roman" w:cs="Times New Roman"/>
          </w:rPr>
          <w:t>https://ec.europa.eu/growth/content/study-economic-impact-short-stay-visa-facilitation-tourism-industry-0_en</w:t>
        </w:r>
      </w:hyperlink>
      <w:r>
        <w:rPr>
          <w:rFonts w:ascii="Times New Roman" w:hAnsi="Times New Roman" w:cs="Times New Roman"/>
        </w:rPr>
        <w:t xml:space="preserve"> </w:t>
      </w:r>
    </w:p>
  </w:footnote>
  <w:footnote w:id="22">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ETOA, Europe: Open for Business?, </w:t>
      </w:r>
      <w:hyperlink r:id="rId2" w:history="1">
        <w:r>
          <w:rPr>
            <w:rStyle w:val="Hyperlink"/>
            <w:rFonts w:ascii="Times New Roman" w:hAnsi="Times New Roman" w:cs="Times New Roman"/>
          </w:rPr>
          <w:t>http://www.etoa.org/docs/default-source/Reports/ETOA-reports/2010-etoa-origin-markets-report.pdf?sfvrsn=2</w:t>
        </w:r>
      </w:hyperlink>
      <w:r>
        <w:rPr>
          <w:rFonts w:ascii="Times New Roman" w:hAnsi="Times New Roman" w:cs="Times New Roman"/>
        </w:rPr>
        <w:t>.</w:t>
      </w:r>
    </w:p>
  </w:footnote>
  <w:footnote w:id="23">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According to the tourist industry, regular travellers to Europe tend to avoid the main tourist 'hotspots' and visit less known towns and regions instead, boosting the economy in less developed areas.</w:t>
      </w:r>
    </w:p>
  </w:footnote>
  <w:footnote w:id="24">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also annex 6. </w:t>
      </w:r>
    </w:p>
  </w:footnote>
  <w:footnote w:id="25">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World Travel &amp; Tourism Council, Travel &amp; Tourism Economic Impact 2017, </w:t>
      </w:r>
      <w:hyperlink r:id="rId3" w:history="1">
        <w:r>
          <w:rPr>
            <w:rStyle w:val="Hyperlink"/>
            <w:rFonts w:ascii="Times New Roman" w:hAnsi="Times New Roman" w:cs="Times New Roman"/>
          </w:rPr>
          <w:t>https://www.wttc.org/research/economic-research/economic-impact-analysis/</w:t>
        </w:r>
      </w:hyperlink>
      <w:r>
        <w:rPr>
          <w:rFonts w:ascii="Times New Roman" w:hAnsi="Times New Roman" w:cs="Times New Roman"/>
        </w:rPr>
        <w:t>.</w:t>
      </w:r>
    </w:p>
  </w:footnote>
  <w:footnote w:id="26">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UNWTO, European Union Short-Term Tourism Trends, Volume 1, 2017-5.</w:t>
      </w:r>
    </w:p>
  </w:footnote>
  <w:footnote w:id="27">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instance, the number of Chinese outbound travellers rose by 6% to 135 million in 2016 and their expenditure to US$ 261 billion (UNWTO press release, 12 April 2017). However, Europe only received about 10.2 Chinese visitors, a growth of just 2% (according to the European Travel Commission).  </w:t>
      </w:r>
    </w:p>
  </w:footnote>
  <w:footnote w:id="28">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While there is no data set collected in the EU to show in a consolidated manner the total (stock) number of irregular migrants in the European Union, this number can be extrapolated based on the available official Eurostat statistics, i.e. data on persons ordered to leave and effectively returned to third countries, persons found to be illegally present and the numbers of negative asylum decisions, as well as based on the numbers of arrivals of irregular migrants to the EU. There are however precision limitations to the use of individual datasets, as they are not always complementary or directly comparable. To give an example, France estimates the number of irregular migrants staying in the country based on the number of beneficiaries of state-funded health care (aide médicale d’État) at well above 311 310 (Avis n° 114 (2017-2018) de M. François-Noël BUFFET, fait au nom de la commission des lois, déposé le 23 novembre 2017).</w:t>
      </w:r>
    </w:p>
  </w:footnote>
  <w:footnote w:id="29">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Eurostat database, Third-country nationals found to be illegally present – annual data (rounded); Asylum and first-time asylum applicants by citizenship, age and sex – annual aggregated data (rounded), Third-country nationals ordered to leave – annual data (rounded); Third-country nationals returned following an order to leave – annual data (rounded).</w:t>
      </w:r>
    </w:p>
  </w:footnote>
  <w:footnote w:id="30">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number of fee reductions and waivers apply. For instance, the visa fee is EUR 35 for children between age 6 and 12, and waived for children under 6. Moreover, most Visa Facilitation Agreements (VFA) concluded by the EU with third countries in force – including the one for Russia (3.2 million applications in 2016) – provide for a standard visa fee of EUR 35. VFAs cover about 30% of all visa applications.</w:t>
      </w:r>
    </w:p>
  </w:footnote>
  <w:footnote w:id="31">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annex 5, parts 1-2. </w:t>
      </w:r>
    </w:p>
  </w:footnote>
  <w:footnote w:id="32">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United States: USD 160 (EUR 133); UK: up to six months validity: GBP 89 (EUR 100), up to two years: GBP 337 (EUR 383), up to five years: GBP 612(EUR 696); Australia: AUD 140 (EUR 90); New Zealand: NZD 170 (EUR 100). Among those countries, only Canada has a comparable visa fee: CAD 100 (EUR 67). See more details in annex 5, part 3.</w:t>
      </w:r>
    </w:p>
  </w:footnote>
  <w:footnote w:id="33">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Article 24(2) Visa Code: </w:t>
      </w:r>
    </w:p>
    <w:p>
      <w:pPr>
        <w:pStyle w:val="FootnoteText"/>
        <w:ind w:left="600" w:hanging="60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Without prejudice to Article 12(a), multiple-entry visas shall be issued with a period of validity between six months and five years, where the following conditions are met:</w:t>
      </w:r>
    </w:p>
    <w:p>
      <w:pPr>
        <w:pStyle w:val="FootnoteText"/>
        <w:ind w:left="600" w:hanging="60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The applicant proves the need or justifies the intention to travel frequently and/or regularly, in particular due to his occupational or family status, such as business persons, civil servants engaged in regular official contacts with Member States and EU institutions, representatives of civil society organisations travelling for the purpose of educational training, seminars and conferences, family members of citizens of the Union, family members of third-country nationals legally residing in Member States and seafarers; and</w:t>
      </w:r>
    </w:p>
    <w:p>
      <w:pPr>
        <w:pStyle w:val="FootnoteText"/>
        <w:ind w:left="600" w:hanging="60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The applicant proves his integrity and reliability, in particular the lawful use of previous uniform visas or visas with limited territorial validity, his economic situation in the country of origin and his genuine intention to leave the territory of the Member States before the expiry of the visa applied for.</w:t>
      </w:r>
    </w:p>
  </w:footnote>
  <w:footnote w:id="34">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Not all Member States issue return decisions together with negative asylum decisions, and out of those which do, some report only enforceable return decisions to Eurostat, i.e. decisions which have entered into force once all appeal deadlines had expired or appeal procedures had been completed.</w:t>
      </w:r>
    </w:p>
  </w:footnote>
  <w:footnote w:id="35">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document 9880/17 EU RESTRICTED. As this document is restricted, the approach followed can only be sketched vaguely.</w:t>
      </w:r>
    </w:p>
  </w:footnote>
  <w:footnote w:id="36">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summary of Member States' replies in annex 5, parts 1 and 2. </w:t>
      </w:r>
    </w:p>
  </w:footnote>
  <w:footnote w:id="37">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all policy options 'cooperation on readmission' only refers to readmission of third countries' own nationals, except where third countries have committed to, e.g. in a readmission agreement with the EU, readmitting nationals of other third countries that have transited through their territory.</w:t>
      </w:r>
    </w:p>
  </w:footnote>
  <w:footnote w:id="38">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Articles 7, 9 and 33 of the Charter of Fundamental Rights of the European Union. </w:t>
      </w:r>
    </w:p>
  </w:footnote>
  <w:footnote w:id="39">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Such data will be available with the entry of operations of the EES. </w:t>
      </w:r>
    </w:p>
  </w:footnote>
  <w:footnote w:id="40">
    <w:p>
      <w:pPr>
        <w:pStyle w:val="FootnoteText"/>
        <w:ind w:left="600" w:hanging="60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2008/115/EC of the European Parliament and of the Council of 16 December 2008 on common standards and procedures in Member States for returning illegally staying third-country nationals.</w:t>
      </w:r>
    </w:p>
  </w:footnote>
  <w:footnote w:id="41">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it cannot be excluded that in some Member States the real number of persons ordered to leave is undervalued, as it is lower than the number of rejected asylum decisions, while failed asylum seekers constitute only a subset of all persons issued return decisions.</w:t>
      </w:r>
    </w:p>
  </w:footnote>
  <w:footnote w:id="42">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accordance with Council Regulation (EU) No 1053/2013 establishing an evaluation and monitoring mechanism to verify the application of the Schengen acquis. </w:t>
      </w:r>
    </w:p>
  </w:footnote>
  <w:footnote w:id="43">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information is rather of qualitative than quantitative nature and has been used cautiously, given the confidential character of the evaluation reports ("EU restricted" documents, established by means of Commission implementing decisions). For instance, Member States have not been named.</w:t>
      </w:r>
    </w:p>
  </w:footnote>
  <w:footnote w:id="44">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tool #63 of the Better Regulation toolbox. However, a slightly simplified model will be applied. </w:t>
      </w:r>
    </w:p>
  </w:footnote>
  <w:footnote w:id="45">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0 = no change, 1 = weak change, 2 = moderate change, 3 = strong change. </w:t>
      </w:r>
    </w:p>
  </w:footnote>
  <w:footnote w:id="46">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detailed calculations in annex 5, part 4.</w:t>
      </w:r>
    </w:p>
  </w:footnote>
  <w:footnote w:id="47">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Even though the additional revenue would be higher for option 1C4 than for option 1C1, it is rated the same (+1), as a considerable part of additional income would be lost in a more inefficient procedure. Differentiated fees for SEV/MEV for up to 6 months and MEV valid for one year or more would mean that the final fee level cannot be determined at the time of lodging the application, but only when the decision on the application (and thus on the length of validity) has been taken by the consulate. An additional procedural step for reimbursing part of the fee or payment of the additional fee after the decision would have to be introduced, leading to additional administrative burden and costs. </w:t>
      </w:r>
    </w:p>
  </w:footnote>
  <w:footnote w:id="48">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includes costs for travelling to the consulate/ESP (to give fingerprints), the service fee for the ESP, the travel medical insurance, costs for obtaining supporting documents, such as notarisation or legalisation of official documents, and courier fees for the return of the travel document. In the public consultation, applicants report spending on average EUR 45 for the travel medical insurance and around EUR 60 for travelling to the consulate or visa application centre. In some cases these costs are several hundred EUR and have a far greater impact on the applicant's budget than the visa fee.</w:t>
      </w:r>
    </w:p>
  </w:footnote>
  <w:footnote w:id="49">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Intercontinental flight tickets cost several hundred euros. Accommodation and other costs associated with travelling have to be added. A survey of Chinese tourists found that the average amount spent on an overseas trip in 2016 was about RMB 20 000, around EUR 2500 (Oliver Wyman consultancy, 2017). The only countries for which even a moderate increase could have slightly more negative impacts are Belarus, Kosovo and Turkey, notably for cross-border day trips for shopping or other purposes. All other countries with direct land borders are either visa-free or covered by VFA with a reduced visa fee which will not be affected by an increase of the general visa fee. </w:t>
      </w:r>
    </w:p>
  </w:footnote>
  <w:footnote w:id="50">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details in annex 5, part 3. </w:t>
      </w:r>
    </w:p>
  </w:footnote>
  <w:footnote w:id="51">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Cost savings for Member States will only be achieved if the visa fee does not fully meet or even exceed the administrative costs of Member States for processing one visa application. The extent of costs savings for Member States therefore depends on the policy option that will be chosen for the first problem area. It is assumed here for the purpose of simplicity that the preferred policy option will not fully cover the administrative costs for the majority of Member States. </w:t>
      </w:r>
    </w:p>
  </w:footnote>
  <w:footnote w:id="52">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is also confirmed by the practice of US and Canadian consulates to issue MEV with a validity of 10 years as a standard visitor visa. </w:t>
      </w:r>
    </w:p>
  </w:footnote>
  <w:footnote w:id="53">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only positive impacts will be recorded for this problem area and in order to allow for a more differentiated assessment of policy options, impacts will be rated as follows: 0 = no change, 1= very weak change, 2 = weak change, 3 = moderate change, 4 = strong change, 5 = very strong change.</w:t>
      </w:r>
    </w:p>
  </w:footnote>
  <w:footnote w:id="54">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Progress in most ongoing parallel negotiations with countries in the southern neighbourhood (e.g. Morocco, Tunisia, Jordan) is limited, as third countries consider that the visa facilitations offered by the EU are not substantial enough to justify concessions in the readmission area. </w:t>
      </w:r>
    </w:p>
  </w:footnote>
  <w:footnote w:id="55">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full results in Annex 8.</w:t>
      </w:r>
    </w:p>
  </w:footnote>
  <w:footnote w:id="56">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Eurostat, HICP – inflation rate, </w:t>
      </w:r>
      <w:hyperlink r:id="rId4" w:history="1">
        <w:r>
          <w:rPr>
            <w:rStyle w:val="Hyperlink"/>
            <w:rFonts w:ascii="Times New Roman" w:hAnsi="Times New Roman" w:cs="Times New Roman"/>
          </w:rPr>
          <w:t>http://ec.europa.eu/eurostat/tgm/table.do?tab=table&amp;init=1&amp;language=en&amp;pcode=tec00118&amp;plugin=1</w:t>
        </w:r>
      </w:hyperlink>
      <w:r>
        <w:rPr>
          <w:rFonts w:ascii="Times New Roman" w:hAnsi="Times New Roman" w:cs="Times New Roman"/>
        </w:rPr>
        <w:t xml:space="preserve">. </w:t>
      </w:r>
    </w:p>
  </w:footnote>
  <w:footnote w:id="57">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more information on the REFIT programme, see: </w:t>
      </w:r>
      <w:hyperlink r:id="rId5" w:history="1">
        <w:r>
          <w:rPr>
            <w:rStyle w:val="Hyperlink"/>
            <w:rFonts w:ascii="Times New Roman" w:hAnsi="Times New Roman" w:cs="Times New Roman"/>
          </w:rPr>
          <w:t>https://ec.europa.eu/info/law/law-making-process/evaluating-and-improving-existing-laws/refit-making-eu-law-simpler-and-less-costly_en</w:t>
        </w:r>
      </w:hyperlink>
      <w:r>
        <w:rPr>
          <w:rFonts w:ascii="Times New Roman" w:hAnsi="Times New Roman" w:cs="Times New Roman"/>
        </w:rPr>
        <w:t xml:space="preserve"> </w:t>
      </w:r>
    </w:p>
  </w:footnote>
  <w:footnote w:id="58">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881 final.</w:t>
      </w:r>
    </w:p>
  </w:footnote>
  <w:footnote w:id="59">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Annexes 4 and 5 of the 2014 Impact Assessment for a summary of the stakeholder consultation activities at the time: SWD(2014) 68 final</w:t>
      </w:r>
    </w:p>
  </w:footnote>
  <w:footnote w:id="60">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Association of Corporate Travel Executives, Cruise Lines International Association, ECTAA (National travel agents’ and tour operators’ associations), European Community Shipowners’ Associations, European Tourism Association, European Travel Commission, HOTREC (Hotels, Restaurants, Pubs and Cafes in Europe), International Air Transport Association, International Association of Amusement Parks and Attractions, International Chamber of Shipping, Pearle* - Live Performance Europe, World Travel &amp; Tourism Council, </w:t>
      </w:r>
    </w:p>
  </w:footnote>
  <w:footnote w:id="61">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list of organisations that submitted additional information can be found at the end of this summary.</w:t>
      </w:r>
    </w:p>
  </w:footnote>
  <w:footnote w:id="62">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 When interpreting the results of the consultation, it is important to note that respondents to the open internet-based survey were self-selected. It is therefore not possible to assume that they are representative of the wider population of visa applicants worldwide.</w:t>
      </w:r>
    </w:p>
  </w:footnote>
  <w:footnote w:id="63">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figure, as all others within this section, excludes respondents who offered no or incomplete answers. For example, figures relating to respondent nationality exclude nine responses that gave blank or ambiguous information.</w:t>
      </w:r>
    </w:p>
  </w:footnote>
  <w:footnote w:id="64">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Per year, for visa applicants in third countries.</w:t>
      </w:r>
    </w:p>
  </w:footnote>
  <w:footnote w:id="65">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(EC) No 819/2009 of the European Parliament and of the Council of 13 July 2009 establishing a Community Code on Visas, OJ L 243, 15.9.2009, p.1.</w:t>
      </w:r>
    </w:p>
  </w:footnote>
  <w:footnote w:id="66">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Report from the Commission to the European Parliament and the Council: A smarter visa policy for economic growth; COM(2014)165 final of 1 April 2014.</w:t>
      </w:r>
    </w:p>
  </w:footnote>
  <w:footnote w:id="67">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Evaluation of the implementation of Regulation (EC) No 810/2009 of the European Parliament and Council establishing a Community Code on Visas (Visa Code); SWD(2014 101) final of 1 April 2014.</w:t>
      </w:r>
    </w:p>
  </w:footnote>
  <w:footnote w:id="68">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COM(2012)649.</w:t>
      </w:r>
    </w:p>
  </w:footnote>
  <w:footnote w:id="69">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VIS legal framework was subject to a separate evaluation (COM(2016) 655 final) which will be followed up by a separate initiative, according to the Commission Work Programme for 2018. </w:t>
      </w:r>
    </w:p>
  </w:footnote>
  <w:footnote w:id="70">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COM(2017)558.</w:t>
      </w:r>
    </w:p>
  </w:footnote>
  <w:footnote w:id="71">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point 3.2 of the report from the Commission on the implementation of the VIS Regulation, COM(2016)655.</w:t>
      </w:r>
    </w:p>
  </w:footnote>
  <w:footnote w:id="72">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Austria, Belgium, Germany, the Netherlands, Luxembourg, Italy, Greece, Malta, France, Denmark, Iceland, Sweden, Portugal, Spain and Norway.</w:t>
      </w:r>
    </w:p>
  </w:footnote>
  <w:footnote w:id="73">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consulate and the central visa authority in the case of Luxembourg and Iceland.</w:t>
      </w:r>
    </w:p>
  </w:footnote>
  <w:footnote w:id="74">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With the sole exception of 2014, in which the United Arab Emirates replaced Thailand in position 10.</w:t>
      </w:r>
    </w:p>
  </w:footnote>
  <w:footnote w:id="75">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Since the visa waiver for Peru was not yet in effect for the whole year 2016.</w:t>
      </w:r>
    </w:p>
  </w:footnote>
  <w:footnote w:id="76">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Including direct, indirect cost like rent of locations, salaries, IT, central overhead costs etc.</w:t>
      </w:r>
    </w:p>
  </w:footnote>
  <w:footnote w:id="77">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Numbers are an average of 2012, 2013 and 2014.</w:t>
      </w:r>
    </w:p>
  </w:footnote>
  <w:footnote w:id="78">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Personnel working on visa (abroad and in the capital)</w:t>
      </w:r>
    </w:p>
  </w:footnote>
  <w:footnote w:id="79">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Overhead (including personnel not directly working on visa, information, organisation, finances, administration, communication, accommodation)</w:t>
      </w:r>
    </w:p>
  </w:footnote>
  <w:footnote w:id="80">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Specific ICT-costs (software and hardware)</w:t>
      </w:r>
    </w:p>
  </w:footnote>
  <w:footnote w:id="81">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Other costs related to visa (visa stickers, visa meetings, special assessments etc.)</w:t>
      </w:r>
    </w:p>
  </w:footnote>
  <w:footnote w:id="82">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Chinese Visa Application Service Centre applies an application service fee of EUR 65.45 to normal applications of Schengen countries' citizens which results in a total fee of EUR 125.45.</w:t>
      </w:r>
    </w:p>
  </w:footnote>
  <w:footnote w:id="83">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UNWTO Tourism Highlights: 2017 Edition, </w:t>
      </w:r>
      <w:hyperlink r:id="rId6" w:history="1">
        <w:r>
          <w:rPr>
            <w:rStyle w:val="Hyperlink"/>
            <w:rFonts w:ascii="Times New Roman" w:hAnsi="Times New Roman" w:cs="Times New Roman"/>
          </w:rPr>
          <w:t>https://www.e-unwto.org/doi/book/10.18111/9789284419029</w:t>
        </w:r>
      </w:hyperlink>
      <w:r>
        <w:rPr>
          <w:rStyle w:val="Hyperlink"/>
          <w:rFonts w:ascii="Times New Roman" w:hAnsi="Times New Roman" w:cs="Times New Roman"/>
        </w:rPr>
        <w:t>.</w:t>
      </w:r>
    </w:p>
  </w:footnote>
  <w:footnote w:id="84">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When the visa fee is not officially stated in EUR, the presented value is indicative. </w:t>
      </w:r>
    </w:p>
  </w:footnote>
  <w:footnote w:id="85">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World Bank Group, </w:t>
      </w:r>
      <w:hyperlink r:id="rId7" w:history="1">
        <w:r>
          <w:rPr>
            <w:rStyle w:val="Hyperlink"/>
            <w:rFonts w:ascii="Times New Roman" w:hAnsi="Times New Roman" w:cs="Times New Roman"/>
            <w:color w:val="000000"/>
          </w:rPr>
          <w:t>https://data.worldbank.org/indicator/NY.GDP.PCAP.PP.CD</w:t>
        </w:r>
      </w:hyperlink>
      <w:r>
        <w:rPr>
          <w:rFonts w:ascii="Times New Roman" w:hAnsi="Times New Roman" w:cs="Times New Roman"/>
          <w:color w:val="1F497D"/>
        </w:rPr>
        <w:t>.</w:t>
      </w:r>
    </w:p>
  </w:footnote>
  <w:footnote w:id="86">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World Bank Group, </w:t>
      </w:r>
      <w:hyperlink r:id="rId8" w:history="1">
        <w:r>
          <w:rPr>
            <w:rStyle w:val="Hyperlink"/>
            <w:rFonts w:ascii="Times New Roman" w:hAnsi="Times New Roman" w:cs="Times New Roman"/>
            <w:color w:val="000000"/>
          </w:rPr>
          <w:t>idem</w:t>
        </w:r>
      </w:hyperlink>
      <w:r>
        <w:rPr>
          <w:rFonts w:ascii="Times New Roman" w:hAnsi="Times New Roman" w:cs="Times New Roman"/>
        </w:rPr>
        <w:t>. Iceland: USD 51.399, Norway: USD 59.385, Switzerland: USD 63.741.</w:t>
      </w:r>
    </w:p>
  </w:footnote>
  <w:footnote w:id="87">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When the visa fee is not officially stated in EUR, the presented value is indicative. </w:t>
      </w:r>
    </w:p>
  </w:footnote>
  <w:footnote w:id="88">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Based on EU-Russia Visa Facilitation Agreement.</w:t>
      </w:r>
    </w:p>
  </w:footnote>
  <w:footnote w:id="89">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Eurostat database, Arrivals at tourist accommodation establishments by country/world region of residence of the tourist, data updated on 07/11/2017. Those figures do not correspond to the overall numbers of travellers or trips, as tourists often stay at different accommodations during one trip.</w:t>
      </w:r>
    </w:p>
  </w:footnote>
  <w:footnote w:id="90">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World Travel &amp; Tourism Council, </w:t>
      </w:r>
      <w:hyperlink r:id="rId9" w:history="1">
        <w:r>
          <w:rPr>
            <w:rStyle w:val="Hyperlink"/>
            <w:rFonts w:ascii="Times New Roman" w:hAnsi="Times New Roman" w:cs="Times New Roman"/>
          </w:rPr>
          <w:t>https://www.wttc.org/research/economic-research/economic-impact-analysis/</w:t>
        </w:r>
      </w:hyperlink>
      <w:r>
        <w:rPr>
          <w:rStyle w:val="Hyperlink"/>
          <w:rFonts w:ascii="Times New Roman" w:hAnsi="Times New Roman" w:cs="Times New Roman"/>
        </w:rPr>
        <w:t>.</w:t>
      </w:r>
    </w:p>
  </w:footnote>
  <w:footnote w:id="91">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figures are not available for all third-country nationals and sometimes only by region, only an approximation is possible. The following countries/regions were counted as visa-required for this purpose: Africa, China (including Hong Kong), other Asian countries (excluding Japan and South Korea), Russia, Turkey.</w:t>
      </w:r>
    </w:p>
  </w:footnote>
  <w:footnote w:id="92">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Eurostat database, idem.</w:t>
      </w:r>
    </w:p>
  </w:footnote>
  <w:footnote w:id="93">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Eurostat database, idem.</w:t>
      </w:r>
    </w:p>
  </w:footnote>
  <w:footnote w:id="94">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UNWTO press release PR 17046, 12 April 2017, </w:t>
      </w:r>
      <w:hyperlink r:id="rId10" w:history="1">
        <w:r>
          <w:rPr>
            <w:rStyle w:val="Hyperlink"/>
            <w:rFonts w:ascii="Times New Roman" w:hAnsi="Times New Roman" w:cs="Times New Roman"/>
          </w:rPr>
          <w:t>http://media.unwto.org/press-release/2017-04-12/chinese-tourists-spent-12-more-travelling-abroad-2016</w:t>
        </w:r>
      </w:hyperlink>
      <w:r>
        <w:rPr>
          <w:rFonts w:ascii="Times New Roman" w:hAnsi="Times New Roman" w:cs="Times New Roman"/>
        </w:rPr>
        <w:t>.</w:t>
      </w:r>
    </w:p>
  </w:footnote>
  <w:footnote w:id="95">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UNWTO, European Union Short-Term Tourism Trends, Volume 1, 2017-5.</w:t>
      </w:r>
    </w:p>
  </w:footnote>
  <w:footnote w:id="96">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UNWTO, Tourism Highlights, 2017 Edition, </w:t>
      </w:r>
      <w:r>
        <w:rPr>
          <w:rStyle w:val="Hyperlink"/>
          <w:rFonts w:ascii="Times New Roman" w:hAnsi="Times New Roman" w:cs="Times New Roman"/>
        </w:rPr>
        <w:t>http://mkt.unwto.org/publication/unwto-tourism-highlights.</w:t>
      </w:r>
    </w:p>
  </w:footnote>
  <w:footnote w:id="97">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UNWTO, European Union Short-Term Tourism Trends, Volume 1, 2017-5.</w:t>
      </w:r>
    </w:p>
  </w:footnote>
  <w:footnote w:id="98">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ETC, European Tourism in 2017: trends and Prospects (Q3/2017), </w:t>
      </w:r>
      <w:hyperlink r:id="rId11" w:history="1">
        <w:r>
          <w:rPr>
            <w:rStyle w:val="Hyperlink"/>
            <w:rFonts w:ascii="Times New Roman" w:hAnsi="Times New Roman" w:cs="Times New Roman"/>
          </w:rPr>
          <w:t>http://www.etc-corporate.org/reports/european-tourism-2017-trends-and-prospects-(q3-2017)</w:t>
        </w:r>
      </w:hyperlink>
      <w:r>
        <w:rPr>
          <w:rFonts w:ascii="Times New Roman" w:hAnsi="Times New Roman" w:cs="Times New Roman"/>
        </w:rPr>
        <w:t>.</w:t>
      </w:r>
    </w:p>
  </w:footnote>
  <w:footnote w:id="99">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World Tourism Organization (2017), Compendium of Tourism Statistics dataset [Electronic], UNWTO, Madrid, data updated on 25/09/2017.  Available data are not fully comprehensive.</w:t>
      </w:r>
    </w:p>
  </w:footnote>
  <w:footnote w:id="100">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Eurostat database, Arrivals at tourist accommodation establishments by country/world region of residence of the tourist, data updated on 07/11/2017.</w:t>
      </w:r>
    </w:p>
  </w:footnote>
  <w:footnote w:id="101">
    <w:p>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Some of the provisions will be amended from the original proposal to take account of positions expressed in the negotiations between the co-legislators.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0F1F"/>
    <w:multiLevelType w:val="hybridMultilevel"/>
    <w:tmpl w:val="A210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D3082"/>
    <w:multiLevelType w:val="multilevel"/>
    <w:tmpl w:val="32F0820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7560"/>
        </w:tabs>
        <w:ind w:left="756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FA6022F"/>
    <w:multiLevelType w:val="hybridMultilevel"/>
    <w:tmpl w:val="0A3AA980"/>
    <w:lvl w:ilvl="0" w:tplc="7AA0E26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3E62376"/>
    <w:multiLevelType w:val="hybridMultilevel"/>
    <w:tmpl w:val="7A707812"/>
    <w:lvl w:ilvl="0" w:tplc="7AA0E26E">
      <w:start w:val="1"/>
      <w:numFmt w:val="bullet"/>
      <w:lvlText w:val=""/>
      <w:lvlJc w:val="left"/>
      <w:pPr>
        <w:ind w:left="720" w:hanging="360"/>
      </w:pPr>
      <w:rPr>
        <w:rFonts w:ascii="Symbol" w:hAnsi="Symbol" w:hint="default"/>
      </w:rPr>
    </w:lvl>
    <w:lvl w:ilvl="1" w:tplc="AD6A4240">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1C5747"/>
    <w:multiLevelType w:val="hybridMultilevel"/>
    <w:tmpl w:val="11765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861DC"/>
    <w:multiLevelType w:val="hybridMultilevel"/>
    <w:tmpl w:val="0E4A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8513E2"/>
    <w:multiLevelType w:val="hybridMultilevel"/>
    <w:tmpl w:val="100AD056"/>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146E1E"/>
    <w:multiLevelType w:val="multilevel"/>
    <w:tmpl w:val="984ABFC4"/>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7560"/>
        </w:tabs>
        <w:ind w:left="756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F734306"/>
    <w:multiLevelType w:val="multilevel"/>
    <w:tmpl w:val="A0066C54"/>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7560"/>
        </w:tabs>
        <w:ind w:left="75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9126C5"/>
    <w:multiLevelType w:val="hybridMultilevel"/>
    <w:tmpl w:val="173E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334F24"/>
    <w:multiLevelType w:val="hybridMultilevel"/>
    <w:tmpl w:val="BE2E7CB0"/>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A313EA"/>
    <w:multiLevelType w:val="multilevel"/>
    <w:tmpl w:val="EE7C9A3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7560"/>
        </w:tabs>
        <w:ind w:left="756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F2A1408"/>
    <w:multiLevelType w:val="hybridMultilevel"/>
    <w:tmpl w:val="7316731E"/>
    <w:lvl w:ilvl="0" w:tplc="7AA0E26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19D7EBD"/>
    <w:multiLevelType w:val="hybridMultilevel"/>
    <w:tmpl w:val="F0CEA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2F5679"/>
    <w:multiLevelType w:val="hybridMultilevel"/>
    <w:tmpl w:val="57FEFE04"/>
    <w:lvl w:ilvl="0" w:tplc="08090001">
      <w:start w:val="1"/>
      <w:numFmt w:val="bullet"/>
      <w:lvlText w:val=""/>
      <w:lvlJc w:val="left"/>
      <w:pPr>
        <w:ind w:left="360" w:hanging="360"/>
      </w:pPr>
      <w:rPr>
        <w:rFonts w:ascii="Symbol" w:hAnsi="Symbol" w:hint="default"/>
      </w:rPr>
    </w:lvl>
    <w:lvl w:ilvl="1" w:tplc="AD6A4240">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BA35BA"/>
    <w:multiLevelType w:val="hybridMultilevel"/>
    <w:tmpl w:val="C428D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B404664"/>
    <w:multiLevelType w:val="hybridMultilevel"/>
    <w:tmpl w:val="68CEFD36"/>
    <w:lvl w:ilvl="0" w:tplc="6AC8D6BC">
      <w:numFmt w:val="bullet"/>
      <w:lvlText w:val="-"/>
      <w:lvlJc w:val="left"/>
      <w:pPr>
        <w:ind w:left="720" w:hanging="360"/>
      </w:pPr>
      <w:rPr>
        <w:rFonts w:ascii="Calibri" w:eastAsia="Calibri" w:hAnsi="Calibri"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3F5275E8"/>
    <w:multiLevelType w:val="hybridMultilevel"/>
    <w:tmpl w:val="34761C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DD706F2"/>
    <w:multiLevelType w:val="multilevel"/>
    <w:tmpl w:val="5364B9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7560"/>
        </w:tabs>
        <w:ind w:left="756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0911ABB"/>
    <w:multiLevelType w:val="hybridMultilevel"/>
    <w:tmpl w:val="457C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5A0578"/>
    <w:multiLevelType w:val="hybridMultilevel"/>
    <w:tmpl w:val="01B8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E27DAA"/>
    <w:multiLevelType w:val="hybridMultilevel"/>
    <w:tmpl w:val="831AF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77A1149"/>
    <w:multiLevelType w:val="hybridMultilevel"/>
    <w:tmpl w:val="919A2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9478E3"/>
    <w:multiLevelType w:val="hybridMultilevel"/>
    <w:tmpl w:val="DB947B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2031F76"/>
    <w:multiLevelType w:val="hybridMultilevel"/>
    <w:tmpl w:val="5806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4E4BA8"/>
    <w:multiLevelType w:val="multilevel"/>
    <w:tmpl w:val="698224F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7560"/>
        </w:tabs>
        <w:ind w:left="756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8227443"/>
    <w:multiLevelType w:val="hybridMultilevel"/>
    <w:tmpl w:val="F664F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092C0A"/>
    <w:multiLevelType w:val="multilevel"/>
    <w:tmpl w:val="CC08E9C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7560"/>
        </w:tabs>
        <w:ind w:left="756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E554433"/>
    <w:multiLevelType w:val="hybridMultilevel"/>
    <w:tmpl w:val="5262F2D0"/>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035789"/>
    <w:multiLevelType w:val="hybridMultilevel"/>
    <w:tmpl w:val="D46C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3"/>
  </w:num>
  <w:num w:numId="9">
    <w:abstractNumId w:val="6"/>
  </w:num>
  <w:num w:numId="10">
    <w:abstractNumId w:val="12"/>
  </w:num>
  <w:num w:numId="11">
    <w:abstractNumId w:val="18"/>
  </w:num>
  <w:num w:numId="12">
    <w:abstractNumId w:val="2"/>
  </w:num>
  <w:num w:numId="13">
    <w:abstractNumId w:val="4"/>
  </w:num>
  <w:num w:numId="14">
    <w:abstractNumId w:val="25"/>
  </w:num>
  <w:num w:numId="15">
    <w:abstractNumId w:val="29"/>
  </w:num>
  <w:num w:numId="16">
    <w:abstractNumId w:val="0"/>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0"/>
  </w:num>
  <w:num w:numId="20">
    <w:abstractNumId w:val="15"/>
  </w:num>
  <w:num w:numId="21">
    <w:abstractNumId w:val="32"/>
  </w:num>
  <w:num w:numId="22">
    <w:abstractNumId w:val="22"/>
  </w:num>
  <w:num w:numId="23">
    <w:abstractNumId w:val="9"/>
  </w:num>
  <w:num w:numId="24">
    <w:abstractNumId w:val="2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7"/>
  </w:num>
  <w:num w:numId="28">
    <w:abstractNumId w:val="14"/>
  </w:num>
  <w:num w:numId="29">
    <w:abstractNumId w:val="5"/>
  </w:num>
  <w:num w:numId="30">
    <w:abstractNumId w:val="13"/>
  </w:num>
  <w:num w:numId="31">
    <w:abstractNumId w:val="8"/>
  </w:num>
  <w:num w:numId="32">
    <w:abstractNumId w:val="8"/>
  </w:num>
  <w:num w:numId="33">
    <w:abstractNumId w:val="8"/>
  </w:num>
  <w:num w:numId="34">
    <w:abstractNumId w:val="8"/>
  </w:num>
  <w:num w:numId="35">
    <w:abstractNumId w:val="11"/>
  </w:num>
  <w:num w:numId="36">
    <w:abstractNumId w:val="20"/>
  </w:num>
  <w:num w:numId="37">
    <w:abstractNumId w:val="28"/>
  </w:num>
  <w:num w:numId="38">
    <w:abstractNumId w:val="30"/>
  </w:num>
  <w:num w:numId="39">
    <w:abstractNumId w:val="7"/>
  </w:num>
  <w:num w:numId="40">
    <w:abstractNumId w:val="1"/>
  </w:num>
  <w:num w:numId="41">
    <w:abstractNumId w:val="7"/>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7789434-BFD1-47C1-9574-D2A93A53DF94"/>
    <w:docVar w:name="LW_COVERPAGE_TYPE" w:val="1"/>
    <w:docVar w:name="LW_CROSSREFERENCE" w:val="{COM(2018) 252 final}_x000b_{SWD(2018) 78 final}"/>
    <w:docVar w:name="LW_DocType" w:val="NORMAL"/>
    <w:docVar w:name="LW_EMISSION" w:val="14.3.2018"/>
    <w:docVar w:name="LW_EMISSION_ISODATE" w:val="2018-03-14"/>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amending Regulation (EC) No 810/2009 establishing a Community Code on Visas _x000b_(Visa Code)"/>
    <w:docVar w:name="LW_PART_NBR" w:val="1"/>
    <w:docVar w:name="LW_PART_NBR_TOTAL" w:val="1"/>
    <w:docVar w:name="LW_REF.INST.NEW" w:val="SWD"/>
    <w:docVar w:name="LW_REF.INST.NEW_ADOPTED" w:val="final"/>
    <w:docVar w:name="LW_REF.INST.NEW_TEXT" w:val="(2018) 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39"/>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39"/>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9"/>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9"/>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Footnote Reference/,Footnote symbol,Odwołanie przypisu,Times 10 Point,Exposant 3 Point,footnote ref,Footnote Reference text,Voetnootverwijzing,FR,Fußnotenzeichen diss neu,number,SUPERS,numb,BVI fnr,Re"/>
    <w:basedOn w:val="DefaultParagraphFont"/>
    <w:link w:val="FootnotesymbolCarZchn"/>
    <w:uiPriority w:val="99"/>
    <w:unhideWhenUsed/>
    <w:qFormat/>
    <w:rPr>
      <w:vertAlign w:val="superscript"/>
    </w:rPr>
  </w:style>
  <w:style w:type="paragraph" w:styleId="TOC3">
    <w:name w:val="toc 3"/>
    <w:basedOn w:val="Normal"/>
    <w:next w:val="Normal"/>
    <w:autoRedefine/>
    <w:uiPriority w:val="39"/>
    <w:unhideWhenUsed/>
    <w:pPr>
      <w:spacing w:after="100"/>
      <w:ind w:left="440"/>
    </w:pPr>
  </w:style>
  <w:style w:type="paragraph" w:customStyle="1" w:styleId="Tiret1">
    <w:name w:val="Tiret 1"/>
    <w:basedOn w:val="Normal"/>
    <w:pPr>
      <w:numPr>
        <w:numId w:val="6"/>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Spacing">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shorttext">
    <w:name w:val="short_text"/>
    <w:basedOn w:val="DefaultParagraphFont"/>
  </w:style>
  <w:style w:type="paragraph" w:styleId="BodyText">
    <w:name w:val="Body Text"/>
    <w:basedOn w:val="Normal"/>
    <w:link w:val="BodyTextChar"/>
    <w:uiPriority w:val="1"/>
    <w:semiHidden/>
    <w:unhideWhenUsed/>
    <w:pPr>
      <w:spacing w:before="120" w:after="120" w:line="240" w:lineRule="atLeast"/>
      <w:ind w:left="851"/>
      <w:jc w:val="both"/>
    </w:pPr>
    <w:rPr>
      <w:rFonts w:ascii="Arial" w:hAnsi="Arial" w:cs="Arial"/>
      <w:sz w:val="20"/>
      <w:szCs w:val="20"/>
      <w:lang w:eastAsia="en-GB"/>
    </w:rPr>
  </w:style>
  <w:style w:type="character" w:customStyle="1" w:styleId="BodyTextChar">
    <w:name w:val="Body Text Char"/>
    <w:basedOn w:val="DefaultParagraphFont"/>
    <w:link w:val="BodyText"/>
    <w:uiPriority w:val="1"/>
    <w:semiHidden/>
    <w:rPr>
      <w:rFonts w:ascii="Arial" w:hAnsi="Arial" w:cs="Arial"/>
      <w:sz w:val="20"/>
      <w:szCs w:val="20"/>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39"/>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39"/>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9"/>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9"/>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Footnote Reference/,Footnote symbol,Odwołanie przypisu,Times 10 Point,Exposant 3 Point,footnote ref,Footnote Reference text,Voetnootverwijzing,FR,Fußnotenzeichen diss neu,number,SUPERS,numb,BVI fnr,Re"/>
    <w:basedOn w:val="DefaultParagraphFont"/>
    <w:link w:val="FootnotesymbolCarZchn"/>
    <w:uiPriority w:val="99"/>
    <w:unhideWhenUsed/>
    <w:qFormat/>
    <w:rPr>
      <w:vertAlign w:val="superscript"/>
    </w:rPr>
  </w:style>
  <w:style w:type="paragraph" w:styleId="TOC3">
    <w:name w:val="toc 3"/>
    <w:basedOn w:val="Normal"/>
    <w:next w:val="Normal"/>
    <w:autoRedefine/>
    <w:uiPriority w:val="39"/>
    <w:unhideWhenUsed/>
    <w:pPr>
      <w:spacing w:after="100"/>
      <w:ind w:left="440"/>
    </w:pPr>
  </w:style>
  <w:style w:type="paragraph" w:customStyle="1" w:styleId="Tiret1">
    <w:name w:val="Tiret 1"/>
    <w:basedOn w:val="Normal"/>
    <w:pPr>
      <w:numPr>
        <w:numId w:val="6"/>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Spacing">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shorttext">
    <w:name w:val="short_text"/>
    <w:basedOn w:val="DefaultParagraphFont"/>
  </w:style>
  <w:style w:type="paragraph" w:styleId="BodyText">
    <w:name w:val="Body Text"/>
    <w:basedOn w:val="Normal"/>
    <w:link w:val="BodyTextChar"/>
    <w:uiPriority w:val="1"/>
    <w:semiHidden/>
    <w:unhideWhenUsed/>
    <w:pPr>
      <w:spacing w:before="120" w:after="120" w:line="240" w:lineRule="atLeast"/>
      <w:ind w:left="851"/>
      <w:jc w:val="both"/>
    </w:pPr>
    <w:rPr>
      <w:rFonts w:ascii="Arial" w:hAnsi="Arial" w:cs="Arial"/>
      <w:sz w:val="20"/>
      <w:szCs w:val="20"/>
      <w:lang w:eastAsia="en-GB"/>
    </w:rPr>
  </w:style>
  <w:style w:type="character" w:customStyle="1" w:styleId="BodyTextChar">
    <w:name w:val="Body Text Char"/>
    <w:basedOn w:val="DefaultParagraphFont"/>
    <w:link w:val="BodyText"/>
    <w:uiPriority w:val="1"/>
    <w:semiHidden/>
    <w:rPr>
      <w:rFonts w:ascii="Arial" w:hAnsi="Arial" w:cs="Arial"/>
      <w:sz w:val="20"/>
      <w:szCs w:val="20"/>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2571">
      <w:bodyDiv w:val="1"/>
      <w:marLeft w:val="0"/>
      <w:marRight w:val="0"/>
      <w:marTop w:val="0"/>
      <w:marBottom w:val="0"/>
      <w:divBdr>
        <w:top w:val="none" w:sz="0" w:space="0" w:color="auto"/>
        <w:left w:val="none" w:sz="0" w:space="0" w:color="auto"/>
        <w:bottom w:val="none" w:sz="0" w:space="0" w:color="auto"/>
        <w:right w:val="none" w:sz="0" w:space="0" w:color="auto"/>
      </w:divBdr>
    </w:div>
    <w:div w:id="96216492">
      <w:bodyDiv w:val="1"/>
      <w:marLeft w:val="0"/>
      <w:marRight w:val="0"/>
      <w:marTop w:val="0"/>
      <w:marBottom w:val="0"/>
      <w:divBdr>
        <w:top w:val="none" w:sz="0" w:space="0" w:color="auto"/>
        <w:left w:val="none" w:sz="0" w:space="0" w:color="auto"/>
        <w:bottom w:val="none" w:sz="0" w:space="0" w:color="auto"/>
        <w:right w:val="none" w:sz="0" w:space="0" w:color="auto"/>
      </w:divBdr>
    </w:div>
    <w:div w:id="214003039">
      <w:bodyDiv w:val="1"/>
      <w:marLeft w:val="0"/>
      <w:marRight w:val="0"/>
      <w:marTop w:val="0"/>
      <w:marBottom w:val="0"/>
      <w:divBdr>
        <w:top w:val="none" w:sz="0" w:space="0" w:color="auto"/>
        <w:left w:val="none" w:sz="0" w:space="0" w:color="auto"/>
        <w:bottom w:val="none" w:sz="0" w:space="0" w:color="auto"/>
        <w:right w:val="none" w:sz="0" w:space="0" w:color="auto"/>
      </w:divBdr>
    </w:div>
    <w:div w:id="291330945">
      <w:bodyDiv w:val="1"/>
      <w:marLeft w:val="0"/>
      <w:marRight w:val="0"/>
      <w:marTop w:val="0"/>
      <w:marBottom w:val="0"/>
      <w:divBdr>
        <w:top w:val="none" w:sz="0" w:space="0" w:color="auto"/>
        <w:left w:val="none" w:sz="0" w:space="0" w:color="auto"/>
        <w:bottom w:val="none" w:sz="0" w:space="0" w:color="auto"/>
        <w:right w:val="none" w:sz="0" w:space="0" w:color="auto"/>
      </w:divBdr>
    </w:div>
    <w:div w:id="308363960">
      <w:bodyDiv w:val="1"/>
      <w:marLeft w:val="0"/>
      <w:marRight w:val="0"/>
      <w:marTop w:val="0"/>
      <w:marBottom w:val="0"/>
      <w:divBdr>
        <w:top w:val="none" w:sz="0" w:space="0" w:color="auto"/>
        <w:left w:val="none" w:sz="0" w:space="0" w:color="auto"/>
        <w:bottom w:val="none" w:sz="0" w:space="0" w:color="auto"/>
        <w:right w:val="none" w:sz="0" w:space="0" w:color="auto"/>
      </w:divBdr>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44333210">
      <w:bodyDiv w:val="1"/>
      <w:marLeft w:val="0"/>
      <w:marRight w:val="0"/>
      <w:marTop w:val="0"/>
      <w:marBottom w:val="0"/>
      <w:divBdr>
        <w:top w:val="none" w:sz="0" w:space="0" w:color="auto"/>
        <w:left w:val="none" w:sz="0" w:space="0" w:color="auto"/>
        <w:bottom w:val="none" w:sz="0" w:space="0" w:color="auto"/>
        <w:right w:val="none" w:sz="0" w:space="0" w:color="auto"/>
      </w:divBdr>
    </w:div>
    <w:div w:id="361518484">
      <w:bodyDiv w:val="1"/>
      <w:marLeft w:val="0"/>
      <w:marRight w:val="0"/>
      <w:marTop w:val="0"/>
      <w:marBottom w:val="0"/>
      <w:divBdr>
        <w:top w:val="none" w:sz="0" w:space="0" w:color="auto"/>
        <w:left w:val="none" w:sz="0" w:space="0" w:color="auto"/>
        <w:bottom w:val="none" w:sz="0" w:space="0" w:color="auto"/>
        <w:right w:val="none" w:sz="0" w:space="0" w:color="auto"/>
      </w:divBdr>
    </w:div>
    <w:div w:id="417557418">
      <w:bodyDiv w:val="1"/>
      <w:marLeft w:val="0"/>
      <w:marRight w:val="0"/>
      <w:marTop w:val="0"/>
      <w:marBottom w:val="0"/>
      <w:divBdr>
        <w:top w:val="none" w:sz="0" w:space="0" w:color="auto"/>
        <w:left w:val="none" w:sz="0" w:space="0" w:color="auto"/>
        <w:bottom w:val="none" w:sz="0" w:space="0" w:color="auto"/>
        <w:right w:val="none" w:sz="0" w:space="0" w:color="auto"/>
      </w:divBdr>
    </w:div>
    <w:div w:id="434516391">
      <w:bodyDiv w:val="1"/>
      <w:marLeft w:val="0"/>
      <w:marRight w:val="0"/>
      <w:marTop w:val="0"/>
      <w:marBottom w:val="0"/>
      <w:divBdr>
        <w:top w:val="none" w:sz="0" w:space="0" w:color="auto"/>
        <w:left w:val="none" w:sz="0" w:space="0" w:color="auto"/>
        <w:bottom w:val="none" w:sz="0" w:space="0" w:color="auto"/>
        <w:right w:val="none" w:sz="0" w:space="0" w:color="auto"/>
      </w:divBdr>
    </w:div>
    <w:div w:id="482966632">
      <w:bodyDiv w:val="1"/>
      <w:marLeft w:val="0"/>
      <w:marRight w:val="0"/>
      <w:marTop w:val="0"/>
      <w:marBottom w:val="0"/>
      <w:divBdr>
        <w:top w:val="none" w:sz="0" w:space="0" w:color="auto"/>
        <w:left w:val="none" w:sz="0" w:space="0" w:color="auto"/>
        <w:bottom w:val="none" w:sz="0" w:space="0" w:color="auto"/>
        <w:right w:val="none" w:sz="0" w:space="0" w:color="auto"/>
      </w:divBdr>
    </w:div>
    <w:div w:id="498039159">
      <w:bodyDiv w:val="1"/>
      <w:marLeft w:val="0"/>
      <w:marRight w:val="0"/>
      <w:marTop w:val="0"/>
      <w:marBottom w:val="0"/>
      <w:divBdr>
        <w:top w:val="none" w:sz="0" w:space="0" w:color="auto"/>
        <w:left w:val="none" w:sz="0" w:space="0" w:color="auto"/>
        <w:bottom w:val="none" w:sz="0" w:space="0" w:color="auto"/>
        <w:right w:val="none" w:sz="0" w:space="0" w:color="auto"/>
      </w:divBdr>
    </w:div>
    <w:div w:id="509024113">
      <w:bodyDiv w:val="1"/>
      <w:marLeft w:val="0"/>
      <w:marRight w:val="0"/>
      <w:marTop w:val="0"/>
      <w:marBottom w:val="0"/>
      <w:divBdr>
        <w:top w:val="none" w:sz="0" w:space="0" w:color="auto"/>
        <w:left w:val="none" w:sz="0" w:space="0" w:color="auto"/>
        <w:bottom w:val="none" w:sz="0" w:space="0" w:color="auto"/>
        <w:right w:val="none" w:sz="0" w:space="0" w:color="auto"/>
      </w:divBdr>
    </w:div>
    <w:div w:id="520243013">
      <w:bodyDiv w:val="1"/>
      <w:marLeft w:val="0"/>
      <w:marRight w:val="0"/>
      <w:marTop w:val="0"/>
      <w:marBottom w:val="0"/>
      <w:divBdr>
        <w:top w:val="none" w:sz="0" w:space="0" w:color="auto"/>
        <w:left w:val="none" w:sz="0" w:space="0" w:color="auto"/>
        <w:bottom w:val="none" w:sz="0" w:space="0" w:color="auto"/>
        <w:right w:val="none" w:sz="0" w:space="0" w:color="auto"/>
      </w:divBdr>
    </w:div>
    <w:div w:id="569386380">
      <w:bodyDiv w:val="1"/>
      <w:marLeft w:val="0"/>
      <w:marRight w:val="0"/>
      <w:marTop w:val="0"/>
      <w:marBottom w:val="0"/>
      <w:divBdr>
        <w:top w:val="none" w:sz="0" w:space="0" w:color="auto"/>
        <w:left w:val="none" w:sz="0" w:space="0" w:color="auto"/>
        <w:bottom w:val="none" w:sz="0" w:space="0" w:color="auto"/>
        <w:right w:val="none" w:sz="0" w:space="0" w:color="auto"/>
      </w:divBdr>
    </w:div>
    <w:div w:id="593131670">
      <w:bodyDiv w:val="1"/>
      <w:marLeft w:val="0"/>
      <w:marRight w:val="0"/>
      <w:marTop w:val="0"/>
      <w:marBottom w:val="0"/>
      <w:divBdr>
        <w:top w:val="none" w:sz="0" w:space="0" w:color="auto"/>
        <w:left w:val="none" w:sz="0" w:space="0" w:color="auto"/>
        <w:bottom w:val="none" w:sz="0" w:space="0" w:color="auto"/>
        <w:right w:val="none" w:sz="0" w:space="0" w:color="auto"/>
      </w:divBdr>
    </w:div>
    <w:div w:id="598610276">
      <w:bodyDiv w:val="1"/>
      <w:marLeft w:val="0"/>
      <w:marRight w:val="0"/>
      <w:marTop w:val="0"/>
      <w:marBottom w:val="0"/>
      <w:divBdr>
        <w:top w:val="none" w:sz="0" w:space="0" w:color="auto"/>
        <w:left w:val="none" w:sz="0" w:space="0" w:color="auto"/>
        <w:bottom w:val="none" w:sz="0" w:space="0" w:color="auto"/>
        <w:right w:val="none" w:sz="0" w:space="0" w:color="auto"/>
      </w:divBdr>
    </w:div>
    <w:div w:id="602149755">
      <w:bodyDiv w:val="1"/>
      <w:marLeft w:val="0"/>
      <w:marRight w:val="0"/>
      <w:marTop w:val="0"/>
      <w:marBottom w:val="0"/>
      <w:divBdr>
        <w:top w:val="none" w:sz="0" w:space="0" w:color="auto"/>
        <w:left w:val="none" w:sz="0" w:space="0" w:color="auto"/>
        <w:bottom w:val="none" w:sz="0" w:space="0" w:color="auto"/>
        <w:right w:val="none" w:sz="0" w:space="0" w:color="auto"/>
      </w:divBdr>
    </w:div>
    <w:div w:id="701251344">
      <w:bodyDiv w:val="1"/>
      <w:marLeft w:val="0"/>
      <w:marRight w:val="0"/>
      <w:marTop w:val="0"/>
      <w:marBottom w:val="0"/>
      <w:divBdr>
        <w:top w:val="none" w:sz="0" w:space="0" w:color="auto"/>
        <w:left w:val="none" w:sz="0" w:space="0" w:color="auto"/>
        <w:bottom w:val="none" w:sz="0" w:space="0" w:color="auto"/>
        <w:right w:val="none" w:sz="0" w:space="0" w:color="auto"/>
      </w:divBdr>
    </w:div>
    <w:div w:id="722828502">
      <w:bodyDiv w:val="1"/>
      <w:marLeft w:val="0"/>
      <w:marRight w:val="0"/>
      <w:marTop w:val="0"/>
      <w:marBottom w:val="0"/>
      <w:divBdr>
        <w:top w:val="none" w:sz="0" w:space="0" w:color="auto"/>
        <w:left w:val="none" w:sz="0" w:space="0" w:color="auto"/>
        <w:bottom w:val="none" w:sz="0" w:space="0" w:color="auto"/>
        <w:right w:val="none" w:sz="0" w:space="0" w:color="auto"/>
      </w:divBdr>
    </w:div>
    <w:div w:id="760489003">
      <w:bodyDiv w:val="1"/>
      <w:marLeft w:val="0"/>
      <w:marRight w:val="0"/>
      <w:marTop w:val="0"/>
      <w:marBottom w:val="0"/>
      <w:divBdr>
        <w:top w:val="none" w:sz="0" w:space="0" w:color="auto"/>
        <w:left w:val="none" w:sz="0" w:space="0" w:color="auto"/>
        <w:bottom w:val="none" w:sz="0" w:space="0" w:color="auto"/>
        <w:right w:val="none" w:sz="0" w:space="0" w:color="auto"/>
      </w:divBdr>
    </w:div>
    <w:div w:id="881131973">
      <w:bodyDiv w:val="1"/>
      <w:marLeft w:val="0"/>
      <w:marRight w:val="0"/>
      <w:marTop w:val="0"/>
      <w:marBottom w:val="0"/>
      <w:divBdr>
        <w:top w:val="none" w:sz="0" w:space="0" w:color="auto"/>
        <w:left w:val="none" w:sz="0" w:space="0" w:color="auto"/>
        <w:bottom w:val="none" w:sz="0" w:space="0" w:color="auto"/>
        <w:right w:val="none" w:sz="0" w:space="0" w:color="auto"/>
      </w:divBdr>
    </w:div>
    <w:div w:id="972058816">
      <w:bodyDiv w:val="1"/>
      <w:marLeft w:val="0"/>
      <w:marRight w:val="0"/>
      <w:marTop w:val="0"/>
      <w:marBottom w:val="0"/>
      <w:divBdr>
        <w:top w:val="none" w:sz="0" w:space="0" w:color="auto"/>
        <w:left w:val="none" w:sz="0" w:space="0" w:color="auto"/>
        <w:bottom w:val="none" w:sz="0" w:space="0" w:color="auto"/>
        <w:right w:val="none" w:sz="0" w:space="0" w:color="auto"/>
      </w:divBdr>
    </w:div>
    <w:div w:id="1014840002">
      <w:bodyDiv w:val="1"/>
      <w:marLeft w:val="0"/>
      <w:marRight w:val="0"/>
      <w:marTop w:val="0"/>
      <w:marBottom w:val="0"/>
      <w:divBdr>
        <w:top w:val="none" w:sz="0" w:space="0" w:color="auto"/>
        <w:left w:val="none" w:sz="0" w:space="0" w:color="auto"/>
        <w:bottom w:val="none" w:sz="0" w:space="0" w:color="auto"/>
        <w:right w:val="none" w:sz="0" w:space="0" w:color="auto"/>
      </w:divBdr>
    </w:div>
    <w:div w:id="1044718945">
      <w:bodyDiv w:val="1"/>
      <w:marLeft w:val="0"/>
      <w:marRight w:val="0"/>
      <w:marTop w:val="0"/>
      <w:marBottom w:val="0"/>
      <w:divBdr>
        <w:top w:val="none" w:sz="0" w:space="0" w:color="auto"/>
        <w:left w:val="none" w:sz="0" w:space="0" w:color="auto"/>
        <w:bottom w:val="none" w:sz="0" w:space="0" w:color="auto"/>
        <w:right w:val="none" w:sz="0" w:space="0" w:color="auto"/>
      </w:divBdr>
    </w:div>
    <w:div w:id="1138259870">
      <w:bodyDiv w:val="1"/>
      <w:marLeft w:val="0"/>
      <w:marRight w:val="0"/>
      <w:marTop w:val="0"/>
      <w:marBottom w:val="0"/>
      <w:divBdr>
        <w:top w:val="none" w:sz="0" w:space="0" w:color="auto"/>
        <w:left w:val="none" w:sz="0" w:space="0" w:color="auto"/>
        <w:bottom w:val="none" w:sz="0" w:space="0" w:color="auto"/>
        <w:right w:val="none" w:sz="0" w:space="0" w:color="auto"/>
      </w:divBdr>
    </w:div>
    <w:div w:id="1146972121">
      <w:bodyDiv w:val="1"/>
      <w:marLeft w:val="0"/>
      <w:marRight w:val="0"/>
      <w:marTop w:val="0"/>
      <w:marBottom w:val="0"/>
      <w:divBdr>
        <w:top w:val="none" w:sz="0" w:space="0" w:color="auto"/>
        <w:left w:val="none" w:sz="0" w:space="0" w:color="auto"/>
        <w:bottom w:val="none" w:sz="0" w:space="0" w:color="auto"/>
        <w:right w:val="none" w:sz="0" w:space="0" w:color="auto"/>
      </w:divBdr>
    </w:div>
    <w:div w:id="1153109917">
      <w:bodyDiv w:val="1"/>
      <w:marLeft w:val="0"/>
      <w:marRight w:val="0"/>
      <w:marTop w:val="0"/>
      <w:marBottom w:val="0"/>
      <w:divBdr>
        <w:top w:val="none" w:sz="0" w:space="0" w:color="auto"/>
        <w:left w:val="none" w:sz="0" w:space="0" w:color="auto"/>
        <w:bottom w:val="none" w:sz="0" w:space="0" w:color="auto"/>
        <w:right w:val="none" w:sz="0" w:space="0" w:color="auto"/>
      </w:divBdr>
    </w:div>
    <w:div w:id="1191652236">
      <w:bodyDiv w:val="1"/>
      <w:marLeft w:val="0"/>
      <w:marRight w:val="0"/>
      <w:marTop w:val="0"/>
      <w:marBottom w:val="0"/>
      <w:divBdr>
        <w:top w:val="none" w:sz="0" w:space="0" w:color="auto"/>
        <w:left w:val="none" w:sz="0" w:space="0" w:color="auto"/>
        <w:bottom w:val="none" w:sz="0" w:space="0" w:color="auto"/>
        <w:right w:val="none" w:sz="0" w:space="0" w:color="auto"/>
      </w:divBdr>
    </w:div>
    <w:div w:id="1235628776">
      <w:bodyDiv w:val="1"/>
      <w:marLeft w:val="0"/>
      <w:marRight w:val="0"/>
      <w:marTop w:val="0"/>
      <w:marBottom w:val="0"/>
      <w:divBdr>
        <w:top w:val="none" w:sz="0" w:space="0" w:color="auto"/>
        <w:left w:val="none" w:sz="0" w:space="0" w:color="auto"/>
        <w:bottom w:val="none" w:sz="0" w:space="0" w:color="auto"/>
        <w:right w:val="none" w:sz="0" w:space="0" w:color="auto"/>
      </w:divBdr>
    </w:div>
    <w:div w:id="1296254821">
      <w:bodyDiv w:val="1"/>
      <w:marLeft w:val="0"/>
      <w:marRight w:val="0"/>
      <w:marTop w:val="0"/>
      <w:marBottom w:val="0"/>
      <w:divBdr>
        <w:top w:val="none" w:sz="0" w:space="0" w:color="auto"/>
        <w:left w:val="none" w:sz="0" w:space="0" w:color="auto"/>
        <w:bottom w:val="none" w:sz="0" w:space="0" w:color="auto"/>
        <w:right w:val="none" w:sz="0" w:space="0" w:color="auto"/>
      </w:divBdr>
    </w:div>
    <w:div w:id="1354962927">
      <w:bodyDiv w:val="1"/>
      <w:marLeft w:val="0"/>
      <w:marRight w:val="0"/>
      <w:marTop w:val="0"/>
      <w:marBottom w:val="0"/>
      <w:divBdr>
        <w:top w:val="none" w:sz="0" w:space="0" w:color="auto"/>
        <w:left w:val="none" w:sz="0" w:space="0" w:color="auto"/>
        <w:bottom w:val="none" w:sz="0" w:space="0" w:color="auto"/>
        <w:right w:val="none" w:sz="0" w:space="0" w:color="auto"/>
      </w:divBdr>
    </w:div>
    <w:div w:id="1451971415">
      <w:bodyDiv w:val="1"/>
      <w:marLeft w:val="0"/>
      <w:marRight w:val="0"/>
      <w:marTop w:val="0"/>
      <w:marBottom w:val="0"/>
      <w:divBdr>
        <w:top w:val="none" w:sz="0" w:space="0" w:color="auto"/>
        <w:left w:val="none" w:sz="0" w:space="0" w:color="auto"/>
        <w:bottom w:val="none" w:sz="0" w:space="0" w:color="auto"/>
        <w:right w:val="none" w:sz="0" w:space="0" w:color="auto"/>
      </w:divBdr>
    </w:div>
    <w:div w:id="1468862803">
      <w:bodyDiv w:val="1"/>
      <w:marLeft w:val="0"/>
      <w:marRight w:val="0"/>
      <w:marTop w:val="0"/>
      <w:marBottom w:val="0"/>
      <w:divBdr>
        <w:top w:val="none" w:sz="0" w:space="0" w:color="auto"/>
        <w:left w:val="none" w:sz="0" w:space="0" w:color="auto"/>
        <w:bottom w:val="none" w:sz="0" w:space="0" w:color="auto"/>
        <w:right w:val="none" w:sz="0" w:space="0" w:color="auto"/>
      </w:divBdr>
    </w:div>
    <w:div w:id="1563633234">
      <w:bodyDiv w:val="1"/>
      <w:marLeft w:val="0"/>
      <w:marRight w:val="0"/>
      <w:marTop w:val="0"/>
      <w:marBottom w:val="0"/>
      <w:divBdr>
        <w:top w:val="none" w:sz="0" w:space="0" w:color="auto"/>
        <w:left w:val="none" w:sz="0" w:space="0" w:color="auto"/>
        <w:bottom w:val="none" w:sz="0" w:space="0" w:color="auto"/>
        <w:right w:val="none" w:sz="0" w:space="0" w:color="auto"/>
      </w:divBdr>
    </w:div>
    <w:div w:id="1748072558">
      <w:bodyDiv w:val="1"/>
      <w:marLeft w:val="0"/>
      <w:marRight w:val="0"/>
      <w:marTop w:val="0"/>
      <w:marBottom w:val="0"/>
      <w:divBdr>
        <w:top w:val="none" w:sz="0" w:space="0" w:color="auto"/>
        <w:left w:val="none" w:sz="0" w:space="0" w:color="auto"/>
        <w:bottom w:val="none" w:sz="0" w:space="0" w:color="auto"/>
        <w:right w:val="none" w:sz="0" w:space="0" w:color="auto"/>
      </w:divBdr>
    </w:div>
    <w:div w:id="1844052493">
      <w:bodyDiv w:val="1"/>
      <w:marLeft w:val="0"/>
      <w:marRight w:val="0"/>
      <w:marTop w:val="0"/>
      <w:marBottom w:val="0"/>
      <w:divBdr>
        <w:top w:val="none" w:sz="0" w:space="0" w:color="auto"/>
        <w:left w:val="none" w:sz="0" w:space="0" w:color="auto"/>
        <w:bottom w:val="none" w:sz="0" w:space="0" w:color="auto"/>
        <w:right w:val="none" w:sz="0" w:space="0" w:color="auto"/>
      </w:divBdr>
    </w:div>
    <w:div w:id="1852913436">
      <w:bodyDiv w:val="1"/>
      <w:marLeft w:val="0"/>
      <w:marRight w:val="0"/>
      <w:marTop w:val="0"/>
      <w:marBottom w:val="0"/>
      <w:divBdr>
        <w:top w:val="none" w:sz="0" w:space="0" w:color="auto"/>
        <w:left w:val="none" w:sz="0" w:space="0" w:color="auto"/>
        <w:bottom w:val="none" w:sz="0" w:space="0" w:color="auto"/>
        <w:right w:val="none" w:sz="0" w:space="0" w:color="auto"/>
      </w:divBdr>
    </w:div>
    <w:div w:id="1957524788">
      <w:bodyDiv w:val="1"/>
      <w:marLeft w:val="0"/>
      <w:marRight w:val="0"/>
      <w:marTop w:val="0"/>
      <w:marBottom w:val="0"/>
      <w:divBdr>
        <w:top w:val="none" w:sz="0" w:space="0" w:color="auto"/>
        <w:left w:val="none" w:sz="0" w:space="0" w:color="auto"/>
        <w:bottom w:val="none" w:sz="0" w:space="0" w:color="auto"/>
        <w:right w:val="none" w:sz="0" w:space="0" w:color="auto"/>
      </w:divBdr>
    </w:div>
    <w:div w:id="2045589693">
      <w:bodyDiv w:val="1"/>
      <w:marLeft w:val="0"/>
      <w:marRight w:val="0"/>
      <w:marTop w:val="0"/>
      <w:marBottom w:val="0"/>
      <w:divBdr>
        <w:top w:val="none" w:sz="0" w:space="0" w:color="auto"/>
        <w:left w:val="none" w:sz="0" w:space="0" w:color="auto"/>
        <w:bottom w:val="none" w:sz="0" w:space="0" w:color="auto"/>
        <w:right w:val="none" w:sz="0" w:space="0" w:color="auto"/>
      </w:divBdr>
    </w:div>
    <w:div w:id="2075273097">
      <w:bodyDiv w:val="1"/>
      <w:marLeft w:val="0"/>
      <w:marRight w:val="0"/>
      <w:marTop w:val="0"/>
      <w:marBottom w:val="0"/>
      <w:divBdr>
        <w:top w:val="none" w:sz="0" w:space="0" w:color="auto"/>
        <w:left w:val="none" w:sz="0" w:space="0" w:color="auto"/>
        <w:bottom w:val="none" w:sz="0" w:space="0" w:color="auto"/>
        <w:right w:val="none" w:sz="0" w:space="0" w:color="auto"/>
      </w:divBdr>
    </w:div>
    <w:div w:id="2106610402">
      <w:bodyDiv w:val="1"/>
      <w:marLeft w:val="0"/>
      <w:marRight w:val="0"/>
      <w:marTop w:val="0"/>
      <w:marBottom w:val="0"/>
      <w:divBdr>
        <w:top w:val="none" w:sz="0" w:space="0" w:color="auto"/>
        <w:left w:val="none" w:sz="0" w:space="0" w:color="auto"/>
        <w:bottom w:val="none" w:sz="0" w:space="0" w:color="auto"/>
        <w:right w:val="none" w:sz="0" w:space="0" w:color="auto"/>
      </w:divBdr>
    </w:div>
    <w:div w:id="2115594654">
      <w:bodyDiv w:val="1"/>
      <w:marLeft w:val="0"/>
      <w:marRight w:val="0"/>
      <w:marTop w:val="0"/>
      <w:marBottom w:val="0"/>
      <w:divBdr>
        <w:top w:val="none" w:sz="0" w:space="0" w:color="auto"/>
        <w:left w:val="none" w:sz="0" w:space="0" w:color="auto"/>
        <w:bottom w:val="none" w:sz="0" w:space="0" w:color="auto"/>
        <w:right w:val="none" w:sz="0" w:space="0" w:color="auto"/>
      </w:divBdr>
    </w:div>
    <w:div w:id="2120291214">
      <w:bodyDiv w:val="1"/>
      <w:marLeft w:val="0"/>
      <w:marRight w:val="0"/>
      <w:marTop w:val="0"/>
      <w:marBottom w:val="0"/>
      <w:divBdr>
        <w:top w:val="none" w:sz="0" w:space="0" w:color="auto"/>
        <w:left w:val="none" w:sz="0" w:space="0" w:color="auto"/>
        <w:bottom w:val="none" w:sz="0" w:space="0" w:color="auto"/>
        <w:right w:val="none" w:sz="0" w:space="0" w:color="auto"/>
      </w:divBdr>
    </w:div>
    <w:div w:id="21246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hart" Target="charts/chart5.xml"/><Relationship Id="rId39" Type="http://schemas.openxmlformats.org/officeDocument/2006/relationships/footer" Target="footer10.xml"/><Relationship Id="rId21" Type="http://schemas.openxmlformats.org/officeDocument/2006/relationships/footer" Target="footer6.xml"/><Relationship Id="rId34" Type="http://schemas.openxmlformats.org/officeDocument/2006/relationships/header" Target="header9.xml"/><Relationship Id="rId42" Type="http://schemas.openxmlformats.org/officeDocument/2006/relationships/footer" Target="footer12.xml"/><Relationship Id="rId47" Type="http://schemas.openxmlformats.org/officeDocument/2006/relationships/footer" Target="footer14.xml"/><Relationship Id="rId50" Type="http://schemas.openxmlformats.org/officeDocument/2006/relationships/chart" Target="charts/chart10.xml"/><Relationship Id="rId55"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hart" Target="charts/chart4.xml"/><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8.xml"/><Relationship Id="rId41" Type="http://schemas.openxmlformats.org/officeDocument/2006/relationships/header" Target="header12.xml"/><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footer" Target="footer7.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header" Target="header14.xml"/><Relationship Id="rId53" Type="http://schemas.openxmlformats.org/officeDocument/2006/relationships/footer" Target="footer16.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9.xml"/><Relationship Id="rId49" Type="http://schemas.openxmlformats.org/officeDocument/2006/relationships/footer" Target="footer15.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header" Target="header13.xml"/><Relationship Id="rId52"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image" Target="media/image2.emf"/><Relationship Id="rId48" Type="http://schemas.openxmlformats.org/officeDocument/2006/relationships/header" Target="header15.xml"/><Relationship Id="rId56"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data.worldbank.org/indicator/NY.GDP.PCAP.PP.CD" TargetMode="External"/><Relationship Id="rId3" Type="http://schemas.openxmlformats.org/officeDocument/2006/relationships/hyperlink" Target="https://www.wttc.org/research/economic-research/economic-impact-analysis/" TargetMode="External"/><Relationship Id="rId7" Type="http://schemas.openxmlformats.org/officeDocument/2006/relationships/hyperlink" Target="https://data.worldbank.org/indicator/NY.GDP.PCAP.PP.CD" TargetMode="External"/><Relationship Id="rId2" Type="http://schemas.openxmlformats.org/officeDocument/2006/relationships/hyperlink" Target="http://www.etoa.org/docs/default-source/Reports/ETOA-reports/2010-etoa-origin-markets-report.pdf?sfvrsn=2" TargetMode="External"/><Relationship Id="rId1" Type="http://schemas.openxmlformats.org/officeDocument/2006/relationships/hyperlink" Target="https://ec.europa.eu/growth/content/study-economic-impact-short-stay-visa-facilitation-tourism-industry-0_en" TargetMode="External"/><Relationship Id="rId6" Type="http://schemas.openxmlformats.org/officeDocument/2006/relationships/hyperlink" Target="https://www.e-unwto.org/doi/book/10.18111/9789284419029" TargetMode="External"/><Relationship Id="rId11" Type="http://schemas.openxmlformats.org/officeDocument/2006/relationships/hyperlink" Target="http://www.etc-corporate.org/reports/european-tourism-2017-trends-and-prospects-(q3-2017)" TargetMode="External"/><Relationship Id="rId5" Type="http://schemas.openxmlformats.org/officeDocument/2006/relationships/hyperlink" Target="https://ec.europa.eu/info/law/law-making-process/evaluating-and-improving-existing-laws/refit-making-eu-law-simpler-and-less-costly_en" TargetMode="External"/><Relationship Id="rId10" Type="http://schemas.openxmlformats.org/officeDocument/2006/relationships/hyperlink" Target="http://media.unwto.org/press-release/2017-04-12/chinese-tourists-spent-12-more-travelling-abroad-2016" TargetMode="External"/><Relationship Id="rId4" Type="http://schemas.openxmlformats.org/officeDocument/2006/relationships/hyperlink" Target="http://ec.europa.eu/eurostat/tgm/table.do?tab=table&amp;init=1&amp;language=en&amp;pcode=tec00118&amp;plugin=1" TargetMode="External"/><Relationship Id="rId9" Type="http://schemas.openxmlformats.org/officeDocument/2006/relationships/hyperlink" Target="https://www.wttc.org/research/economic-research/economic-impact-analysi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net1.cec.eu.int\Homes\115\SABAKJA\Tourism%20-%20total.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Homes\112\WERNEAS\My%20Documents\20180118%20Visa%20stats%20-%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et1.cec.eu.int\Homes\112\WERNEAS\My%20Documents\20180118%20Visa%20stats%20-%20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et1.cec.eu.int\Homes\112\WERNEAS\My%20Documents\20180118%20Visa%20stats%20-%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et1.cec.eu.int\Homes\112\WERNEAS\My%20Documents\20180118%20Visa%20stats%20-%20da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net1.cec.eu.int\Homes\115\SABAKJA\GDP.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What is your most frequent purpose of travel to the EU? (n=422)</a:t>
            </a:r>
          </a:p>
        </c:rich>
      </c:tx>
      <c:overlay val="0"/>
    </c:title>
    <c:autoTitleDeleted val="0"/>
    <c:plotArea>
      <c:layout/>
      <c:pieChart>
        <c:varyColors val="1"/>
        <c:ser>
          <c:idx val="0"/>
          <c:order val="0"/>
          <c:dLbls>
            <c:txPr>
              <a:bodyPr/>
              <a:lstStyle/>
              <a:p>
                <a:pPr>
                  <a:defRPr sz="1000"/>
                </a:pPr>
                <a:endParaRPr lang="en-US"/>
              </a:p>
            </c:txPr>
            <c:dLblPos val="inEnd"/>
            <c:showLegendKey val="0"/>
            <c:showVal val="1"/>
            <c:showCatName val="0"/>
            <c:showSerName val="0"/>
            <c:showPercent val="0"/>
            <c:showBubbleSize val="0"/>
            <c:showLeaderLines val="1"/>
          </c:dLbls>
          <c:cat>
            <c:strRef>
              <c:f>Sheet1!$A$2:$A$7</c:f>
              <c:strCache>
                <c:ptCount val="6"/>
                <c:pt idx="0">
                  <c:v>Tourism</c:v>
                </c:pt>
                <c:pt idx="1">
                  <c:v>Business/professional</c:v>
                </c:pt>
                <c:pt idx="2">
                  <c:v>Political, scientific, cultural, sports, religious event</c:v>
                </c:pt>
                <c:pt idx="3">
                  <c:v>Short-term internship/exchange programme</c:v>
                </c:pt>
                <c:pt idx="4">
                  <c:v>Family visit</c:v>
                </c:pt>
                <c:pt idx="5">
                  <c:v>Other</c:v>
                </c:pt>
              </c:strCache>
            </c:strRef>
          </c:cat>
          <c:val>
            <c:numRef>
              <c:f>Sheet1!$B$2:$B$7</c:f>
              <c:numCache>
                <c:formatCode>0%</c:formatCode>
                <c:ptCount val="6"/>
                <c:pt idx="0">
                  <c:v>0.43</c:v>
                </c:pt>
                <c:pt idx="1">
                  <c:v>0.21</c:v>
                </c:pt>
                <c:pt idx="2">
                  <c:v>0.16</c:v>
                </c:pt>
                <c:pt idx="3">
                  <c:v>0.11</c:v>
                </c:pt>
                <c:pt idx="4">
                  <c:v>0.05</c:v>
                </c:pt>
                <c:pt idx="5">
                  <c:v>0.04</c:v>
                </c:pt>
              </c:numCache>
            </c:numRef>
          </c:val>
        </c:ser>
        <c:dLbls>
          <c:dLblPos val="inEnd"/>
          <c:showLegendKey val="0"/>
          <c:showVal val="1"/>
          <c:showCatName val="0"/>
          <c:showSerName val="0"/>
          <c:showPercent val="0"/>
          <c:showBubbleSize val="0"/>
          <c:showLeaderLines val="1"/>
        </c:dLbls>
        <c:firstSliceAng val="0"/>
      </c:pieChart>
    </c:plotArea>
    <c:legend>
      <c:legendPos val="r"/>
      <c:layout>
        <c:manualLayout>
          <c:xMode val="edge"/>
          <c:yMode val="edge"/>
          <c:x val="0.64161029133062242"/>
          <c:y val="0.23618911703770559"/>
          <c:w val="0.330524302967172"/>
          <c:h val="0.61675099099683939"/>
        </c:manualLayout>
      </c:layout>
      <c:overlay val="0"/>
      <c:txPr>
        <a:bodyPr/>
        <a:lstStyle/>
        <a:p>
          <a:pPr>
            <a:defRPr sz="1000"/>
          </a:pPr>
          <a:endParaRPr lang="en-US"/>
        </a:p>
      </c:txPr>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sz="1100">
                <a:latin typeface="Times New Roman" panose="02020603050405020304" pitchFamily="18" charset="0"/>
                <a:cs typeface="Times New Roman" panose="02020603050405020304" pitchFamily="18" charset="0"/>
              </a:rPr>
              <a:t>Increase</a:t>
            </a:r>
            <a:r>
              <a:rPr lang="en-GB" sz="1100" baseline="0">
                <a:latin typeface="Times New Roman" panose="02020603050405020304" pitchFamily="18" charset="0"/>
                <a:cs typeface="Times New Roman" panose="02020603050405020304" pitchFamily="18" charset="0"/>
              </a:rPr>
              <a:t> of v</a:t>
            </a:r>
            <a:r>
              <a:rPr lang="en-GB" sz="1100">
                <a:latin typeface="Times New Roman" panose="02020603050405020304" pitchFamily="18" charset="0"/>
                <a:cs typeface="Times New Roman" panose="02020603050405020304" pitchFamily="18" charset="0"/>
              </a:rPr>
              <a:t>isa-required/all travellers' arrivals at tourist accommodation</a:t>
            </a:r>
            <a:r>
              <a:rPr lang="en-GB" sz="1100" baseline="0">
                <a:latin typeface="Times New Roman" panose="02020603050405020304" pitchFamily="18" charset="0"/>
                <a:cs typeface="Times New Roman" panose="02020603050405020304" pitchFamily="18" charset="0"/>
              </a:rPr>
              <a:t>s</a:t>
            </a:r>
            <a:endParaRPr lang="en-GB" sz="1100">
              <a:latin typeface="Times New Roman" panose="02020603050405020304" pitchFamily="18" charset="0"/>
              <a:cs typeface="Times New Roman" panose="02020603050405020304" pitchFamily="18" charset="0"/>
            </a:endParaRPr>
          </a:p>
        </c:rich>
      </c:tx>
      <c:layout>
        <c:manualLayout>
          <c:xMode val="edge"/>
          <c:yMode val="edge"/>
          <c:x val="0.11769225897701126"/>
          <c:y val="2.2211743030728402E-2"/>
        </c:manualLayout>
      </c:layout>
      <c:overlay val="0"/>
    </c:title>
    <c:autoTitleDeleted val="0"/>
    <c:plotArea>
      <c:layout>
        <c:manualLayout>
          <c:layoutTarget val="inner"/>
          <c:xMode val="edge"/>
          <c:yMode val="edge"/>
          <c:x val="0.10839601110023224"/>
          <c:y val="0.15352662862344135"/>
          <c:w val="0.8237714618009736"/>
          <c:h val="0.6097173537360614"/>
        </c:manualLayout>
      </c:layout>
      <c:lineChart>
        <c:grouping val="standard"/>
        <c:varyColors val="0"/>
        <c:ser>
          <c:idx val="0"/>
          <c:order val="0"/>
          <c:tx>
            <c:strRef>
              <c:f>Total!$B$31</c:f>
              <c:strCache>
                <c:ptCount val="1"/>
                <c:pt idx="0">
                  <c:v>Visa required travellers</c:v>
                </c:pt>
              </c:strCache>
            </c:strRef>
          </c:tx>
          <c:marker>
            <c:symbol val="none"/>
          </c:marker>
          <c:cat>
            <c:strRef>
              <c:f>Total!$F$4:$M$4</c:f>
              <c:strCache>
                <c:ptCount val="8"/>
                <c:pt idx="0">
                  <c:v>2009</c:v>
                </c:pt>
                <c:pt idx="1">
                  <c:v>2010</c:v>
                </c:pt>
                <c:pt idx="2">
                  <c:v>2011</c:v>
                </c:pt>
                <c:pt idx="3">
                  <c:v>2012</c:v>
                </c:pt>
                <c:pt idx="4">
                  <c:v>2013</c:v>
                </c:pt>
                <c:pt idx="5">
                  <c:v>2014</c:v>
                </c:pt>
                <c:pt idx="6">
                  <c:v>2015</c:v>
                </c:pt>
                <c:pt idx="7">
                  <c:v>2016</c:v>
                </c:pt>
              </c:strCache>
            </c:strRef>
          </c:cat>
          <c:val>
            <c:numRef>
              <c:f>Total!$F$34:$M$34</c:f>
              <c:numCache>
                <c:formatCode>0%</c:formatCode>
                <c:ptCount val="8"/>
                <c:pt idx="0">
                  <c:v>0</c:v>
                </c:pt>
                <c:pt idx="1">
                  <c:v>0.25274491868037829</c:v>
                </c:pt>
                <c:pt idx="2">
                  <c:v>0.58903524197009394</c:v>
                </c:pt>
                <c:pt idx="3">
                  <c:v>0.96676524559383004</c:v>
                </c:pt>
                <c:pt idx="4">
                  <c:v>1.2911337083099528</c:v>
                </c:pt>
                <c:pt idx="5">
                  <c:v>1.3869901859316056</c:v>
                </c:pt>
                <c:pt idx="6">
                  <c:v>1.5687720594438002</c:v>
                </c:pt>
                <c:pt idx="7">
                  <c:v>1.7478885618499205</c:v>
                </c:pt>
              </c:numCache>
            </c:numRef>
          </c:val>
          <c:smooth val="0"/>
        </c:ser>
        <c:ser>
          <c:idx val="1"/>
          <c:order val="1"/>
          <c:tx>
            <c:strRef>
              <c:f>Total!$B$32</c:f>
              <c:strCache>
                <c:ptCount val="1"/>
                <c:pt idx="0">
                  <c:v>All travellers</c:v>
                </c:pt>
              </c:strCache>
            </c:strRef>
          </c:tx>
          <c:marker>
            <c:symbol val="none"/>
          </c:marker>
          <c:cat>
            <c:strRef>
              <c:f>Total!$F$4:$M$4</c:f>
              <c:strCache>
                <c:ptCount val="8"/>
                <c:pt idx="0">
                  <c:v>2009</c:v>
                </c:pt>
                <c:pt idx="1">
                  <c:v>2010</c:v>
                </c:pt>
                <c:pt idx="2">
                  <c:v>2011</c:v>
                </c:pt>
                <c:pt idx="3">
                  <c:v>2012</c:v>
                </c:pt>
                <c:pt idx="4">
                  <c:v>2013</c:v>
                </c:pt>
                <c:pt idx="5">
                  <c:v>2014</c:v>
                </c:pt>
                <c:pt idx="6">
                  <c:v>2015</c:v>
                </c:pt>
                <c:pt idx="7">
                  <c:v>2016</c:v>
                </c:pt>
              </c:strCache>
            </c:strRef>
          </c:cat>
          <c:val>
            <c:numRef>
              <c:f>Total!$F$35:$M$35</c:f>
              <c:numCache>
                <c:formatCode>0%</c:formatCode>
                <c:ptCount val="8"/>
                <c:pt idx="0">
                  <c:v>0</c:v>
                </c:pt>
                <c:pt idx="1">
                  <c:v>3.7480264505090011E-2</c:v>
                </c:pt>
                <c:pt idx="2">
                  <c:v>0.11537470048275655</c:v>
                </c:pt>
                <c:pt idx="3">
                  <c:v>0.15782886554306752</c:v>
                </c:pt>
                <c:pt idx="4">
                  <c:v>0.18804531291297599</c:v>
                </c:pt>
                <c:pt idx="5">
                  <c:v>0.22850364099815201</c:v>
                </c:pt>
                <c:pt idx="6">
                  <c:v>0.29359793800925593</c:v>
                </c:pt>
                <c:pt idx="7">
                  <c:v>0.37950708044105586</c:v>
                </c:pt>
              </c:numCache>
            </c:numRef>
          </c:val>
          <c:smooth val="0"/>
        </c:ser>
        <c:dLbls>
          <c:showLegendKey val="0"/>
          <c:showVal val="0"/>
          <c:showCatName val="0"/>
          <c:showSerName val="0"/>
          <c:showPercent val="0"/>
          <c:showBubbleSize val="0"/>
        </c:dLbls>
        <c:marker val="1"/>
        <c:smooth val="0"/>
        <c:axId val="80483072"/>
        <c:axId val="80484608"/>
      </c:lineChart>
      <c:catAx>
        <c:axId val="80483072"/>
        <c:scaling>
          <c:orientation val="minMax"/>
        </c:scaling>
        <c:delete val="0"/>
        <c:axPos val="b"/>
        <c:majorTickMark val="none"/>
        <c:minorTickMark val="none"/>
        <c:tickLblPos val="nextTo"/>
        <c:crossAx val="80484608"/>
        <c:crossesAt val="0"/>
        <c:auto val="1"/>
        <c:lblAlgn val="ctr"/>
        <c:lblOffset val="100"/>
        <c:noMultiLvlLbl val="0"/>
      </c:catAx>
      <c:valAx>
        <c:axId val="80484608"/>
        <c:scaling>
          <c:orientation val="minMax"/>
          <c:max val="2"/>
        </c:scaling>
        <c:delete val="0"/>
        <c:axPos val="l"/>
        <c:majorGridlines/>
        <c:numFmt formatCode="0%" sourceLinked="1"/>
        <c:majorTickMark val="none"/>
        <c:minorTickMark val="none"/>
        <c:tickLblPos val="nextTo"/>
        <c:spPr>
          <a:ln w="9525">
            <a:noFill/>
          </a:ln>
        </c:spPr>
        <c:crossAx val="80483072"/>
        <c:crosses val="autoZero"/>
        <c:crossBetween val="between"/>
        <c:majorUnit val="0.25"/>
      </c:valAx>
    </c:plotArea>
    <c:legend>
      <c:legendPos val="b"/>
      <c:layout>
        <c:manualLayout>
          <c:xMode val="edge"/>
          <c:yMode val="edge"/>
          <c:x val="0.25034742471741178"/>
          <c:y val="0.88370194822474157"/>
          <c:w val="0.51029695668206765"/>
          <c:h val="7.7030514955598595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If you are a frequent traveller and have previously had several visas, have you been offered any benefits because of this? (n=330)</a:t>
            </a:r>
          </a:p>
        </c:rich>
      </c:tx>
      <c:overlay val="0"/>
    </c:title>
    <c:autoTitleDeleted val="0"/>
    <c:plotArea>
      <c:layout/>
      <c:pieChart>
        <c:varyColors val="1"/>
        <c:ser>
          <c:idx val="0"/>
          <c:order val="0"/>
          <c:dLbls>
            <c:dLblPos val="inEnd"/>
            <c:showLegendKey val="0"/>
            <c:showVal val="1"/>
            <c:showCatName val="0"/>
            <c:showSerName val="0"/>
            <c:showPercent val="0"/>
            <c:showBubbleSize val="0"/>
            <c:showLeaderLines val="1"/>
          </c:dLbls>
          <c:cat>
            <c:strRef>
              <c:f>Sheet2!$A$1:$A$2</c:f>
              <c:strCache>
                <c:ptCount val="2"/>
                <c:pt idx="0">
                  <c:v>Yes</c:v>
                </c:pt>
                <c:pt idx="1">
                  <c:v>No</c:v>
                </c:pt>
              </c:strCache>
            </c:strRef>
          </c:cat>
          <c:val>
            <c:numRef>
              <c:f>Sheet2!$B$1:$B$2</c:f>
              <c:numCache>
                <c:formatCode>0%</c:formatCode>
                <c:ptCount val="2"/>
                <c:pt idx="0">
                  <c:v>0.84</c:v>
                </c:pt>
                <c:pt idx="1">
                  <c:v>0.16</c:v>
                </c:pt>
              </c:numCache>
            </c:numRef>
          </c:val>
        </c:ser>
        <c:dLbls>
          <c:dLblPos val="inEnd"/>
          <c:showLegendKey val="0"/>
          <c:showVal val="1"/>
          <c:showCatName val="0"/>
          <c:showSerName val="0"/>
          <c:showPercent val="0"/>
          <c:showBubbleSize val="0"/>
          <c:showLeaderLines val="1"/>
        </c:dLbls>
        <c:firstSliceAng val="0"/>
      </c:pieChart>
    </c:plotArea>
    <c:legend>
      <c:legendPos val="r"/>
      <c:layout>
        <c:manualLayout>
          <c:xMode val="edge"/>
          <c:yMode val="edge"/>
          <c:x val="0.8048312666834847"/>
          <c:y val="0.5124153867587784"/>
          <c:w val="7.3651967075654121E-2"/>
          <c:h val="0.13610373562728253"/>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What did you find most difficult about the visa procedure?</a:t>
            </a:r>
            <a:br>
              <a:rPr lang="en-GB" sz="1200"/>
            </a:br>
            <a:r>
              <a:rPr lang="en-GB" sz="1200"/>
              <a:t>- Length of the procedure (n=408)</a:t>
            </a:r>
          </a:p>
        </c:rich>
      </c:tx>
      <c:overlay val="0"/>
    </c:title>
    <c:autoTitleDeleted val="0"/>
    <c:plotArea>
      <c:layout/>
      <c:pieChart>
        <c:varyColors val="1"/>
        <c:ser>
          <c:idx val="0"/>
          <c:order val="0"/>
          <c:dLbls>
            <c:dLblPos val="inEnd"/>
            <c:showLegendKey val="0"/>
            <c:showVal val="1"/>
            <c:showCatName val="0"/>
            <c:showSerName val="0"/>
            <c:showPercent val="0"/>
            <c:showBubbleSize val="0"/>
            <c:showLeaderLines val="1"/>
          </c:dLbls>
          <c:cat>
            <c:strRef>
              <c:f>Sheet3!$A$1:$A$5</c:f>
              <c:strCache>
                <c:ptCount val="5"/>
                <c:pt idx="0">
                  <c:v>1 (most difficult)</c:v>
                </c:pt>
                <c:pt idx="1">
                  <c:v>2</c:v>
                </c:pt>
                <c:pt idx="2">
                  <c:v>3</c:v>
                </c:pt>
                <c:pt idx="3">
                  <c:v>4</c:v>
                </c:pt>
                <c:pt idx="4">
                  <c:v>5 (least difficult)</c:v>
                </c:pt>
              </c:strCache>
            </c:strRef>
          </c:cat>
          <c:val>
            <c:numRef>
              <c:f>Sheet3!$B$1:$B$5</c:f>
              <c:numCache>
                <c:formatCode>0%</c:formatCode>
                <c:ptCount val="5"/>
                <c:pt idx="0">
                  <c:v>0.26</c:v>
                </c:pt>
                <c:pt idx="1">
                  <c:v>0.23</c:v>
                </c:pt>
                <c:pt idx="2">
                  <c:v>0.23</c:v>
                </c:pt>
                <c:pt idx="3">
                  <c:v>0.18</c:v>
                </c:pt>
                <c:pt idx="4">
                  <c:v>0.11</c:v>
                </c:pt>
              </c:numCache>
            </c:numRef>
          </c:val>
        </c:ser>
        <c:dLbls>
          <c:dLblPos val="inEnd"/>
          <c:showLegendKey val="0"/>
          <c:showVal val="1"/>
          <c:showCatName val="0"/>
          <c:showSerName val="0"/>
          <c:showPercent val="0"/>
          <c:showBubbleSize val="0"/>
          <c:showLeaderLines val="1"/>
        </c:dLbls>
        <c:firstSliceAng val="0"/>
      </c:pieChart>
    </c:plotArea>
    <c:legend>
      <c:legendPos val="r"/>
      <c:layout>
        <c:manualLayout>
          <c:xMode val="edge"/>
          <c:yMode val="edge"/>
          <c:x val="0.73282520162474041"/>
          <c:y val="0.40804772495041175"/>
          <c:w val="0.1970488085903708"/>
          <c:h val="0.32374376389974152"/>
        </c:manualLayout>
      </c:layou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If your last visa was for multiple entries,</a:t>
            </a:r>
            <a:br>
              <a:rPr lang="en-GB" sz="1200"/>
            </a:br>
            <a:r>
              <a:rPr lang="en-GB" sz="1200"/>
              <a:t>what was the period of validity? (n=318)</a:t>
            </a:r>
          </a:p>
        </c:rich>
      </c:tx>
      <c:overlay val="0"/>
    </c:title>
    <c:autoTitleDeleted val="0"/>
    <c:plotArea>
      <c:layout/>
      <c:pieChart>
        <c:varyColors val="1"/>
        <c:ser>
          <c:idx val="0"/>
          <c:order val="0"/>
          <c:dLbls>
            <c:dLblPos val="inEnd"/>
            <c:showLegendKey val="0"/>
            <c:showVal val="1"/>
            <c:showCatName val="0"/>
            <c:showSerName val="0"/>
            <c:showPercent val="0"/>
            <c:showBubbleSize val="0"/>
            <c:showLeaderLines val="1"/>
          </c:dLbls>
          <c:cat>
            <c:strRef>
              <c:f>Sheet4!$A$1:$A$6</c:f>
              <c:strCache>
                <c:ptCount val="6"/>
                <c:pt idx="0">
                  <c:v>Less than 6 months</c:v>
                </c:pt>
                <c:pt idx="1">
                  <c:v>6 months - 1 year</c:v>
                </c:pt>
                <c:pt idx="2">
                  <c:v>1 - 2 years</c:v>
                </c:pt>
                <c:pt idx="3">
                  <c:v>2 - 3 years</c:v>
                </c:pt>
                <c:pt idx="4">
                  <c:v>3 - 4 years</c:v>
                </c:pt>
                <c:pt idx="5">
                  <c:v>4 - 5 years</c:v>
                </c:pt>
              </c:strCache>
            </c:strRef>
          </c:cat>
          <c:val>
            <c:numRef>
              <c:f>Sheet4!$B$1:$B$6</c:f>
              <c:numCache>
                <c:formatCode>0%</c:formatCode>
                <c:ptCount val="6"/>
                <c:pt idx="0">
                  <c:v>0.28000000000000003</c:v>
                </c:pt>
                <c:pt idx="1">
                  <c:v>0.38</c:v>
                </c:pt>
                <c:pt idx="2">
                  <c:v>0.21</c:v>
                </c:pt>
                <c:pt idx="3">
                  <c:v>0.06</c:v>
                </c:pt>
                <c:pt idx="4">
                  <c:v>0.03</c:v>
                </c:pt>
                <c:pt idx="5">
                  <c:v>0.05</c:v>
                </c:pt>
              </c:numCache>
            </c:numRef>
          </c:val>
        </c:ser>
        <c:dLbls>
          <c:dLblPos val="inEnd"/>
          <c:showLegendKey val="0"/>
          <c:showVal val="1"/>
          <c:showCatName val="0"/>
          <c:showSerName val="0"/>
          <c:showPercent val="0"/>
          <c:showBubbleSize val="0"/>
          <c:showLeaderLines val="1"/>
        </c:dLbls>
        <c:firstSliceAng val="0"/>
      </c:pieChart>
    </c:plotArea>
    <c:legend>
      <c:legendPos val="r"/>
      <c:layout>
        <c:manualLayout>
          <c:xMode val="edge"/>
          <c:yMode val="edge"/>
          <c:x val="0.72663356873046803"/>
          <c:y val="0.38207061673851855"/>
          <c:w val="0.21387302608286735"/>
          <c:h val="0.3684138825745053"/>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noFill/>
          </c:spPr>
          <c:invertIfNegative val="0"/>
          <c:cat>
            <c:numRef>
              <c:f>('MEV issuance box whisker'!$L$2,'MEV issuance box whisker'!$N$2,'MEV issuance box whisker'!$P$2,'MEV issuance box whisker'!$R$2)</c:f>
              <c:numCache>
                <c:formatCode>General</c:formatCode>
                <c:ptCount val="4"/>
                <c:pt idx="0">
                  <c:v>2013</c:v>
                </c:pt>
                <c:pt idx="1">
                  <c:v>2014</c:v>
                </c:pt>
                <c:pt idx="2">
                  <c:v>2015</c:v>
                </c:pt>
                <c:pt idx="3">
                  <c:v>2016</c:v>
                </c:pt>
              </c:numCache>
            </c:numRef>
          </c:cat>
          <c:val>
            <c:numRef>
              <c:f>('MEV issuance box whisker'!$M$4,'MEV issuance box whisker'!$O$4,'MEV issuance box whisker'!$Q$4,'MEV issuance box whisker'!$S$4)</c:f>
              <c:numCache>
                <c:formatCode>0.0</c:formatCode>
                <c:ptCount val="4"/>
                <c:pt idx="0">
                  <c:v>12.5</c:v>
                </c:pt>
                <c:pt idx="1">
                  <c:v>11.8</c:v>
                </c:pt>
                <c:pt idx="2">
                  <c:v>18.3</c:v>
                </c:pt>
                <c:pt idx="3">
                  <c:v>12</c:v>
                </c:pt>
              </c:numCache>
            </c:numRef>
          </c:val>
        </c:ser>
        <c:ser>
          <c:idx val="1"/>
          <c:order val="1"/>
          <c:spPr>
            <a:noFill/>
          </c:spPr>
          <c:invertIfNegative val="0"/>
          <c:errBars>
            <c:errBarType val="minus"/>
            <c:errValType val="cust"/>
            <c:noEndCap val="0"/>
            <c:plus>
              <c:numRef>
                <c:f>('MEV issuance box whisker'!$M$5,'MEV issuance box whisker'!$O$5,'MEV issuance box whisker'!$Q$5,'MEV issuance box whisker'!$S$5)</c:f>
                <c:numCache>
                  <c:formatCode>General</c:formatCode>
                  <c:ptCount val="4"/>
                  <c:pt idx="0">
                    <c:v>17.706178252554295</c:v>
                  </c:pt>
                  <c:pt idx="1">
                    <c:v>22.003752214961917</c:v>
                  </c:pt>
                  <c:pt idx="2">
                    <c:v>13.986309485830059</c:v>
                  </c:pt>
                  <c:pt idx="3">
                    <c:v>23.980295623082533</c:v>
                  </c:pt>
                </c:numCache>
              </c:numRef>
            </c:plus>
            <c:minus>
              <c:numRef>
                <c:f>('MEV issuance box whisker'!$M$5,'MEV issuance box whisker'!$O$5,'MEV issuance box whisker'!$Q$5,'MEV issuance box whisker'!$S$5)</c:f>
                <c:numCache>
                  <c:formatCode>General</c:formatCode>
                  <c:ptCount val="4"/>
                  <c:pt idx="0">
                    <c:v>17.706178252554295</c:v>
                  </c:pt>
                  <c:pt idx="1">
                    <c:v>22.003752214961917</c:v>
                  </c:pt>
                  <c:pt idx="2">
                    <c:v>13.986309485830059</c:v>
                  </c:pt>
                  <c:pt idx="3">
                    <c:v>23.980295623082533</c:v>
                  </c:pt>
                </c:numCache>
              </c:numRef>
            </c:minus>
            <c:spPr>
              <a:ln w="22225"/>
            </c:spPr>
          </c:errBars>
          <c:cat>
            <c:numRef>
              <c:f>('MEV issuance box whisker'!$L$2,'MEV issuance box whisker'!$N$2,'MEV issuance box whisker'!$P$2,'MEV issuance box whisker'!$R$2)</c:f>
              <c:numCache>
                <c:formatCode>General</c:formatCode>
                <c:ptCount val="4"/>
                <c:pt idx="0">
                  <c:v>2013</c:v>
                </c:pt>
                <c:pt idx="1">
                  <c:v>2014</c:v>
                </c:pt>
                <c:pt idx="2">
                  <c:v>2015</c:v>
                </c:pt>
                <c:pt idx="3">
                  <c:v>2016</c:v>
                </c:pt>
              </c:numCache>
            </c:numRef>
          </c:cat>
          <c:val>
            <c:numRef>
              <c:f>('MEV issuance box whisker'!$M$5,'MEV issuance box whisker'!$O$5,'MEV issuance box whisker'!$Q$5,'MEV issuance box whisker'!$S$5)</c:f>
              <c:numCache>
                <c:formatCode>0.0</c:formatCode>
                <c:ptCount val="4"/>
                <c:pt idx="0">
                  <c:v>17.706178252554295</c:v>
                </c:pt>
                <c:pt idx="1">
                  <c:v>22.003752214961917</c:v>
                </c:pt>
                <c:pt idx="2">
                  <c:v>13.986309485830059</c:v>
                </c:pt>
                <c:pt idx="3">
                  <c:v>23.980295623082533</c:v>
                </c:pt>
              </c:numCache>
            </c:numRef>
          </c:val>
        </c:ser>
        <c:ser>
          <c:idx val="2"/>
          <c:order val="2"/>
          <c:spPr>
            <a:solidFill>
              <a:schemeClr val="accent5"/>
            </a:solidFill>
            <a:ln w="22225">
              <a:solidFill>
                <a:schemeClr val="tx1">
                  <a:shade val="95000"/>
                  <a:satMod val="105000"/>
                </a:schemeClr>
              </a:solidFill>
            </a:ln>
          </c:spPr>
          <c:invertIfNegative val="0"/>
          <c:cat>
            <c:numRef>
              <c:f>('MEV issuance box whisker'!$L$2,'MEV issuance box whisker'!$N$2,'MEV issuance box whisker'!$P$2,'MEV issuance box whisker'!$R$2)</c:f>
              <c:numCache>
                <c:formatCode>General</c:formatCode>
                <c:ptCount val="4"/>
                <c:pt idx="0">
                  <c:v>2013</c:v>
                </c:pt>
                <c:pt idx="1">
                  <c:v>2014</c:v>
                </c:pt>
                <c:pt idx="2">
                  <c:v>2015</c:v>
                </c:pt>
                <c:pt idx="3">
                  <c:v>2016</c:v>
                </c:pt>
              </c:numCache>
            </c:numRef>
          </c:cat>
          <c:val>
            <c:numRef>
              <c:f>('MEV issuance box whisker'!$M$6,'MEV issuance box whisker'!$O$6,'MEV issuance box whisker'!$Q$6,'MEV issuance box whisker'!$S$6)</c:f>
              <c:numCache>
                <c:formatCode>0.0</c:formatCode>
                <c:ptCount val="4"/>
                <c:pt idx="0">
                  <c:v>11.062061098187897</c:v>
                </c:pt>
                <c:pt idx="1">
                  <c:v>14.156386375294431</c:v>
                </c:pt>
                <c:pt idx="2">
                  <c:v>23.516595682944427</c:v>
                </c:pt>
                <c:pt idx="3">
                  <c:v>17.808443535603224</c:v>
                </c:pt>
              </c:numCache>
            </c:numRef>
          </c:val>
        </c:ser>
        <c:ser>
          <c:idx val="3"/>
          <c:order val="3"/>
          <c:spPr>
            <a:solidFill>
              <a:schemeClr val="accent5"/>
            </a:solidFill>
            <a:ln w="22225">
              <a:solidFill>
                <a:schemeClr val="tx1">
                  <a:shade val="95000"/>
                  <a:satMod val="105000"/>
                </a:schemeClr>
              </a:solidFill>
            </a:ln>
          </c:spPr>
          <c:invertIfNegative val="0"/>
          <c:errBars>
            <c:errBarType val="plus"/>
            <c:errValType val="cust"/>
            <c:noEndCap val="0"/>
            <c:plus>
              <c:numRef>
                <c:f>('MEV issuance box whisker'!$M$8,'MEV issuance box whisker'!$O$8,'MEV issuance box whisker'!$Q$8,'MEV issuance box whisker'!$S$8)</c:f>
                <c:numCache>
                  <c:formatCode>General</c:formatCode>
                  <c:ptCount val="4"/>
                  <c:pt idx="0">
                    <c:v>27.280589302351757</c:v>
                  </c:pt>
                  <c:pt idx="1">
                    <c:v>20.408190435584714</c:v>
                  </c:pt>
                  <c:pt idx="2">
                    <c:v>29.417965705891049</c:v>
                  </c:pt>
                  <c:pt idx="3">
                    <c:v>8.072743933973797</c:v>
                  </c:pt>
                </c:numCache>
              </c:numRef>
            </c:plus>
            <c:minus>
              <c:numLit>
                <c:formatCode>General</c:formatCode>
                <c:ptCount val="1"/>
                <c:pt idx="0">
                  <c:v>1</c:v>
                </c:pt>
              </c:numLit>
            </c:minus>
            <c:spPr>
              <a:ln w="22225">
                <a:solidFill>
                  <a:schemeClr val="tx1">
                    <a:shade val="95000"/>
                    <a:satMod val="105000"/>
                  </a:schemeClr>
                </a:solidFill>
              </a:ln>
            </c:spPr>
          </c:errBars>
          <c:cat>
            <c:numRef>
              <c:f>('MEV issuance box whisker'!$L$2,'MEV issuance box whisker'!$N$2,'MEV issuance box whisker'!$P$2,'MEV issuance box whisker'!$R$2)</c:f>
              <c:numCache>
                <c:formatCode>General</c:formatCode>
                <c:ptCount val="4"/>
                <c:pt idx="0">
                  <c:v>2013</c:v>
                </c:pt>
                <c:pt idx="1">
                  <c:v>2014</c:v>
                </c:pt>
                <c:pt idx="2">
                  <c:v>2015</c:v>
                </c:pt>
                <c:pt idx="3">
                  <c:v>2016</c:v>
                </c:pt>
              </c:numCache>
            </c:numRef>
          </c:cat>
          <c:val>
            <c:numRef>
              <c:f>('MEV issuance box whisker'!$M$7,'MEV issuance box whisker'!$O$7,'MEV issuance box whisker'!$Q$7,'MEV issuance box whisker'!$S$7)</c:f>
              <c:numCache>
                <c:formatCode>0.0</c:formatCode>
                <c:ptCount val="4"/>
                <c:pt idx="0">
                  <c:v>27.251171346906048</c:v>
                </c:pt>
                <c:pt idx="1">
                  <c:v>25.031670974158942</c:v>
                </c:pt>
                <c:pt idx="2">
                  <c:v>14.279129125334464</c:v>
                </c:pt>
                <c:pt idx="3">
                  <c:v>23.538516907340451</c:v>
                </c:pt>
              </c:numCache>
            </c:numRef>
          </c:val>
        </c:ser>
        <c:ser>
          <c:idx val="4"/>
          <c:order val="4"/>
          <c:spPr>
            <a:noFill/>
          </c:spPr>
          <c:invertIfNegative val="0"/>
          <c:cat>
            <c:numRef>
              <c:f>('MEV issuance box whisker'!$L$2,'MEV issuance box whisker'!$N$2,'MEV issuance box whisker'!$P$2,'MEV issuance box whisker'!$R$2)</c:f>
              <c:numCache>
                <c:formatCode>General</c:formatCode>
                <c:ptCount val="4"/>
                <c:pt idx="0">
                  <c:v>2013</c:v>
                </c:pt>
                <c:pt idx="1">
                  <c:v>2014</c:v>
                </c:pt>
                <c:pt idx="2">
                  <c:v>2015</c:v>
                </c:pt>
                <c:pt idx="3">
                  <c:v>2016</c:v>
                </c:pt>
              </c:numCache>
            </c:numRef>
          </c:cat>
          <c:val>
            <c:numRef>
              <c:f>('MEV issuance box whisker'!$M$8,'MEV issuance box whisker'!$O$8,'MEV issuance box whisker'!$Q$8,'MEV issuance box whisker'!$S$8)</c:f>
              <c:numCache>
                <c:formatCode>0.0</c:formatCode>
                <c:ptCount val="4"/>
                <c:pt idx="0">
                  <c:v>27.280589302351757</c:v>
                </c:pt>
                <c:pt idx="1">
                  <c:v>20.408190435584714</c:v>
                </c:pt>
                <c:pt idx="2">
                  <c:v>29.417965705891049</c:v>
                </c:pt>
                <c:pt idx="3">
                  <c:v>8.072743933973797</c:v>
                </c:pt>
              </c:numCache>
            </c:numRef>
          </c:val>
        </c:ser>
        <c:dLbls>
          <c:showLegendKey val="0"/>
          <c:showVal val="0"/>
          <c:showCatName val="0"/>
          <c:showSerName val="0"/>
          <c:showPercent val="0"/>
          <c:showBubbleSize val="0"/>
        </c:dLbls>
        <c:gapWidth val="150"/>
        <c:overlap val="100"/>
        <c:axId val="80383360"/>
        <c:axId val="80389248"/>
      </c:barChart>
      <c:catAx>
        <c:axId val="80383360"/>
        <c:scaling>
          <c:orientation val="minMax"/>
        </c:scaling>
        <c:delete val="0"/>
        <c:axPos val="b"/>
        <c:numFmt formatCode="General" sourceLinked="1"/>
        <c:majorTickMark val="out"/>
        <c:minorTickMark val="none"/>
        <c:tickLblPos val="nextTo"/>
        <c:crossAx val="80389248"/>
        <c:crosses val="autoZero"/>
        <c:auto val="1"/>
        <c:lblAlgn val="ctr"/>
        <c:lblOffset val="100"/>
        <c:noMultiLvlLbl val="0"/>
      </c:catAx>
      <c:valAx>
        <c:axId val="80389248"/>
        <c:scaling>
          <c:orientation val="minMax"/>
          <c:max val="100"/>
        </c:scaling>
        <c:delete val="0"/>
        <c:axPos val="l"/>
        <c:majorGridlines/>
        <c:title>
          <c:tx>
            <c:rich>
              <a:bodyPr rot="-5400000" vert="horz"/>
              <a:lstStyle/>
              <a:p>
                <a:pPr>
                  <a:defRPr/>
                </a:pPr>
                <a:r>
                  <a:rPr lang="en-US"/>
                  <a:t>MEVs issued as a percentage of total visas issuesd</a:t>
                </a:r>
              </a:p>
            </c:rich>
          </c:tx>
          <c:overlay val="0"/>
        </c:title>
        <c:numFmt formatCode="0.0" sourceLinked="1"/>
        <c:majorTickMark val="out"/>
        <c:minorTickMark val="none"/>
        <c:tickLblPos val="nextTo"/>
        <c:crossAx val="80383360"/>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spPr>
            <a:noFill/>
          </c:spPr>
          <c:invertIfNegative val="0"/>
          <c:cat>
            <c:numRef>
              <c:f>('Refusal box whisker'!$L$2,'Refusal box whisker'!$N$2,'Refusal box whisker'!$P$2,'Refusal box whisker'!$R$2)</c:f>
              <c:numCache>
                <c:formatCode>General</c:formatCode>
                <c:ptCount val="4"/>
                <c:pt idx="0">
                  <c:v>2013</c:v>
                </c:pt>
                <c:pt idx="1">
                  <c:v>2014</c:v>
                </c:pt>
                <c:pt idx="2">
                  <c:v>2015</c:v>
                </c:pt>
                <c:pt idx="3">
                  <c:v>2016</c:v>
                </c:pt>
              </c:numCache>
            </c:numRef>
          </c:cat>
          <c:val>
            <c:numRef>
              <c:f>('Refusal box whisker'!$M$4,'Refusal box whisker'!$O$4,'Refusal box whisker'!$Q$4,'Refusal box whisker'!$S$4)</c:f>
              <c:numCache>
                <c:formatCode>0.0</c:formatCode>
                <c:ptCount val="4"/>
                <c:pt idx="0">
                  <c:v>0.8</c:v>
                </c:pt>
                <c:pt idx="1">
                  <c:v>0.7</c:v>
                </c:pt>
                <c:pt idx="2">
                  <c:v>0.3</c:v>
                </c:pt>
                <c:pt idx="3">
                  <c:v>0.2</c:v>
                </c:pt>
              </c:numCache>
            </c:numRef>
          </c:val>
        </c:ser>
        <c:ser>
          <c:idx val="1"/>
          <c:order val="1"/>
          <c:spPr>
            <a:noFill/>
          </c:spPr>
          <c:invertIfNegative val="0"/>
          <c:errBars>
            <c:errBarType val="minus"/>
            <c:errValType val="cust"/>
            <c:noEndCap val="0"/>
            <c:plus>
              <c:numLit>
                <c:formatCode>General</c:formatCode>
                <c:ptCount val="1"/>
                <c:pt idx="0">
                  <c:v>1</c:v>
                </c:pt>
              </c:numLit>
            </c:plus>
            <c:minus>
              <c:numRef>
                <c:f>('Refusal box whisker'!$M$5,'Refusal box whisker'!$O$5,'Refusal box whisker'!$Q$5,'Refusal box whisker'!$S$5)</c:f>
                <c:numCache>
                  <c:formatCode>General</c:formatCode>
                  <c:ptCount val="4"/>
                  <c:pt idx="0">
                    <c:v>0.44926362276906717</c:v>
                  </c:pt>
                  <c:pt idx="1">
                    <c:v>0.97152713198057072</c:v>
                  </c:pt>
                  <c:pt idx="2">
                    <c:v>1.8415757607874805</c:v>
                  </c:pt>
                  <c:pt idx="3">
                    <c:v>2.1905711172461046</c:v>
                  </c:pt>
                </c:numCache>
              </c:numRef>
            </c:minus>
            <c:spPr>
              <a:ln w="22225"/>
            </c:spPr>
          </c:errBars>
          <c:cat>
            <c:numRef>
              <c:f>('Refusal box whisker'!$L$2,'Refusal box whisker'!$N$2,'Refusal box whisker'!$P$2,'Refusal box whisker'!$R$2)</c:f>
              <c:numCache>
                <c:formatCode>General</c:formatCode>
                <c:ptCount val="4"/>
                <c:pt idx="0">
                  <c:v>2013</c:v>
                </c:pt>
                <c:pt idx="1">
                  <c:v>2014</c:v>
                </c:pt>
                <c:pt idx="2">
                  <c:v>2015</c:v>
                </c:pt>
                <c:pt idx="3">
                  <c:v>2016</c:v>
                </c:pt>
              </c:numCache>
            </c:numRef>
          </c:cat>
          <c:val>
            <c:numRef>
              <c:f>('Refusal box whisker'!$M$5,'Refusal box whisker'!$O$5,'Refusal box whisker'!$Q$5,'Refusal box whisker'!$S$5)</c:f>
              <c:numCache>
                <c:formatCode>0.0</c:formatCode>
                <c:ptCount val="4"/>
                <c:pt idx="0">
                  <c:v>0.44926362276906717</c:v>
                </c:pt>
                <c:pt idx="1">
                  <c:v>0.97152713198057072</c:v>
                </c:pt>
                <c:pt idx="2">
                  <c:v>1.8415757607874805</c:v>
                </c:pt>
                <c:pt idx="3">
                  <c:v>2.1905711172461046</c:v>
                </c:pt>
              </c:numCache>
            </c:numRef>
          </c:val>
        </c:ser>
        <c:ser>
          <c:idx val="2"/>
          <c:order val="2"/>
          <c:spPr>
            <a:solidFill>
              <a:schemeClr val="accent5"/>
            </a:solidFill>
            <a:ln w="22225">
              <a:solidFill>
                <a:schemeClr val="tx1"/>
              </a:solidFill>
            </a:ln>
          </c:spPr>
          <c:invertIfNegative val="0"/>
          <c:cat>
            <c:numRef>
              <c:f>('Refusal box whisker'!$L$2,'Refusal box whisker'!$N$2,'Refusal box whisker'!$P$2,'Refusal box whisker'!$R$2)</c:f>
              <c:numCache>
                <c:formatCode>General</c:formatCode>
                <c:ptCount val="4"/>
                <c:pt idx="0">
                  <c:v>2013</c:v>
                </c:pt>
                <c:pt idx="1">
                  <c:v>2014</c:v>
                </c:pt>
                <c:pt idx="2">
                  <c:v>2015</c:v>
                </c:pt>
                <c:pt idx="3">
                  <c:v>2016</c:v>
                </c:pt>
              </c:numCache>
            </c:numRef>
          </c:cat>
          <c:val>
            <c:numRef>
              <c:f>('Refusal box whisker'!$M$6,'Refusal box whisker'!$O$6,'Refusal box whisker'!$Q$6,'Refusal box whisker'!$S$6)</c:f>
              <c:numCache>
                <c:formatCode>0.0</c:formatCode>
                <c:ptCount val="4"/>
                <c:pt idx="0">
                  <c:v>2.46928222369089</c:v>
                </c:pt>
                <c:pt idx="1">
                  <c:v>2.0515185889446119</c:v>
                </c:pt>
                <c:pt idx="2">
                  <c:v>2.5076694846088126</c:v>
                </c:pt>
                <c:pt idx="3">
                  <c:v>2.5374504153627635</c:v>
                </c:pt>
              </c:numCache>
            </c:numRef>
          </c:val>
        </c:ser>
        <c:ser>
          <c:idx val="3"/>
          <c:order val="3"/>
          <c:spPr>
            <a:solidFill>
              <a:schemeClr val="accent5"/>
            </a:solidFill>
            <a:ln w="22225">
              <a:solidFill>
                <a:schemeClr val="tx1"/>
              </a:solidFill>
            </a:ln>
          </c:spPr>
          <c:invertIfNegative val="0"/>
          <c:errBars>
            <c:errBarType val="plus"/>
            <c:errValType val="cust"/>
            <c:noEndCap val="0"/>
            <c:plus>
              <c:numRef>
                <c:f>('Refusal box whisker'!$M$8,'Refusal box whisker'!$O$8,'Refusal box whisker'!$Q$8,'Refusal box whisker'!$S$8)</c:f>
                <c:numCache>
                  <c:formatCode>General</c:formatCode>
                  <c:ptCount val="4"/>
                  <c:pt idx="0">
                    <c:v>10.991181313333328</c:v>
                  </c:pt>
                  <c:pt idx="1">
                    <c:v>9.5265572862827526</c:v>
                  </c:pt>
                  <c:pt idx="2">
                    <c:v>17.622745256493143</c:v>
                  </c:pt>
                  <c:pt idx="3">
                    <c:v>12.705648683496793</c:v>
                  </c:pt>
                </c:numCache>
              </c:numRef>
            </c:plus>
            <c:minus>
              <c:numLit>
                <c:formatCode>General</c:formatCode>
                <c:ptCount val="1"/>
                <c:pt idx="0">
                  <c:v>1</c:v>
                </c:pt>
              </c:numLit>
            </c:minus>
            <c:spPr>
              <a:ln w="22225"/>
            </c:spPr>
          </c:errBars>
          <c:cat>
            <c:numRef>
              <c:f>('Refusal box whisker'!$L$2,'Refusal box whisker'!$N$2,'Refusal box whisker'!$P$2,'Refusal box whisker'!$R$2)</c:f>
              <c:numCache>
                <c:formatCode>General</c:formatCode>
                <c:ptCount val="4"/>
                <c:pt idx="0">
                  <c:v>2013</c:v>
                </c:pt>
                <c:pt idx="1">
                  <c:v>2014</c:v>
                </c:pt>
                <c:pt idx="2">
                  <c:v>2015</c:v>
                </c:pt>
                <c:pt idx="3">
                  <c:v>2016</c:v>
                </c:pt>
              </c:numCache>
            </c:numRef>
          </c:cat>
          <c:val>
            <c:numRef>
              <c:f>('Refusal box whisker'!$M$7,'Refusal box whisker'!$O$7,'Refusal box whisker'!$Q$7,'Refusal box whisker'!$S$7)</c:f>
              <c:numCache>
                <c:formatCode>0.0</c:formatCode>
                <c:ptCount val="4"/>
                <c:pt idx="0">
                  <c:v>3.8202728402067159</c:v>
                </c:pt>
                <c:pt idx="1">
                  <c:v>3.6503969927920625</c:v>
                </c:pt>
                <c:pt idx="2">
                  <c:v>2.9280094981105629</c:v>
                </c:pt>
                <c:pt idx="3">
                  <c:v>3.4663297838943397</c:v>
                </c:pt>
              </c:numCache>
            </c:numRef>
          </c:val>
        </c:ser>
        <c:ser>
          <c:idx val="4"/>
          <c:order val="4"/>
          <c:spPr>
            <a:noFill/>
          </c:spPr>
          <c:invertIfNegative val="0"/>
          <c:cat>
            <c:numRef>
              <c:f>('Refusal box whisker'!$L$2,'Refusal box whisker'!$N$2,'Refusal box whisker'!$P$2,'Refusal box whisker'!$R$2)</c:f>
              <c:numCache>
                <c:formatCode>General</c:formatCode>
                <c:ptCount val="4"/>
                <c:pt idx="0">
                  <c:v>2013</c:v>
                </c:pt>
                <c:pt idx="1">
                  <c:v>2014</c:v>
                </c:pt>
                <c:pt idx="2">
                  <c:v>2015</c:v>
                </c:pt>
                <c:pt idx="3">
                  <c:v>2016</c:v>
                </c:pt>
              </c:numCache>
            </c:numRef>
          </c:cat>
          <c:val>
            <c:numRef>
              <c:f>('Refusal box whisker'!$M$8,'Refusal box whisker'!$O$8,'Refusal box whisker'!$Q$8,'Refusal box whisker'!$S$8)</c:f>
              <c:numCache>
                <c:formatCode>0.0</c:formatCode>
                <c:ptCount val="4"/>
                <c:pt idx="0">
                  <c:v>10.991181313333328</c:v>
                </c:pt>
                <c:pt idx="1">
                  <c:v>9.5265572862827526</c:v>
                </c:pt>
                <c:pt idx="2">
                  <c:v>17.622745256493143</c:v>
                </c:pt>
                <c:pt idx="3">
                  <c:v>12.705648683496793</c:v>
                </c:pt>
              </c:numCache>
            </c:numRef>
          </c:val>
        </c:ser>
        <c:dLbls>
          <c:showLegendKey val="0"/>
          <c:showVal val="0"/>
          <c:showCatName val="0"/>
          <c:showSerName val="0"/>
          <c:showPercent val="0"/>
          <c:showBubbleSize val="0"/>
        </c:dLbls>
        <c:gapWidth val="150"/>
        <c:overlap val="100"/>
        <c:axId val="73949952"/>
        <c:axId val="73951488"/>
      </c:barChart>
      <c:catAx>
        <c:axId val="73949952"/>
        <c:scaling>
          <c:orientation val="minMax"/>
        </c:scaling>
        <c:delete val="0"/>
        <c:axPos val="l"/>
        <c:numFmt formatCode="General" sourceLinked="1"/>
        <c:majorTickMark val="out"/>
        <c:minorTickMark val="none"/>
        <c:tickLblPos val="nextTo"/>
        <c:crossAx val="73951488"/>
        <c:crosses val="autoZero"/>
        <c:auto val="1"/>
        <c:lblAlgn val="ctr"/>
        <c:lblOffset val="100"/>
        <c:noMultiLvlLbl val="0"/>
      </c:catAx>
      <c:valAx>
        <c:axId val="73951488"/>
        <c:scaling>
          <c:orientation val="minMax"/>
          <c:max val="30"/>
        </c:scaling>
        <c:delete val="0"/>
        <c:axPos val="b"/>
        <c:majorGridlines/>
        <c:title>
          <c:tx>
            <c:rich>
              <a:bodyPr/>
              <a:lstStyle/>
              <a:p>
                <a:pPr>
                  <a:defRPr/>
                </a:pPr>
                <a:r>
                  <a:rPr lang="en-GB"/>
                  <a:t>Refusals as a percentage of total visas applied for (%)</a:t>
                </a:r>
              </a:p>
            </c:rich>
          </c:tx>
          <c:overlay val="0"/>
        </c:title>
        <c:numFmt formatCode="General" sourceLinked="0"/>
        <c:majorTickMark val="out"/>
        <c:minorTickMark val="none"/>
        <c:tickLblPos val="nextTo"/>
        <c:crossAx val="73949952"/>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numRef>
              <c:f>'Border crossings'!$A$2:$D$2</c:f>
              <c:numCache>
                <c:formatCode>General</c:formatCode>
                <c:ptCount val="4"/>
                <c:pt idx="0">
                  <c:v>2013</c:v>
                </c:pt>
                <c:pt idx="1">
                  <c:v>2014</c:v>
                </c:pt>
                <c:pt idx="2">
                  <c:v>2015</c:v>
                </c:pt>
                <c:pt idx="3">
                  <c:v>2016</c:v>
                </c:pt>
              </c:numCache>
            </c:numRef>
          </c:cat>
          <c:val>
            <c:numRef>
              <c:f>'Border crossings'!$A$3:$D$3</c:f>
              <c:numCache>
                <c:formatCode>#,##0</c:formatCode>
                <c:ptCount val="4"/>
                <c:pt idx="0">
                  <c:v>133549</c:v>
                </c:pt>
                <c:pt idx="1">
                  <c:v>122771</c:v>
                </c:pt>
                <c:pt idx="2">
                  <c:v>102110</c:v>
                </c:pt>
                <c:pt idx="3">
                  <c:v>99589</c:v>
                </c:pt>
              </c:numCache>
            </c:numRef>
          </c:val>
        </c:ser>
        <c:dLbls>
          <c:showLegendKey val="0"/>
          <c:showVal val="0"/>
          <c:showCatName val="0"/>
          <c:showSerName val="0"/>
          <c:showPercent val="0"/>
          <c:showBubbleSize val="0"/>
        </c:dLbls>
        <c:gapWidth val="150"/>
        <c:axId val="73967488"/>
        <c:axId val="73969024"/>
      </c:barChart>
      <c:catAx>
        <c:axId val="73967488"/>
        <c:scaling>
          <c:orientation val="minMax"/>
        </c:scaling>
        <c:delete val="0"/>
        <c:axPos val="b"/>
        <c:numFmt formatCode="General" sourceLinked="1"/>
        <c:majorTickMark val="out"/>
        <c:minorTickMark val="none"/>
        <c:tickLblPos val="nextTo"/>
        <c:crossAx val="73969024"/>
        <c:crosses val="autoZero"/>
        <c:auto val="1"/>
        <c:lblAlgn val="ctr"/>
        <c:lblOffset val="100"/>
        <c:noMultiLvlLbl val="0"/>
      </c:catAx>
      <c:valAx>
        <c:axId val="73969024"/>
        <c:scaling>
          <c:orientation val="minMax"/>
        </c:scaling>
        <c:delete val="0"/>
        <c:axPos val="l"/>
        <c:majorGridlines/>
        <c:title>
          <c:tx>
            <c:rich>
              <a:bodyPr rot="-5400000" vert="horz"/>
              <a:lstStyle/>
              <a:p>
                <a:pPr>
                  <a:defRPr/>
                </a:pPr>
                <a:r>
                  <a:rPr lang="en-US"/>
                  <a:t>Visas issued at external BCPs</a:t>
                </a:r>
              </a:p>
            </c:rich>
          </c:tx>
          <c:overlay val="0"/>
        </c:title>
        <c:numFmt formatCode="#,##0" sourceLinked="0"/>
        <c:majorTickMark val="out"/>
        <c:minorTickMark val="none"/>
        <c:tickLblPos val="nextTo"/>
        <c:crossAx val="73967488"/>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'Implementing decisions'!$A$5</c:f>
              <c:strCache>
                <c:ptCount val="1"/>
                <c:pt idx="0">
                  <c:v>Commission Implementing Decisions (cumulative)</c:v>
                </c:pt>
              </c:strCache>
            </c:strRef>
          </c:tx>
          <c:invertIfNegative val="0"/>
          <c:cat>
            <c:numRef>
              <c:f>'Implementing decisions'!$B$3:$H$3</c:f>
              <c:numCache>
                <c:formatCode>General</c:formatCode>
                <c:ptCount val="7"/>
                <c:pt idx="0">
                  <c:v>2011</c:v>
                </c:pt>
                <c:pt idx="1">
                  <c:v>2012</c:v>
                </c:pt>
                <c:pt idx="2">
                  <c:v>2013</c:v>
                </c:pt>
                <c:pt idx="3">
                  <c:v>2014</c:v>
                </c:pt>
                <c:pt idx="4">
                  <c:v>2015</c:v>
                </c:pt>
                <c:pt idx="5">
                  <c:v>2016</c:v>
                </c:pt>
                <c:pt idx="6">
                  <c:v>2017</c:v>
                </c:pt>
              </c:numCache>
            </c:numRef>
          </c:cat>
          <c:val>
            <c:numRef>
              <c:f>'Implementing decisions'!$B$5:$H$5</c:f>
              <c:numCache>
                <c:formatCode>General</c:formatCode>
                <c:ptCount val="7"/>
                <c:pt idx="0">
                  <c:v>2</c:v>
                </c:pt>
                <c:pt idx="1">
                  <c:v>5</c:v>
                </c:pt>
                <c:pt idx="2">
                  <c:v>6</c:v>
                </c:pt>
                <c:pt idx="3">
                  <c:v>11</c:v>
                </c:pt>
                <c:pt idx="4">
                  <c:v>13</c:v>
                </c:pt>
                <c:pt idx="5">
                  <c:v>16</c:v>
                </c:pt>
                <c:pt idx="6">
                  <c:v>17</c:v>
                </c:pt>
              </c:numCache>
            </c:numRef>
          </c:val>
        </c:ser>
        <c:ser>
          <c:idx val="1"/>
          <c:order val="1"/>
          <c:tx>
            <c:strRef>
              <c:f>'Implementing decisions'!$A$6</c:f>
              <c:strCache>
                <c:ptCount val="1"/>
                <c:pt idx="0">
                  <c:v>Countries (LSCs) covered</c:v>
                </c:pt>
              </c:strCache>
            </c:strRef>
          </c:tx>
          <c:invertIfNegative val="0"/>
          <c:cat>
            <c:numRef>
              <c:f>'Implementing decisions'!$B$3:$H$3</c:f>
              <c:numCache>
                <c:formatCode>General</c:formatCode>
                <c:ptCount val="7"/>
                <c:pt idx="0">
                  <c:v>2011</c:v>
                </c:pt>
                <c:pt idx="1">
                  <c:v>2012</c:v>
                </c:pt>
                <c:pt idx="2">
                  <c:v>2013</c:v>
                </c:pt>
                <c:pt idx="3">
                  <c:v>2014</c:v>
                </c:pt>
                <c:pt idx="4">
                  <c:v>2015</c:v>
                </c:pt>
                <c:pt idx="5">
                  <c:v>2016</c:v>
                </c:pt>
                <c:pt idx="6">
                  <c:v>2017</c:v>
                </c:pt>
              </c:numCache>
            </c:numRef>
          </c:cat>
          <c:val>
            <c:numRef>
              <c:f>'Implementing decisions'!$B$6:$H$6</c:f>
              <c:numCache>
                <c:formatCode>General</c:formatCode>
                <c:ptCount val="7"/>
                <c:pt idx="0">
                  <c:v>7</c:v>
                </c:pt>
                <c:pt idx="1">
                  <c:v>13</c:v>
                </c:pt>
                <c:pt idx="2">
                  <c:v>16</c:v>
                </c:pt>
                <c:pt idx="3">
                  <c:v>30</c:v>
                </c:pt>
                <c:pt idx="4">
                  <c:v>40</c:v>
                </c:pt>
                <c:pt idx="5">
                  <c:v>48</c:v>
                </c:pt>
                <c:pt idx="6">
                  <c:v>54</c:v>
                </c:pt>
              </c:numCache>
            </c:numRef>
          </c:val>
        </c:ser>
        <c:dLbls>
          <c:showLegendKey val="0"/>
          <c:showVal val="0"/>
          <c:showCatName val="0"/>
          <c:showSerName val="0"/>
          <c:showPercent val="0"/>
          <c:showBubbleSize val="0"/>
        </c:dLbls>
        <c:gapWidth val="150"/>
        <c:axId val="80416768"/>
        <c:axId val="80418304"/>
      </c:barChart>
      <c:catAx>
        <c:axId val="80416768"/>
        <c:scaling>
          <c:orientation val="minMax"/>
        </c:scaling>
        <c:delete val="0"/>
        <c:axPos val="b"/>
        <c:numFmt formatCode="General" sourceLinked="1"/>
        <c:majorTickMark val="out"/>
        <c:minorTickMark val="none"/>
        <c:tickLblPos val="nextTo"/>
        <c:crossAx val="80418304"/>
        <c:crosses val="autoZero"/>
        <c:auto val="1"/>
        <c:lblAlgn val="ctr"/>
        <c:lblOffset val="100"/>
        <c:noMultiLvlLbl val="0"/>
      </c:catAx>
      <c:valAx>
        <c:axId val="80418304"/>
        <c:scaling>
          <c:orientation val="minMax"/>
        </c:scaling>
        <c:delete val="0"/>
        <c:axPos val="l"/>
        <c:majorGridlines/>
        <c:numFmt formatCode="General" sourceLinked="1"/>
        <c:majorTickMark val="out"/>
        <c:minorTickMark val="none"/>
        <c:tickLblPos val="nextTo"/>
        <c:crossAx val="80416768"/>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sz="1200" b="0">
                <a:latin typeface="Times New Roman" panose="02020603050405020304" pitchFamily="18" charset="0"/>
                <a:cs typeface="Times New Roman" panose="02020603050405020304" pitchFamily="18" charset="0"/>
              </a:rPr>
              <a:t>GDP per capita (USD) in 2016 - top tourist destinations</a:t>
            </a:r>
          </a:p>
        </c:rich>
      </c:tx>
      <c:layout>
        <c:manualLayout>
          <c:xMode val="edge"/>
          <c:yMode val="edge"/>
          <c:x val="0.14927770813810562"/>
          <c:y val="3.4285585362001672E-2"/>
        </c:manualLayout>
      </c:layout>
      <c:overlay val="1"/>
    </c:title>
    <c:autoTitleDeleted val="0"/>
    <c:plotArea>
      <c:layout>
        <c:manualLayout>
          <c:layoutTarget val="inner"/>
          <c:xMode val="edge"/>
          <c:yMode val="edge"/>
          <c:x val="0.17934338068852504"/>
          <c:y val="0.15238099808953823"/>
          <c:w val="0.77179549250558555"/>
          <c:h val="0.6529733020401951"/>
        </c:manualLayout>
      </c:layout>
      <c:barChart>
        <c:barDir val="bar"/>
        <c:grouping val="clustered"/>
        <c:varyColors val="0"/>
        <c:ser>
          <c:idx val="2"/>
          <c:order val="0"/>
          <c:tx>
            <c:strRef>
              <c:f>Data!$BR$8</c:f>
              <c:strCache>
                <c:ptCount val="1"/>
                <c:pt idx="0">
                  <c:v>nominal GDP</c:v>
                </c:pt>
              </c:strCache>
            </c:strRef>
          </c:tx>
          <c:invertIfNegative val="0"/>
          <c:cat>
            <c:strRef>
              <c:f>Data!$BO$9:$BO$18</c:f>
              <c:strCache>
                <c:ptCount val="10"/>
                <c:pt idx="0">
                  <c:v>China</c:v>
                </c:pt>
                <c:pt idx="1">
                  <c:v>Thailand</c:v>
                </c:pt>
                <c:pt idx="2">
                  <c:v>Mexico</c:v>
                </c:pt>
                <c:pt idx="3">
                  <c:v>Turkey</c:v>
                </c:pt>
                <c:pt idx="4">
                  <c:v>Malaysia</c:v>
                </c:pt>
                <c:pt idx="5">
                  <c:v>New Zealand</c:v>
                </c:pt>
                <c:pt idx="6">
                  <c:v>Japan</c:v>
                </c:pt>
                <c:pt idx="7">
                  <c:v>United Kingdom</c:v>
                </c:pt>
                <c:pt idx="8">
                  <c:v>Australia</c:v>
                </c:pt>
                <c:pt idx="9">
                  <c:v>United States</c:v>
                </c:pt>
              </c:strCache>
            </c:strRef>
          </c:cat>
          <c:val>
            <c:numRef>
              <c:f>Data!$BR$9:$BR$18</c:f>
              <c:numCache>
                <c:formatCode>0</c:formatCode>
                <c:ptCount val="10"/>
                <c:pt idx="0">
                  <c:v>8123.1808725464007</c:v>
                </c:pt>
                <c:pt idx="1">
                  <c:v>5910.6209321591396</c:v>
                </c:pt>
                <c:pt idx="2">
                  <c:v>8208.555984331917</c:v>
                </c:pt>
                <c:pt idx="3">
                  <c:v>10862.600399420766</c:v>
                </c:pt>
                <c:pt idx="4">
                  <c:v>9508.2377496430036</c:v>
                </c:pt>
                <c:pt idx="5">
                  <c:v>39416.358732599605</c:v>
                </c:pt>
                <c:pt idx="6">
                  <c:v>38900.569305843121</c:v>
                </c:pt>
                <c:pt idx="7">
                  <c:v>40341.408245938532</c:v>
                </c:pt>
                <c:pt idx="8">
                  <c:v>49927.819509475121</c:v>
                </c:pt>
                <c:pt idx="9">
                  <c:v>57638.159087988279</c:v>
                </c:pt>
              </c:numCache>
            </c:numRef>
          </c:val>
        </c:ser>
        <c:ser>
          <c:idx val="3"/>
          <c:order val="1"/>
          <c:tx>
            <c:strRef>
              <c:f>Data!$BS$8</c:f>
              <c:strCache>
                <c:ptCount val="1"/>
                <c:pt idx="0">
                  <c:v>GDP PPP</c:v>
                </c:pt>
              </c:strCache>
            </c:strRef>
          </c:tx>
          <c:invertIfNegative val="0"/>
          <c:cat>
            <c:strRef>
              <c:f>Data!$BO$9:$BO$18</c:f>
              <c:strCache>
                <c:ptCount val="10"/>
                <c:pt idx="0">
                  <c:v>China</c:v>
                </c:pt>
                <c:pt idx="1">
                  <c:v>Thailand</c:v>
                </c:pt>
                <c:pt idx="2">
                  <c:v>Mexico</c:v>
                </c:pt>
                <c:pt idx="3">
                  <c:v>Turkey</c:v>
                </c:pt>
                <c:pt idx="4">
                  <c:v>Malaysia</c:v>
                </c:pt>
                <c:pt idx="5">
                  <c:v>New Zealand</c:v>
                </c:pt>
                <c:pt idx="6">
                  <c:v>Japan</c:v>
                </c:pt>
                <c:pt idx="7">
                  <c:v>United Kingdom</c:v>
                </c:pt>
                <c:pt idx="8">
                  <c:v>Australia</c:v>
                </c:pt>
                <c:pt idx="9">
                  <c:v>United States</c:v>
                </c:pt>
              </c:strCache>
            </c:strRef>
          </c:cat>
          <c:val>
            <c:numRef>
              <c:f>Data!$BS$9:$BS$18</c:f>
              <c:numCache>
                <c:formatCode>0</c:formatCode>
                <c:ptCount val="10"/>
                <c:pt idx="0">
                  <c:v>15535</c:v>
                </c:pt>
                <c:pt idx="1">
                  <c:v>16917</c:v>
                </c:pt>
                <c:pt idx="2">
                  <c:v>17862</c:v>
                </c:pt>
                <c:pt idx="3">
                  <c:v>24244</c:v>
                </c:pt>
                <c:pt idx="4">
                  <c:v>27681</c:v>
                </c:pt>
                <c:pt idx="5">
                  <c:v>39059</c:v>
                </c:pt>
                <c:pt idx="6">
                  <c:v>41470</c:v>
                </c:pt>
                <c:pt idx="7">
                  <c:v>42609</c:v>
                </c:pt>
                <c:pt idx="8">
                  <c:v>50078</c:v>
                </c:pt>
                <c:pt idx="9">
                  <c:v>57467</c:v>
                </c:pt>
              </c:numCache>
            </c:numRef>
          </c:val>
        </c:ser>
        <c:dLbls>
          <c:showLegendKey val="0"/>
          <c:showVal val="0"/>
          <c:showCatName val="0"/>
          <c:showSerName val="0"/>
          <c:showPercent val="0"/>
          <c:showBubbleSize val="0"/>
        </c:dLbls>
        <c:gapWidth val="75"/>
        <c:axId val="80451456"/>
        <c:axId val="80452992"/>
      </c:barChart>
      <c:catAx>
        <c:axId val="80451456"/>
        <c:scaling>
          <c:orientation val="minMax"/>
        </c:scaling>
        <c:delete val="0"/>
        <c:axPos val="l"/>
        <c:numFmt formatCode="General" sourceLinked="1"/>
        <c:majorTickMark val="none"/>
        <c:minorTickMark val="none"/>
        <c:tickLblPos val="nextTo"/>
        <c:crossAx val="80452992"/>
        <c:crosses val="autoZero"/>
        <c:auto val="1"/>
        <c:lblAlgn val="ctr"/>
        <c:lblOffset val="100"/>
        <c:noMultiLvlLbl val="0"/>
      </c:catAx>
      <c:valAx>
        <c:axId val="80452992"/>
        <c:scaling>
          <c:orientation val="minMax"/>
          <c:max val="60000"/>
        </c:scaling>
        <c:delete val="0"/>
        <c:axPos val="b"/>
        <c:numFmt formatCode="#,##0" sourceLinked="0"/>
        <c:majorTickMark val="none"/>
        <c:minorTickMark val="none"/>
        <c:tickLblPos val="nextTo"/>
        <c:crossAx val="8045145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00DB-8C86-48F3-A490-3FD989EE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32874</Words>
  <Characters>176864</Characters>
  <Application>Microsoft Office Word</Application>
  <DocSecurity>0</DocSecurity>
  <Lines>4421</Lines>
  <Paragraphs>2557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2018-03-07T18:40:00Z</cp:lastPrinted>
  <dcterms:created xsi:type="dcterms:W3CDTF">2018-03-07T18:39:00Z</dcterms:created>
  <dcterms:modified xsi:type="dcterms:W3CDTF">2018-03-13T11:44:00Z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