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F7B3AFA-0865-4B52-ABB4-AB5483FA2BB5" style="width:450.45pt;height:408.4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code="9"/>
          <w:pgMar w:top="1134" w:right="1417" w:bottom="1134" w:left="1417" w:header="709" w:footer="709" w:gutter="0"/>
          <w:pgNumType w:start="2"/>
          <w:cols w:space="720"/>
          <w:docGrid w:linePitch="360"/>
        </w:sectPr>
      </w:pPr>
    </w:p>
    <w:tbl>
      <w:tblPr>
        <w:tblStyle w:val="TableGrid"/>
        <w:tblW w:w="10188" w:type="dxa"/>
        <w:tblLayout w:type="fixed"/>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tabs>
                <w:tab w:val="left" w:pos="2309"/>
              </w:tabs>
              <w:spacing w:before="60" w:after="60"/>
              <w:jc w:val="center"/>
              <w:rPr>
                <w:rFonts w:ascii="Tahoma" w:hAnsi="Tahoma" w:cs="Tahoma"/>
                <w:b/>
                <w:noProof/>
                <w:sz w:val="20"/>
                <w:szCs w:val="20"/>
              </w:rPr>
            </w:pPr>
            <w:bookmarkStart w:id="1" w:name="_GoBack"/>
            <w:bookmarkEnd w:id="1"/>
            <w:r>
              <w:rPr>
                <w:rFonts w:ascii="Tahoma" w:hAnsi="Tahoma" w:cs="Tahoma"/>
                <w:b/>
                <w:noProof/>
                <w:sz w:val="20"/>
                <w:szCs w:val="20"/>
              </w:rPr>
              <w:lastRenderedPageBreak/>
              <w:t>Executive Summary Sheet</w:t>
            </w:r>
          </w:p>
        </w:tc>
      </w:tr>
      <w:tr>
        <w:trPr>
          <w:trHeight w:val="346"/>
        </w:trP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20"/>
              <w:jc w:val="center"/>
              <w:rPr>
                <w:rFonts w:ascii="Tahoma" w:hAnsi="Tahoma" w:cs="Tahoma"/>
                <w:b/>
                <w:noProof/>
                <w:sz w:val="20"/>
              </w:rPr>
            </w:pPr>
            <w:r>
              <w:rPr>
                <w:rFonts w:ascii="Tahoma" w:hAnsi="Tahoma" w:cs="Tahoma"/>
                <w:b/>
                <w:noProof/>
                <w:color w:val="FFFFFF" w:themeColor="background1"/>
                <w:sz w:val="20"/>
              </w:rPr>
              <w:t>Impact assessment for a proposal amending the Visa Code</w:t>
            </w:r>
          </w:p>
        </w:tc>
      </w:tr>
      <w:tr>
        <w:tc>
          <w:tcPr>
            <w:tcW w:w="10188" w:type="dxa"/>
            <w:tcBorders>
              <w:bottom w:val="single" w:sz="4" w:space="0" w:color="auto"/>
            </w:tcBorders>
            <w:shd w:val="clear" w:color="auto" w:fill="CCCCCC"/>
          </w:tcPr>
          <w:p>
            <w:pPr>
              <w:tabs>
                <w:tab w:val="left" w:pos="2309"/>
              </w:tabs>
              <w:spacing w:before="60" w:after="60"/>
              <w:rPr>
                <w:rFonts w:ascii="Tahoma" w:hAnsi="Tahoma" w:cs="Tahoma"/>
                <w:b/>
                <w:noProof/>
                <w:sz w:val="20"/>
                <w:szCs w:val="20"/>
              </w:rPr>
            </w:pPr>
            <w:r>
              <w:rPr>
                <w:rFonts w:ascii="Tahoma" w:hAnsi="Tahoma" w:cs="Tahoma"/>
                <w:b/>
                <w:noProof/>
                <w:sz w:val="20"/>
                <w:szCs w:val="20"/>
              </w:rPr>
              <w:t>A. Need for action</w:t>
            </w:r>
            <w:r>
              <w:rPr>
                <w:rFonts w:ascii="Tahoma" w:hAnsi="Tahoma" w:cs="Tahoma"/>
                <w:b/>
                <w:noProof/>
                <w:sz w:val="20"/>
                <w:szCs w:val="20"/>
              </w:rPr>
              <w:tab/>
            </w:r>
          </w:p>
        </w:tc>
      </w:tr>
      <w:tr>
        <w:tc>
          <w:tcPr>
            <w:tcW w:w="10188" w:type="dxa"/>
            <w:tcBorders>
              <w:bottom w:val="single" w:sz="4" w:space="0" w:color="auto"/>
            </w:tcBorders>
            <w:shd w:val="clear" w:color="auto" w:fill="E0E0E0"/>
          </w:tcPr>
          <w:p>
            <w:pPr>
              <w:pStyle w:val="Default"/>
              <w:spacing w:before="20" w:after="20"/>
              <w:jc w:val="both"/>
              <w:rPr>
                <w:rFonts w:ascii="Tahoma" w:hAnsi="Tahoma" w:cs="Tahoma"/>
                <w:noProof/>
                <w:sz w:val="20"/>
                <w:szCs w:val="20"/>
              </w:rPr>
            </w:pPr>
            <w:r>
              <w:rPr>
                <w:rFonts w:ascii="Tahoma" w:hAnsi="Tahoma" w:cs="Tahoma"/>
                <w:b/>
                <w:bCs/>
                <w:noProof/>
                <w:sz w:val="20"/>
                <w:szCs w:val="20"/>
              </w:rPr>
              <w:t>What is the problem and why is it a problem at EU level</w:t>
            </w:r>
            <w:r>
              <w:rPr>
                <w:rFonts w:ascii="Tahoma" w:hAnsi="Tahoma" w:cs="Tahoma"/>
                <w:b/>
                <w:noProof/>
                <w:sz w:val="20"/>
                <w:szCs w:val="20"/>
              </w:rPr>
              <w:t xml:space="preserve">? </w:t>
            </w:r>
          </w:p>
        </w:tc>
      </w:tr>
      <w:tr>
        <w:trPr>
          <w:trHeight w:val="3166"/>
        </w:trPr>
        <w:tc>
          <w:tcPr>
            <w:tcW w:w="10188" w:type="dxa"/>
            <w:tcBorders>
              <w:bottom w:val="single" w:sz="4" w:space="0" w:color="auto"/>
            </w:tcBorders>
            <w:shd w:val="clear" w:color="auto" w:fill="auto"/>
          </w:tcPr>
          <w:p>
            <w:pPr>
              <w:jc w:val="both"/>
              <w:rPr>
                <w:rFonts w:ascii="Tahoma" w:hAnsi="Tahoma" w:cs="Tahoma"/>
                <w:noProof/>
                <w:sz w:val="20"/>
                <w:szCs w:val="20"/>
              </w:rPr>
            </w:pPr>
            <w:r>
              <w:rPr>
                <w:rFonts w:ascii="Tahoma" w:hAnsi="Tahoma" w:cs="Tahoma"/>
                <w:noProof/>
                <w:sz w:val="20"/>
                <w:szCs w:val="20"/>
              </w:rPr>
              <w:t xml:space="preserve">The </w:t>
            </w:r>
            <w:r>
              <w:rPr>
                <w:rFonts w:ascii="Tahoma" w:hAnsi="Tahoma" w:cs="Tahoma"/>
                <w:b/>
                <w:noProof/>
                <w:sz w:val="20"/>
                <w:szCs w:val="20"/>
              </w:rPr>
              <w:t>Visa Code</w:t>
            </w:r>
            <w:r>
              <w:rPr>
                <w:rFonts w:ascii="Tahoma" w:hAnsi="Tahoma" w:cs="Tahoma"/>
                <w:noProof/>
                <w:sz w:val="20"/>
                <w:szCs w:val="20"/>
              </w:rPr>
              <w:t xml:space="preserve"> which regulates </w:t>
            </w:r>
            <w:r>
              <w:rPr>
                <w:rFonts w:ascii="Tahoma" w:hAnsi="Tahoma" w:cs="Tahoma"/>
                <w:b/>
                <w:noProof/>
                <w:sz w:val="20"/>
                <w:szCs w:val="20"/>
              </w:rPr>
              <w:t>conditions and procedures for issuing short-stay visas</w:t>
            </w:r>
            <w:r>
              <w:rPr>
                <w:rFonts w:ascii="Tahoma" w:hAnsi="Tahoma" w:cs="Tahoma"/>
                <w:noProof/>
                <w:sz w:val="20"/>
                <w:szCs w:val="20"/>
              </w:rPr>
              <w:t xml:space="preserve"> for the Schengen area is in force since 2009. In 2014, the Commission proposed a modification of the regulation on which co-legislators could not reach agreement. The Commission decided to present a new initiative in order to address </w:t>
            </w:r>
            <w:r>
              <w:rPr>
                <w:rFonts w:ascii="Tahoma" w:hAnsi="Tahoma" w:cs="Tahoma"/>
                <w:b/>
                <w:noProof/>
                <w:sz w:val="20"/>
                <w:szCs w:val="20"/>
              </w:rPr>
              <w:t>three problem areas</w:t>
            </w:r>
            <w:r>
              <w:rPr>
                <w:rFonts w:ascii="Tahoma" w:hAnsi="Tahoma" w:cs="Tahoma"/>
                <w:noProof/>
                <w:sz w:val="20"/>
                <w:szCs w:val="20"/>
              </w:rPr>
              <w:t>:</w:t>
            </w:r>
          </w:p>
          <w:p>
            <w:pPr>
              <w:pStyle w:val="ListParagraph"/>
              <w:numPr>
                <w:ilvl w:val="0"/>
                <w:numId w:val="13"/>
              </w:numPr>
              <w:jc w:val="both"/>
              <w:rPr>
                <w:rFonts w:ascii="Tahoma" w:hAnsi="Tahoma" w:cs="Tahoma"/>
                <w:noProof/>
                <w:sz w:val="20"/>
                <w:szCs w:val="20"/>
              </w:rPr>
            </w:pPr>
            <w:r>
              <w:rPr>
                <w:rFonts w:ascii="Tahoma" w:hAnsi="Tahoma" w:cs="Tahoma"/>
                <w:noProof/>
                <w:sz w:val="20"/>
                <w:szCs w:val="20"/>
              </w:rPr>
              <w:t xml:space="preserve">The </w:t>
            </w:r>
            <w:r>
              <w:rPr>
                <w:rFonts w:ascii="Tahoma" w:hAnsi="Tahoma" w:cs="Tahoma"/>
                <w:b/>
                <w:noProof/>
                <w:sz w:val="20"/>
                <w:szCs w:val="20"/>
              </w:rPr>
              <w:t xml:space="preserve">financial resources </w:t>
            </w:r>
            <w:r>
              <w:rPr>
                <w:rFonts w:ascii="Tahoma" w:hAnsi="Tahoma" w:cs="Tahoma"/>
                <w:noProof/>
                <w:sz w:val="20"/>
                <w:szCs w:val="20"/>
              </w:rPr>
              <w:t xml:space="preserve">obtained through the visa fees are </w:t>
            </w:r>
            <w:r>
              <w:rPr>
                <w:rFonts w:ascii="Tahoma" w:hAnsi="Tahoma" w:cs="Tahoma"/>
                <w:b/>
                <w:noProof/>
                <w:sz w:val="20"/>
                <w:szCs w:val="20"/>
              </w:rPr>
              <w:t>insufficient to support visa processing</w:t>
            </w:r>
            <w:r>
              <w:rPr>
                <w:rFonts w:ascii="Tahoma" w:hAnsi="Tahoma" w:cs="Tahoma"/>
                <w:noProof/>
                <w:sz w:val="20"/>
                <w:szCs w:val="20"/>
              </w:rPr>
              <w:t>, undermining the integrity of Schengen visa issuing and the objective of fast and client-friendly visa procedures. The main problem driver is that the standard visa fee of EUR 60 has not changed since 2006.</w:t>
            </w:r>
          </w:p>
          <w:p>
            <w:pPr>
              <w:pStyle w:val="ListParagraph"/>
              <w:numPr>
                <w:ilvl w:val="0"/>
                <w:numId w:val="13"/>
              </w:numPr>
              <w:jc w:val="both"/>
              <w:rPr>
                <w:rFonts w:ascii="Tahoma" w:hAnsi="Tahoma" w:cs="Tahoma"/>
                <w:noProof/>
                <w:sz w:val="20"/>
                <w:szCs w:val="20"/>
              </w:rPr>
            </w:pPr>
            <w:r>
              <w:rPr>
                <w:rFonts w:ascii="Tahoma" w:hAnsi="Tahoma" w:cs="Tahoma"/>
                <w:b/>
                <w:noProof/>
                <w:sz w:val="20"/>
                <w:szCs w:val="20"/>
              </w:rPr>
              <w:t>Regular travellers</w:t>
            </w:r>
            <w:r>
              <w:rPr>
                <w:rFonts w:ascii="Tahoma" w:hAnsi="Tahoma" w:cs="Tahoma"/>
                <w:noProof/>
                <w:sz w:val="20"/>
                <w:szCs w:val="20"/>
              </w:rPr>
              <w:t xml:space="preserve"> have to go through </w:t>
            </w:r>
            <w:r>
              <w:rPr>
                <w:rFonts w:ascii="Tahoma" w:hAnsi="Tahoma" w:cs="Tahoma"/>
                <w:b/>
                <w:noProof/>
                <w:sz w:val="20"/>
                <w:szCs w:val="20"/>
              </w:rPr>
              <w:t>repeated visa procedures</w:t>
            </w:r>
            <w:r>
              <w:rPr>
                <w:rFonts w:ascii="Tahoma" w:hAnsi="Tahoma" w:cs="Tahoma"/>
                <w:noProof/>
                <w:sz w:val="20"/>
                <w:szCs w:val="20"/>
              </w:rPr>
              <w:t xml:space="preserve">, as Member States do not sufficiently issue multiple-entry visas (MEV) with long validity. This creates unnecessary burdens for applicants and consulates and leads to </w:t>
            </w:r>
            <w:r>
              <w:rPr>
                <w:rFonts w:ascii="Tahoma" w:hAnsi="Tahoma" w:cs="Tahoma"/>
                <w:b/>
                <w:noProof/>
                <w:sz w:val="20"/>
                <w:szCs w:val="20"/>
              </w:rPr>
              <w:t>losses for the EU travel and tourism industry</w:t>
            </w:r>
            <w:r>
              <w:rPr>
                <w:rFonts w:ascii="Tahoma" w:hAnsi="Tahoma" w:cs="Tahoma"/>
                <w:noProof/>
                <w:sz w:val="20"/>
                <w:szCs w:val="20"/>
              </w:rPr>
              <w:t xml:space="preserve">. The main problem driver is that the legal basis for issuing long-validity MEV is unclear. </w:t>
            </w:r>
          </w:p>
          <w:p>
            <w:pPr>
              <w:pStyle w:val="ListParagraph"/>
              <w:numPr>
                <w:ilvl w:val="0"/>
                <w:numId w:val="13"/>
              </w:numPr>
              <w:jc w:val="both"/>
              <w:rPr>
                <w:rFonts w:ascii="Tahoma" w:hAnsi="Tahoma" w:cs="Tahoma"/>
                <w:noProof/>
                <w:sz w:val="20"/>
                <w:szCs w:val="20"/>
              </w:rPr>
            </w:pPr>
            <w:r>
              <w:rPr>
                <w:rFonts w:ascii="Tahoma" w:hAnsi="Tahoma" w:cs="Tahoma"/>
                <w:noProof/>
                <w:sz w:val="20"/>
                <w:szCs w:val="20"/>
              </w:rPr>
              <w:t xml:space="preserve">Member States have </w:t>
            </w:r>
            <w:r>
              <w:rPr>
                <w:rFonts w:ascii="Tahoma" w:hAnsi="Tahoma" w:cs="Tahoma"/>
                <w:b/>
                <w:noProof/>
                <w:sz w:val="20"/>
                <w:szCs w:val="20"/>
              </w:rPr>
              <w:t>difficulties in achieving sufficient levels of return</w:t>
            </w:r>
            <w:r>
              <w:rPr>
                <w:rFonts w:ascii="Tahoma" w:hAnsi="Tahoma" w:cs="Tahoma"/>
                <w:noProof/>
                <w:sz w:val="20"/>
                <w:szCs w:val="20"/>
              </w:rPr>
              <w:t xml:space="preserve"> </w:t>
            </w:r>
            <w:r>
              <w:rPr>
                <w:rFonts w:ascii="Tahoma" w:hAnsi="Tahoma" w:cs="Tahoma"/>
                <w:b/>
                <w:noProof/>
                <w:sz w:val="20"/>
                <w:szCs w:val="20"/>
              </w:rPr>
              <w:t>of irregular migrants to their countries of origin</w:t>
            </w:r>
            <w:r>
              <w:rPr>
                <w:rFonts w:ascii="Tahoma" w:hAnsi="Tahoma" w:cs="Tahoma"/>
                <w:noProof/>
                <w:sz w:val="20"/>
                <w:szCs w:val="20"/>
              </w:rPr>
              <w:t xml:space="preserve">, which creates an incentive for further illegal migration. The main problem driver is third countries' reluctance to readmit their own nationals.  </w:t>
            </w:r>
          </w:p>
        </w:tc>
      </w:tr>
      <w:tr>
        <w:tc>
          <w:tcPr>
            <w:tcW w:w="10188" w:type="dxa"/>
            <w:tcBorders>
              <w:bottom w:val="single" w:sz="4" w:space="0" w:color="auto"/>
            </w:tcBorders>
            <w:shd w:val="clear" w:color="auto" w:fill="E6E6E6"/>
          </w:tcPr>
          <w:p>
            <w:pPr>
              <w:pStyle w:val="Default"/>
              <w:spacing w:before="20" w:after="20"/>
              <w:jc w:val="both"/>
              <w:rPr>
                <w:rFonts w:ascii="Tahoma" w:hAnsi="Tahoma" w:cs="Tahoma"/>
                <w:noProof/>
                <w:sz w:val="20"/>
                <w:szCs w:val="20"/>
              </w:rPr>
            </w:pPr>
            <w:r>
              <w:rPr>
                <w:rFonts w:ascii="Tahoma" w:hAnsi="Tahoma" w:cs="Tahoma"/>
                <w:b/>
                <w:bCs/>
                <w:noProof/>
                <w:sz w:val="20"/>
                <w:szCs w:val="20"/>
              </w:rPr>
              <w:t xml:space="preserve">What should be achieved? </w:t>
            </w:r>
          </w:p>
        </w:tc>
      </w:tr>
      <w:tr>
        <w:trPr>
          <w:trHeight w:val="1990"/>
        </w:trPr>
        <w:tc>
          <w:tcPr>
            <w:tcW w:w="10188" w:type="dxa"/>
            <w:tcBorders>
              <w:bottom w:val="single" w:sz="4" w:space="0" w:color="auto"/>
            </w:tcBorders>
            <w:shd w:val="clear" w:color="auto" w:fill="auto"/>
          </w:tcPr>
          <w:p>
            <w:pPr>
              <w:spacing w:before="60" w:after="60"/>
              <w:jc w:val="both"/>
              <w:rPr>
                <w:rFonts w:ascii="Tahoma" w:hAnsi="Tahoma" w:cs="Tahoma"/>
                <w:noProof/>
                <w:sz w:val="20"/>
                <w:szCs w:val="20"/>
              </w:rPr>
            </w:pPr>
            <w:r>
              <w:rPr>
                <w:rFonts w:ascii="Tahoma" w:hAnsi="Tahoma" w:cs="Tahoma"/>
                <w:noProof/>
                <w:sz w:val="20"/>
                <w:szCs w:val="20"/>
              </w:rPr>
              <w:t xml:space="preserve">The </w:t>
            </w:r>
            <w:r>
              <w:rPr>
                <w:rFonts w:ascii="Tahoma" w:hAnsi="Tahoma" w:cs="Tahoma"/>
                <w:b/>
                <w:noProof/>
                <w:sz w:val="20"/>
                <w:szCs w:val="20"/>
              </w:rPr>
              <w:t xml:space="preserve">general </w:t>
            </w:r>
            <w:r>
              <w:rPr>
                <w:rFonts w:ascii="Tahoma" w:hAnsi="Tahoma" w:cs="Tahoma"/>
                <w:noProof/>
                <w:sz w:val="20"/>
                <w:szCs w:val="20"/>
              </w:rPr>
              <w:t xml:space="preserve">objective of the initiative is to strengthen the common visa policy while addressing migration and security concerns on one hand and taking into account economic considerations and general external relations on the other hand. There are three </w:t>
            </w:r>
            <w:r>
              <w:rPr>
                <w:rFonts w:ascii="Tahoma" w:hAnsi="Tahoma" w:cs="Tahoma"/>
                <w:b/>
                <w:noProof/>
                <w:sz w:val="20"/>
                <w:szCs w:val="20"/>
              </w:rPr>
              <w:t>specific</w:t>
            </w:r>
            <w:r>
              <w:rPr>
                <w:rFonts w:ascii="Tahoma" w:hAnsi="Tahoma" w:cs="Tahoma"/>
                <w:noProof/>
                <w:sz w:val="20"/>
                <w:szCs w:val="20"/>
              </w:rPr>
              <w:t xml:space="preserve"> objectives: </w:t>
            </w:r>
          </w:p>
          <w:p>
            <w:pPr>
              <w:pStyle w:val="ListParagraph"/>
              <w:numPr>
                <w:ilvl w:val="0"/>
                <w:numId w:val="1"/>
              </w:numPr>
              <w:jc w:val="both"/>
              <w:rPr>
                <w:rFonts w:ascii="Tahoma" w:hAnsi="Tahoma" w:cs="Tahoma"/>
                <w:noProof/>
                <w:sz w:val="20"/>
                <w:szCs w:val="20"/>
              </w:rPr>
            </w:pPr>
            <w:r>
              <w:rPr>
                <w:rFonts w:ascii="Tahoma" w:hAnsi="Tahoma" w:cs="Tahoma"/>
                <w:noProof/>
                <w:sz w:val="20"/>
                <w:szCs w:val="20"/>
              </w:rPr>
              <w:t xml:space="preserve">ensure </w:t>
            </w:r>
            <w:r>
              <w:rPr>
                <w:rFonts w:ascii="Tahoma" w:hAnsi="Tahoma" w:cs="Tahoma"/>
                <w:b/>
                <w:noProof/>
                <w:sz w:val="20"/>
                <w:szCs w:val="20"/>
              </w:rPr>
              <w:t>sufficient financial resources</w:t>
            </w:r>
            <w:r>
              <w:rPr>
                <w:rFonts w:ascii="Tahoma" w:hAnsi="Tahoma" w:cs="Tahoma"/>
                <w:noProof/>
                <w:sz w:val="20"/>
                <w:szCs w:val="20"/>
              </w:rPr>
              <w:t xml:space="preserve"> to Member States in order to safeguard the quality and integrity of visa processing; </w:t>
            </w:r>
          </w:p>
          <w:p>
            <w:pPr>
              <w:pStyle w:val="ListParagraph"/>
              <w:numPr>
                <w:ilvl w:val="0"/>
                <w:numId w:val="1"/>
              </w:numPr>
              <w:jc w:val="both"/>
              <w:rPr>
                <w:rFonts w:ascii="Tahoma" w:hAnsi="Tahoma" w:cs="Tahoma"/>
                <w:noProof/>
                <w:sz w:val="20"/>
                <w:szCs w:val="20"/>
              </w:rPr>
            </w:pPr>
            <w:r>
              <w:rPr>
                <w:rFonts w:ascii="Tahoma" w:hAnsi="Tahoma" w:cs="Tahoma"/>
                <w:noProof/>
                <w:sz w:val="20"/>
                <w:szCs w:val="20"/>
              </w:rPr>
              <w:t xml:space="preserve">ensure </w:t>
            </w:r>
            <w:r>
              <w:rPr>
                <w:rFonts w:ascii="Tahoma" w:hAnsi="Tahoma" w:cs="Tahoma"/>
                <w:b/>
                <w:noProof/>
                <w:sz w:val="20"/>
                <w:szCs w:val="20"/>
              </w:rPr>
              <w:t>more systematic and harmonised issuing of multiple-entry visas with long validity</w:t>
            </w:r>
            <w:r>
              <w:rPr>
                <w:rFonts w:ascii="Tahoma" w:hAnsi="Tahoma" w:cs="Tahoma"/>
                <w:noProof/>
                <w:sz w:val="20"/>
                <w:szCs w:val="20"/>
              </w:rPr>
              <w:t xml:space="preserve"> to bona fide regular travellers;</w:t>
            </w:r>
          </w:p>
          <w:p>
            <w:pPr>
              <w:pStyle w:val="ListParagraph"/>
              <w:numPr>
                <w:ilvl w:val="0"/>
                <w:numId w:val="1"/>
              </w:numPr>
              <w:jc w:val="both"/>
              <w:rPr>
                <w:rFonts w:ascii="Tahoma" w:hAnsi="Tahoma" w:cs="Tahoma"/>
                <w:b/>
                <w:noProof/>
                <w:sz w:val="20"/>
                <w:szCs w:val="20"/>
              </w:rPr>
            </w:pPr>
            <w:r>
              <w:rPr>
                <w:rFonts w:ascii="Tahoma" w:hAnsi="Tahoma" w:cs="Tahoma"/>
                <w:noProof/>
                <w:sz w:val="20"/>
                <w:szCs w:val="20"/>
              </w:rPr>
              <w:t xml:space="preserve">advance the </w:t>
            </w:r>
            <w:r>
              <w:rPr>
                <w:rFonts w:ascii="Tahoma" w:hAnsi="Tahoma" w:cs="Tahoma"/>
                <w:b/>
                <w:noProof/>
                <w:sz w:val="20"/>
                <w:szCs w:val="20"/>
              </w:rPr>
              <w:t>EU's interests in the area of return and readmission</w:t>
            </w:r>
            <w:r>
              <w:rPr>
                <w:rFonts w:ascii="Tahoma" w:hAnsi="Tahoma" w:cs="Tahoma"/>
                <w:noProof/>
                <w:sz w:val="20"/>
                <w:szCs w:val="20"/>
              </w:rPr>
              <w:t xml:space="preserve"> by increasing leverage vis-à-vis non-cooperative third countries in the area of visa policy.</w:t>
            </w:r>
          </w:p>
        </w:tc>
      </w:tr>
      <w:tr>
        <w:tc>
          <w:tcPr>
            <w:tcW w:w="10188" w:type="dxa"/>
            <w:tcBorders>
              <w:bottom w:val="single" w:sz="4" w:space="0" w:color="auto"/>
            </w:tcBorders>
            <w:shd w:val="clear" w:color="auto" w:fill="E6E6E6"/>
          </w:tcPr>
          <w:p>
            <w:pPr>
              <w:pStyle w:val="Default"/>
              <w:spacing w:before="20" w:after="20"/>
              <w:jc w:val="both"/>
              <w:rPr>
                <w:rFonts w:ascii="Tahoma" w:hAnsi="Tahoma" w:cs="Tahoma"/>
                <w:noProof/>
                <w:sz w:val="20"/>
                <w:szCs w:val="20"/>
              </w:rPr>
            </w:pPr>
            <w:r>
              <w:rPr>
                <w:rFonts w:ascii="Tahoma" w:hAnsi="Tahoma" w:cs="Tahoma"/>
                <w:b/>
                <w:bCs/>
                <w:noProof/>
                <w:sz w:val="20"/>
                <w:szCs w:val="20"/>
              </w:rPr>
              <w:t xml:space="preserve">What is the value added of action at the EU level (subsidiarity)? </w:t>
            </w:r>
          </w:p>
        </w:tc>
      </w:tr>
      <w:tr>
        <w:trPr>
          <w:trHeight w:val="1090"/>
        </w:trPr>
        <w:tc>
          <w:tcPr>
            <w:tcW w:w="10188" w:type="dxa"/>
            <w:tcBorders>
              <w:bottom w:val="single" w:sz="4" w:space="0" w:color="auto"/>
            </w:tcBorders>
            <w:shd w:val="clear" w:color="auto" w:fill="auto"/>
          </w:tcPr>
          <w:p>
            <w:pPr>
              <w:spacing w:after="120"/>
              <w:jc w:val="both"/>
              <w:rPr>
                <w:rFonts w:ascii="Tahoma" w:hAnsi="Tahoma" w:cs="Tahoma"/>
                <w:noProof/>
                <w:sz w:val="20"/>
                <w:szCs w:val="20"/>
              </w:rPr>
            </w:pPr>
            <w:r>
              <w:rPr>
                <w:rFonts w:ascii="Tahoma" w:hAnsi="Tahoma" w:cs="Tahoma"/>
                <w:noProof/>
                <w:sz w:val="20"/>
                <w:szCs w:val="20"/>
              </w:rPr>
              <w:t>The abolition of checks at internal borders in the Schengen area requires, among other measures, a common policy on visas. The initiative will further develop and improve the rules in the Visa Code. The short-stay visa in principle allows its holder to circulate freely in the Schengen area, which implies the highest degree of harmonised rules and can only be addressed at EU level.</w:t>
            </w:r>
          </w:p>
        </w:tc>
      </w:tr>
      <w:tr>
        <w:tc>
          <w:tcPr>
            <w:tcW w:w="10188" w:type="dxa"/>
            <w:tcBorders>
              <w:bottom w:val="single" w:sz="4" w:space="0" w:color="auto"/>
            </w:tcBorders>
            <w:shd w:val="clear" w:color="auto" w:fill="CCCCCC"/>
          </w:tcPr>
          <w:p>
            <w:pPr>
              <w:spacing w:before="60" w:after="60"/>
              <w:rPr>
                <w:rFonts w:ascii="Tahoma" w:hAnsi="Tahoma" w:cs="Tahoma"/>
                <w:b/>
                <w:noProof/>
                <w:sz w:val="20"/>
                <w:szCs w:val="20"/>
              </w:rPr>
            </w:pPr>
            <w:r>
              <w:rPr>
                <w:rFonts w:ascii="Tahoma" w:hAnsi="Tahoma" w:cs="Tahoma"/>
                <w:b/>
                <w:noProof/>
                <w:sz w:val="20"/>
                <w:szCs w:val="20"/>
              </w:rPr>
              <w:t>B. Solutions</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cs="Tahoma"/>
                <w:b/>
                <w:bCs/>
                <w:noProof/>
                <w:sz w:val="20"/>
                <w:szCs w:val="20"/>
              </w:rPr>
              <w:t xml:space="preserve">What are the various options to achieve the objectives? Is there a preferred option or not? If not, why? </w:t>
            </w:r>
          </w:p>
        </w:tc>
      </w:tr>
      <w:tr>
        <w:trPr>
          <w:trHeight w:val="1670"/>
        </w:trPr>
        <w:tc>
          <w:tcPr>
            <w:tcW w:w="10188" w:type="dxa"/>
            <w:tcBorders>
              <w:bottom w:val="single" w:sz="4" w:space="0" w:color="auto"/>
            </w:tcBorders>
            <w:shd w:val="clear" w:color="auto" w:fill="auto"/>
            <w:noWrap/>
          </w:tcPr>
          <w:p>
            <w:pPr>
              <w:pStyle w:val="Heading3"/>
              <w:keepNext w:val="0"/>
              <w:numPr>
                <w:ilvl w:val="0"/>
                <w:numId w:val="0"/>
              </w:numPr>
              <w:spacing w:before="0" w:after="0" w:line="276" w:lineRule="auto"/>
              <w:ind w:left="851" w:hanging="851"/>
              <w:contextualSpacing/>
              <w:outlineLvl w:val="2"/>
              <w:rPr>
                <w:rFonts w:ascii="Tahoma" w:hAnsi="Tahoma" w:cs="Tahoma"/>
                <w:bCs w:val="0"/>
                <w:i w:val="0"/>
                <w:noProof/>
                <w:sz w:val="20"/>
                <w:szCs w:val="20"/>
                <w:u w:val="single"/>
              </w:rPr>
            </w:pPr>
            <w:r>
              <w:rPr>
                <w:rFonts w:ascii="Tahoma" w:hAnsi="Tahoma" w:cs="Tahoma"/>
                <w:bCs w:val="0"/>
                <w:i w:val="0"/>
                <w:noProof/>
                <w:sz w:val="20"/>
                <w:szCs w:val="20"/>
                <w:u w:val="single"/>
              </w:rPr>
              <w:t>Problem area 1: Insufficient financial resources to support visa processing</w:t>
            </w:r>
          </w:p>
          <w:p>
            <w:pPr>
              <w:pStyle w:val="ListParagraph"/>
              <w:numPr>
                <w:ilvl w:val="0"/>
                <w:numId w:val="17"/>
              </w:numPr>
              <w:rPr>
                <w:rFonts w:ascii="Tahoma" w:hAnsi="Tahoma" w:cs="Tahoma"/>
                <w:noProof/>
                <w:sz w:val="20"/>
                <w:szCs w:val="20"/>
              </w:rPr>
            </w:pPr>
            <w:r>
              <w:rPr>
                <w:rFonts w:ascii="Tahoma" w:hAnsi="Tahoma" w:cs="Tahoma"/>
                <w:noProof/>
                <w:sz w:val="20"/>
                <w:szCs w:val="20"/>
              </w:rPr>
              <w:t>Option 1A: status quo – unchanged common visa fee at EUR 60</w:t>
            </w:r>
          </w:p>
          <w:p>
            <w:pPr>
              <w:pStyle w:val="ListParagraph"/>
              <w:numPr>
                <w:ilvl w:val="0"/>
                <w:numId w:val="17"/>
              </w:numPr>
              <w:rPr>
                <w:rFonts w:ascii="Tahoma" w:hAnsi="Tahoma" w:cs="Tahoma"/>
                <w:noProof/>
                <w:sz w:val="20"/>
                <w:szCs w:val="20"/>
              </w:rPr>
            </w:pPr>
            <w:r>
              <w:rPr>
                <w:rFonts w:ascii="Tahoma" w:hAnsi="Tahoma" w:cs="Tahoma"/>
                <w:noProof/>
                <w:sz w:val="20"/>
                <w:szCs w:val="20"/>
              </w:rPr>
              <w:t>Option 1B: national visa fees based on administrative costs</w:t>
            </w:r>
          </w:p>
          <w:p>
            <w:pPr>
              <w:pStyle w:val="ListParagraph"/>
              <w:numPr>
                <w:ilvl w:val="0"/>
                <w:numId w:val="17"/>
              </w:numPr>
              <w:rPr>
                <w:rFonts w:ascii="Tahoma" w:hAnsi="Tahoma" w:cs="Tahoma"/>
                <w:noProof/>
                <w:sz w:val="20"/>
                <w:szCs w:val="20"/>
              </w:rPr>
            </w:pPr>
            <w:r>
              <w:rPr>
                <w:rFonts w:ascii="Tahoma" w:hAnsi="Tahoma" w:cs="Tahoma"/>
                <w:noProof/>
                <w:sz w:val="20"/>
                <w:szCs w:val="20"/>
              </w:rPr>
              <w:t xml:space="preserve">Option 1C: increase of common visa fee. Various sub-options are considered: EUR 80, EUR 100, EUR 120 or EUR 80 for visas up to 6 months, EUR 120 for MEV of 1-5 years. </w:t>
            </w:r>
          </w:p>
          <w:p>
            <w:pPr>
              <w:rPr>
                <w:rFonts w:ascii="Tahoma" w:hAnsi="Tahoma" w:cs="Tahoma"/>
                <w:noProof/>
                <w:sz w:val="20"/>
                <w:szCs w:val="20"/>
              </w:rPr>
            </w:pPr>
            <w:r>
              <w:rPr>
                <w:rFonts w:ascii="Tahoma" w:hAnsi="Tahoma" w:cs="Tahoma"/>
                <w:noProof/>
                <w:sz w:val="20"/>
                <w:szCs w:val="20"/>
              </w:rPr>
              <w:t xml:space="preserve">The increase to a </w:t>
            </w:r>
            <w:r>
              <w:rPr>
                <w:rFonts w:ascii="Tahoma" w:hAnsi="Tahoma" w:cs="Tahoma"/>
                <w:b/>
                <w:noProof/>
                <w:sz w:val="20"/>
                <w:szCs w:val="20"/>
              </w:rPr>
              <w:t>EUR 80 fee</w:t>
            </w:r>
            <w:r>
              <w:rPr>
                <w:rFonts w:ascii="Tahoma" w:hAnsi="Tahoma" w:cs="Tahoma"/>
                <w:noProof/>
                <w:sz w:val="20"/>
                <w:szCs w:val="20"/>
              </w:rPr>
              <w:t xml:space="preserve"> is the preferred option.</w:t>
            </w:r>
          </w:p>
          <w:p>
            <w:pPr>
              <w:pStyle w:val="ListParagraph"/>
              <w:rPr>
                <w:rFonts w:ascii="Tahoma" w:hAnsi="Tahoma" w:cs="Tahoma"/>
                <w:noProof/>
                <w:sz w:val="20"/>
                <w:szCs w:val="20"/>
              </w:rPr>
            </w:pPr>
          </w:p>
          <w:p>
            <w:pPr>
              <w:rPr>
                <w:rFonts w:ascii="Tahoma" w:hAnsi="Tahoma" w:cs="Tahoma"/>
                <w:noProof/>
                <w:sz w:val="20"/>
                <w:szCs w:val="20"/>
                <w:u w:val="single"/>
              </w:rPr>
            </w:pPr>
            <w:r>
              <w:rPr>
                <w:rFonts w:ascii="Tahoma" w:hAnsi="Tahoma" w:cs="Tahoma"/>
                <w:noProof/>
                <w:sz w:val="20"/>
                <w:szCs w:val="20"/>
                <w:u w:val="single"/>
              </w:rPr>
              <w:t>Problem area 2: Repeated visa procedures for regular travellers</w:t>
            </w:r>
          </w:p>
          <w:p>
            <w:pPr>
              <w:pStyle w:val="ListParagraph"/>
              <w:numPr>
                <w:ilvl w:val="0"/>
                <w:numId w:val="19"/>
              </w:numPr>
              <w:rPr>
                <w:rFonts w:ascii="Tahoma" w:hAnsi="Tahoma" w:cs="Tahoma"/>
                <w:noProof/>
                <w:sz w:val="20"/>
                <w:szCs w:val="20"/>
              </w:rPr>
            </w:pPr>
            <w:r>
              <w:rPr>
                <w:rFonts w:ascii="Tahoma" w:hAnsi="Tahoma" w:cs="Tahoma"/>
                <w:noProof/>
                <w:sz w:val="20"/>
                <w:szCs w:val="20"/>
              </w:rPr>
              <w:t>Option 2A: status quo – Member States determine their approach to issuing MEV with long validity</w:t>
            </w:r>
          </w:p>
          <w:p>
            <w:pPr>
              <w:pStyle w:val="ListParagraph"/>
              <w:numPr>
                <w:ilvl w:val="0"/>
                <w:numId w:val="19"/>
              </w:numPr>
              <w:rPr>
                <w:rFonts w:ascii="Tahoma" w:hAnsi="Tahoma" w:cs="Tahoma"/>
                <w:noProof/>
                <w:sz w:val="20"/>
                <w:szCs w:val="20"/>
              </w:rPr>
            </w:pPr>
            <w:r>
              <w:rPr>
                <w:rFonts w:ascii="Tahoma" w:hAnsi="Tahoma" w:cs="Tahoma"/>
                <w:noProof/>
                <w:sz w:val="20"/>
                <w:szCs w:val="20"/>
              </w:rPr>
              <w:t>Option 2B: recommended best practice</w:t>
            </w:r>
          </w:p>
          <w:p>
            <w:pPr>
              <w:pStyle w:val="ListParagraph"/>
              <w:numPr>
                <w:ilvl w:val="0"/>
                <w:numId w:val="19"/>
              </w:numPr>
              <w:rPr>
                <w:rFonts w:ascii="Tahoma" w:hAnsi="Tahoma" w:cs="Tahoma"/>
                <w:noProof/>
                <w:sz w:val="20"/>
                <w:szCs w:val="20"/>
              </w:rPr>
            </w:pPr>
            <w:r>
              <w:rPr>
                <w:rFonts w:ascii="Tahoma" w:hAnsi="Tahoma" w:cs="Tahoma"/>
                <w:noProof/>
                <w:sz w:val="20"/>
                <w:szCs w:val="20"/>
              </w:rPr>
              <w:t>Option 2C: common MEV cascades</w:t>
            </w:r>
            <w:r>
              <w:rPr>
                <w:rStyle w:val="FootnoteReference"/>
                <w:rFonts w:ascii="Tahoma" w:hAnsi="Tahoma" w:cs="Tahoma"/>
                <w:noProof/>
                <w:sz w:val="20"/>
                <w:szCs w:val="20"/>
              </w:rPr>
              <w:footnoteReference w:id="2"/>
            </w:r>
            <w:r>
              <w:rPr>
                <w:rFonts w:ascii="Tahoma" w:hAnsi="Tahoma" w:cs="Tahoma"/>
                <w:noProof/>
                <w:sz w:val="20"/>
                <w:szCs w:val="20"/>
              </w:rPr>
              <w:t xml:space="preserve"> with various sub-options (general MEV cascade, general and country MEV cascades, country MEV cascades)</w:t>
            </w:r>
          </w:p>
          <w:p>
            <w:pPr>
              <w:pStyle w:val="ListParagraph"/>
              <w:numPr>
                <w:ilvl w:val="0"/>
                <w:numId w:val="19"/>
              </w:numPr>
              <w:rPr>
                <w:rFonts w:ascii="Tahoma" w:hAnsi="Tahoma" w:cs="Tahoma"/>
                <w:noProof/>
                <w:sz w:val="20"/>
                <w:szCs w:val="20"/>
              </w:rPr>
            </w:pPr>
            <w:r>
              <w:rPr>
                <w:rFonts w:ascii="Tahoma" w:hAnsi="Tahoma" w:cs="Tahoma"/>
                <w:noProof/>
                <w:sz w:val="20"/>
                <w:szCs w:val="20"/>
              </w:rPr>
              <w:t>Option 2D: standard MEV with 2- or 5-year validity</w:t>
            </w:r>
          </w:p>
          <w:p>
            <w:pPr>
              <w:rPr>
                <w:rFonts w:ascii="Tahoma" w:hAnsi="Tahoma" w:cs="Tahoma"/>
                <w:noProof/>
                <w:sz w:val="20"/>
                <w:szCs w:val="20"/>
              </w:rPr>
            </w:pPr>
            <w:r>
              <w:rPr>
                <w:rFonts w:ascii="Tahoma" w:hAnsi="Tahoma" w:cs="Tahoma"/>
                <w:noProof/>
                <w:sz w:val="20"/>
                <w:szCs w:val="20"/>
              </w:rPr>
              <w:t xml:space="preserve">The </w:t>
            </w:r>
            <w:r>
              <w:rPr>
                <w:rFonts w:ascii="Tahoma" w:hAnsi="Tahoma" w:cs="Tahoma"/>
                <w:b/>
                <w:noProof/>
                <w:sz w:val="20"/>
                <w:szCs w:val="20"/>
              </w:rPr>
              <w:t>general and</w:t>
            </w:r>
            <w:r>
              <w:rPr>
                <w:rFonts w:ascii="Tahoma" w:hAnsi="Tahoma" w:cs="Tahoma"/>
                <w:noProof/>
                <w:sz w:val="20"/>
                <w:szCs w:val="20"/>
              </w:rPr>
              <w:t xml:space="preserve"> </w:t>
            </w:r>
            <w:r>
              <w:rPr>
                <w:rFonts w:ascii="Tahoma" w:hAnsi="Tahoma" w:cs="Tahoma"/>
                <w:b/>
                <w:noProof/>
                <w:sz w:val="20"/>
                <w:szCs w:val="20"/>
              </w:rPr>
              <w:t>country MEV cascade</w:t>
            </w:r>
            <w:r>
              <w:rPr>
                <w:rFonts w:ascii="Tahoma" w:hAnsi="Tahoma" w:cs="Tahoma"/>
                <w:noProof/>
                <w:sz w:val="20"/>
                <w:szCs w:val="20"/>
              </w:rPr>
              <w:t xml:space="preserve"> is the preferred option.</w:t>
            </w:r>
          </w:p>
          <w:p>
            <w:pPr>
              <w:rPr>
                <w:rFonts w:ascii="Tahoma" w:hAnsi="Tahoma" w:cs="Tahoma"/>
                <w:noProof/>
                <w:sz w:val="20"/>
                <w:szCs w:val="20"/>
              </w:rPr>
            </w:pPr>
          </w:p>
          <w:p>
            <w:pPr>
              <w:rPr>
                <w:rFonts w:ascii="Tahoma" w:hAnsi="Tahoma" w:cs="Tahoma"/>
                <w:noProof/>
                <w:sz w:val="20"/>
                <w:szCs w:val="20"/>
                <w:u w:val="single"/>
              </w:rPr>
            </w:pPr>
            <w:r>
              <w:rPr>
                <w:rFonts w:ascii="Tahoma" w:hAnsi="Tahoma" w:cs="Tahoma"/>
                <w:noProof/>
                <w:sz w:val="20"/>
                <w:szCs w:val="20"/>
                <w:u w:val="single"/>
              </w:rPr>
              <w:t>Problem area 3: Insufficient levels of return of irregular migrants to some countries of origin</w:t>
            </w:r>
          </w:p>
          <w:p>
            <w:pPr>
              <w:pStyle w:val="ListParagraph"/>
              <w:numPr>
                <w:ilvl w:val="0"/>
                <w:numId w:val="21"/>
              </w:numPr>
              <w:rPr>
                <w:rFonts w:ascii="Tahoma" w:hAnsi="Tahoma" w:cs="Tahoma"/>
                <w:noProof/>
                <w:sz w:val="20"/>
                <w:szCs w:val="20"/>
              </w:rPr>
            </w:pPr>
            <w:r>
              <w:rPr>
                <w:rFonts w:ascii="Tahoma" w:hAnsi="Tahoma" w:cs="Tahoma"/>
                <w:noProof/>
                <w:sz w:val="20"/>
                <w:szCs w:val="20"/>
              </w:rPr>
              <w:t>Option 3A: status quo – Council 'toolbox approach'</w:t>
            </w:r>
          </w:p>
          <w:p>
            <w:pPr>
              <w:pStyle w:val="ListParagraph"/>
              <w:numPr>
                <w:ilvl w:val="0"/>
                <w:numId w:val="21"/>
              </w:numPr>
              <w:rPr>
                <w:rFonts w:ascii="Tahoma" w:hAnsi="Tahoma" w:cs="Tahoma"/>
                <w:noProof/>
                <w:sz w:val="20"/>
                <w:szCs w:val="20"/>
              </w:rPr>
            </w:pPr>
            <w:r>
              <w:rPr>
                <w:rFonts w:ascii="Tahoma" w:hAnsi="Tahoma" w:cs="Tahoma"/>
                <w:noProof/>
                <w:sz w:val="20"/>
                <w:szCs w:val="20"/>
              </w:rPr>
              <w:t>Option 3B: positive incentives in visa policy</w:t>
            </w:r>
          </w:p>
          <w:p>
            <w:pPr>
              <w:pStyle w:val="ListParagraph"/>
              <w:numPr>
                <w:ilvl w:val="0"/>
                <w:numId w:val="21"/>
              </w:numPr>
              <w:rPr>
                <w:rFonts w:ascii="Tahoma" w:hAnsi="Tahoma" w:cs="Tahoma"/>
                <w:noProof/>
                <w:sz w:val="20"/>
                <w:szCs w:val="20"/>
              </w:rPr>
            </w:pPr>
            <w:r>
              <w:rPr>
                <w:rFonts w:ascii="Tahoma" w:hAnsi="Tahoma" w:cs="Tahoma"/>
                <w:noProof/>
                <w:sz w:val="20"/>
                <w:szCs w:val="20"/>
              </w:rPr>
              <w:t>Option 3C: negative incentives in visa policy with various sub-options  (maximum approach aiming at all passports from the start or targeted approach in two phases: diplomatic and service passports, then ordinary passports)</w:t>
            </w:r>
          </w:p>
          <w:p>
            <w:pPr>
              <w:rPr>
                <w:rFonts w:ascii="Tahoma" w:hAnsi="Tahoma" w:cs="Tahoma"/>
                <w:noProof/>
                <w:sz w:val="20"/>
                <w:szCs w:val="20"/>
              </w:rPr>
            </w:pPr>
            <w:r>
              <w:rPr>
                <w:rFonts w:ascii="Tahoma" w:hAnsi="Tahoma" w:cs="Tahoma"/>
                <w:noProof/>
                <w:sz w:val="20"/>
                <w:szCs w:val="20"/>
              </w:rPr>
              <w:t xml:space="preserve">The </w:t>
            </w:r>
            <w:r>
              <w:rPr>
                <w:rFonts w:ascii="Tahoma" w:hAnsi="Tahoma" w:cs="Tahoma"/>
                <w:b/>
                <w:noProof/>
                <w:sz w:val="20"/>
                <w:szCs w:val="20"/>
              </w:rPr>
              <w:t xml:space="preserve">negative incentives with a targeted approach </w:t>
            </w:r>
            <w:r>
              <w:rPr>
                <w:rFonts w:ascii="Tahoma" w:hAnsi="Tahoma" w:cs="Tahoma"/>
                <w:noProof/>
                <w:sz w:val="20"/>
                <w:szCs w:val="20"/>
              </w:rPr>
              <w:t>is the preferred option.</w:t>
            </w:r>
          </w:p>
        </w:tc>
      </w:tr>
      <w:tr>
        <w:tc>
          <w:tcPr>
            <w:tcW w:w="10188" w:type="dxa"/>
            <w:shd w:val="clear" w:color="auto" w:fill="E6E6E6"/>
          </w:tcPr>
          <w:p>
            <w:pPr>
              <w:pStyle w:val="Default"/>
              <w:spacing w:before="20" w:after="20"/>
              <w:jc w:val="both"/>
              <w:rPr>
                <w:rFonts w:ascii="Tahoma" w:hAnsi="Tahoma" w:cs="Tahoma"/>
                <w:b/>
                <w:bCs/>
                <w:noProof/>
                <w:sz w:val="20"/>
                <w:szCs w:val="20"/>
              </w:rPr>
            </w:pPr>
            <w:r>
              <w:rPr>
                <w:rFonts w:ascii="Tahoma" w:hAnsi="Tahoma" w:cs="Tahoma"/>
                <w:b/>
                <w:bCs/>
                <w:noProof/>
                <w:sz w:val="20"/>
                <w:szCs w:val="20"/>
              </w:rPr>
              <w:t xml:space="preserve">What are different stakeholders' views? Who supports which option? </w:t>
            </w:r>
          </w:p>
        </w:tc>
      </w:tr>
      <w:tr>
        <w:trPr>
          <w:trHeight w:val="1270"/>
        </w:trPr>
        <w:tc>
          <w:tcPr>
            <w:tcW w:w="10188" w:type="dxa"/>
            <w:shd w:val="clear" w:color="auto" w:fill="auto"/>
          </w:tcPr>
          <w:p>
            <w:pPr>
              <w:spacing w:after="60"/>
              <w:jc w:val="both"/>
              <w:rPr>
                <w:rFonts w:ascii="Tahoma" w:hAnsi="Tahoma" w:cs="Tahoma"/>
                <w:noProof/>
                <w:sz w:val="20"/>
                <w:szCs w:val="20"/>
              </w:rPr>
            </w:pPr>
            <w:r>
              <w:rPr>
                <w:rFonts w:ascii="Tahoma" w:hAnsi="Tahoma" w:cs="Tahoma"/>
                <w:noProof/>
                <w:sz w:val="20"/>
                <w:szCs w:val="20"/>
              </w:rPr>
              <w:t xml:space="preserve">Targeted consultations (Member States, associations in the tourism, travel, shipping industries etc.) and an open public consultation were carried out. Member States clearly favour an increase of the visa fee as well as introducing a legal link between the visa policy and readmission of irregular migrants. Tourism and business associations highlight the negative effects of repeated visa procedures for frequent travellers and advocate a more systematic and harmonised issuing of MEV with long validity. </w:t>
            </w:r>
          </w:p>
        </w:tc>
      </w:tr>
      <w:tr>
        <w:tc>
          <w:tcPr>
            <w:tcW w:w="10188" w:type="dxa"/>
            <w:tcBorders>
              <w:bottom w:val="single" w:sz="4" w:space="0" w:color="auto"/>
            </w:tcBorders>
            <w:shd w:val="clear" w:color="auto" w:fill="CCCCCC"/>
          </w:tcPr>
          <w:p>
            <w:pPr>
              <w:spacing w:before="60" w:after="60"/>
              <w:rPr>
                <w:rFonts w:ascii="Tahoma" w:hAnsi="Tahoma" w:cs="Tahoma"/>
                <w:b/>
                <w:noProof/>
                <w:sz w:val="20"/>
                <w:szCs w:val="20"/>
              </w:rPr>
            </w:pPr>
            <w:r>
              <w:rPr>
                <w:rFonts w:ascii="Tahoma" w:hAnsi="Tahoma" w:cs="Tahoma"/>
                <w:b/>
                <w:noProof/>
                <w:sz w:val="20"/>
                <w:szCs w:val="20"/>
              </w:rPr>
              <w:t>C. Impacts of the preferred option</w:t>
            </w:r>
          </w:p>
        </w:tc>
      </w:tr>
      <w:tr>
        <w:tc>
          <w:tcPr>
            <w:tcW w:w="10188" w:type="dxa"/>
            <w:tcBorders>
              <w:bottom w:val="single" w:sz="4" w:space="0" w:color="auto"/>
            </w:tcBorders>
            <w:shd w:val="clear" w:color="auto" w:fill="E6E6E6"/>
          </w:tcPr>
          <w:p>
            <w:pPr>
              <w:pStyle w:val="Default"/>
              <w:jc w:val="both"/>
              <w:rPr>
                <w:rFonts w:ascii="Tahoma" w:hAnsi="Tahoma" w:cs="Tahoma"/>
                <w:noProof/>
                <w:color w:val="auto"/>
                <w:sz w:val="20"/>
                <w:szCs w:val="20"/>
              </w:rPr>
            </w:pPr>
            <w:r>
              <w:rPr>
                <w:rFonts w:ascii="Tahoma" w:hAnsi="Tahoma" w:cs="Tahoma"/>
                <w:b/>
                <w:bCs/>
                <w:noProof/>
                <w:color w:val="auto"/>
                <w:sz w:val="20"/>
                <w:szCs w:val="20"/>
              </w:rPr>
              <w:t xml:space="preserve">What are the benefits of the preferred option? </w:t>
            </w:r>
          </w:p>
        </w:tc>
      </w:tr>
      <w:tr>
        <w:trPr>
          <w:trHeight w:val="1042"/>
        </w:trPr>
        <w:tc>
          <w:tcPr>
            <w:tcW w:w="10188" w:type="dxa"/>
            <w:tcBorders>
              <w:bottom w:val="single" w:sz="4" w:space="0" w:color="auto"/>
            </w:tcBorders>
            <w:shd w:val="clear" w:color="auto" w:fill="auto"/>
          </w:tcPr>
          <w:p>
            <w:pPr>
              <w:spacing w:before="60" w:after="60"/>
              <w:jc w:val="both"/>
              <w:rPr>
                <w:rFonts w:ascii="Tahoma" w:hAnsi="Tahoma" w:cs="Tahoma"/>
                <w:noProof/>
                <w:sz w:val="20"/>
                <w:szCs w:val="20"/>
              </w:rPr>
            </w:pPr>
            <w:r>
              <w:rPr>
                <w:rFonts w:ascii="Tahoma" w:hAnsi="Tahoma" w:cs="Tahoma"/>
                <w:noProof/>
                <w:sz w:val="20"/>
                <w:szCs w:val="20"/>
              </w:rPr>
              <w:t xml:space="preserve">- The </w:t>
            </w:r>
            <w:r>
              <w:rPr>
                <w:rFonts w:ascii="Tahoma" w:hAnsi="Tahoma" w:cs="Tahoma"/>
                <w:noProof/>
                <w:sz w:val="20"/>
                <w:szCs w:val="20"/>
                <w:u w:val="single"/>
              </w:rPr>
              <w:t>common visa fee at EUR 80</w:t>
            </w:r>
            <w:r>
              <w:rPr>
                <w:rFonts w:ascii="Tahoma" w:hAnsi="Tahoma" w:cs="Tahoma"/>
                <w:noProof/>
                <w:sz w:val="20"/>
                <w:szCs w:val="20"/>
              </w:rPr>
              <w:t xml:space="preserve"> will provide additional revenue for Member States of EUR 205 million (+26%), thereby more financial resources for visa processing, staffing and training – faster procedures and higher security for Schengen area.</w:t>
            </w:r>
          </w:p>
          <w:p>
            <w:pPr>
              <w:spacing w:before="60" w:after="60"/>
              <w:jc w:val="both"/>
              <w:rPr>
                <w:rFonts w:ascii="Tahoma" w:hAnsi="Tahoma" w:cs="Tahoma"/>
                <w:noProof/>
                <w:sz w:val="20"/>
                <w:szCs w:val="20"/>
              </w:rPr>
            </w:pPr>
            <w:r>
              <w:rPr>
                <w:rFonts w:ascii="Tahoma" w:hAnsi="Tahoma" w:cs="Tahoma"/>
                <w:noProof/>
                <w:sz w:val="20"/>
                <w:szCs w:val="20"/>
              </w:rPr>
              <w:t xml:space="preserve">- The </w:t>
            </w:r>
            <w:r>
              <w:rPr>
                <w:rFonts w:ascii="Tahoma" w:hAnsi="Tahoma" w:cs="Tahoma"/>
                <w:noProof/>
                <w:sz w:val="20"/>
                <w:szCs w:val="20"/>
                <w:u w:val="single"/>
              </w:rPr>
              <w:t>general and country MEV cascades</w:t>
            </w:r>
            <w:r>
              <w:rPr>
                <w:rFonts w:ascii="Tahoma" w:hAnsi="Tahoma" w:cs="Tahoma"/>
                <w:noProof/>
                <w:sz w:val="20"/>
                <w:szCs w:val="20"/>
              </w:rPr>
              <w:t xml:space="preserve"> would allow for more MEV with long validity issued, creating for travel flexibility for frequent travellers; cost savings for visa applicants and consulates due to fewer visa procedures and increased travel to the EU, with positive repercussions for the EU tourism industry (competitiveness and employment). </w:t>
            </w:r>
          </w:p>
          <w:p>
            <w:pPr>
              <w:spacing w:before="60" w:after="60"/>
              <w:jc w:val="both"/>
              <w:rPr>
                <w:rFonts w:ascii="Tahoma" w:hAnsi="Tahoma" w:cs="Tahoma"/>
                <w:noProof/>
                <w:sz w:val="20"/>
                <w:szCs w:val="20"/>
              </w:rPr>
            </w:pPr>
            <w:r>
              <w:rPr>
                <w:rFonts w:ascii="Tahoma" w:hAnsi="Tahoma" w:cs="Tahoma"/>
                <w:noProof/>
                <w:sz w:val="20"/>
                <w:szCs w:val="20"/>
              </w:rPr>
              <w:t xml:space="preserve">- </w:t>
            </w:r>
            <w:r>
              <w:rPr>
                <w:rFonts w:ascii="Tahoma" w:hAnsi="Tahoma" w:cs="Tahoma"/>
                <w:noProof/>
                <w:sz w:val="20"/>
                <w:szCs w:val="20"/>
                <w:u w:val="single"/>
              </w:rPr>
              <w:t>Negative incentives in visa policy (with a targeted approach)</w:t>
            </w:r>
            <w:r>
              <w:rPr>
                <w:rFonts w:ascii="Tahoma" w:hAnsi="Tahoma" w:cs="Tahoma"/>
                <w:noProof/>
                <w:sz w:val="20"/>
                <w:szCs w:val="20"/>
              </w:rPr>
              <w:t xml:space="preserve"> should</w:t>
            </w:r>
            <w:r>
              <w:rPr>
                <w:rFonts w:ascii="Tahoma" w:hAnsi="Tahoma" w:cs="Tahoma"/>
                <w:noProof/>
                <w:sz w:val="20"/>
                <w:szCs w:val="20"/>
                <w:u w:val="single"/>
              </w:rPr>
              <w:t xml:space="preserve"> </w:t>
            </w:r>
            <w:r>
              <w:rPr>
                <w:rFonts w:ascii="Tahoma" w:hAnsi="Tahoma" w:cs="Tahoma"/>
                <w:noProof/>
                <w:sz w:val="20"/>
                <w:szCs w:val="20"/>
              </w:rPr>
              <w:t xml:space="preserve">contribute to higher rates of return of irregular migrants to previously non-cooperative third countries, cost savings for Member States for lodging, food, and administrative expenses, and more generally higher security, better acceptance of EU migration policy, and a deterrent effect on potential future irregular migrants. </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cs="Tahoma"/>
                <w:b/>
                <w:bCs/>
                <w:noProof/>
                <w:sz w:val="20"/>
                <w:szCs w:val="20"/>
              </w:rPr>
              <w:t xml:space="preserve">What are the costs of the preferred option? </w:t>
            </w:r>
          </w:p>
        </w:tc>
      </w:tr>
      <w:tr>
        <w:trPr>
          <w:trHeight w:val="1198"/>
        </w:trPr>
        <w:tc>
          <w:tcPr>
            <w:tcW w:w="10188" w:type="dxa"/>
            <w:tcBorders>
              <w:bottom w:val="single" w:sz="4" w:space="0" w:color="auto"/>
            </w:tcBorders>
            <w:shd w:val="clear" w:color="auto" w:fill="auto"/>
          </w:tcPr>
          <w:p>
            <w:pPr>
              <w:spacing w:before="60" w:after="60"/>
              <w:jc w:val="both"/>
              <w:rPr>
                <w:rFonts w:ascii="Tahoma" w:hAnsi="Tahoma" w:cs="Tahoma"/>
                <w:noProof/>
                <w:sz w:val="20"/>
                <w:szCs w:val="20"/>
              </w:rPr>
            </w:pPr>
            <w:r>
              <w:rPr>
                <w:rFonts w:ascii="Tahoma" w:hAnsi="Tahoma" w:cs="Tahoma"/>
                <w:noProof/>
                <w:sz w:val="20"/>
                <w:szCs w:val="20"/>
              </w:rPr>
              <w:t xml:space="preserve">The </w:t>
            </w:r>
            <w:r>
              <w:rPr>
                <w:rFonts w:ascii="Tahoma" w:hAnsi="Tahoma" w:cs="Tahoma"/>
                <w:noProof/>
                <w:sz w:val="20"/>
                <w:szCs w:val="20"/>
                <w:u w:val="single"/>
              </w:rPr>
              <w:t xml:space="preserve">increase of the common visa fee at EUR 80 would imply </w:t>
            </w:r>
            <w:r>
              <w:rPr>
                <w:rFonts w:ascii="Tahoma" w:hAnsi="Tahoma" w:cs="Tahoma"/>
                <w:noProof/>
                <w:sz w:val="20"/>
                <w:szCs w:val="20"/>
              </w:rPr>
              <w:t xml:space="preserve">additional costs for visa applicants (corresponding to Member States' additional revenue); however, due to reasonable increase no expected negative effect on travel behaviour. </w:t>
            </w:r>
            <w:r>
              <w:rPr>
                <w:rFonts w:ascii="Tahoma" w:hAnsi="Tahoma" w:cs="Tahoma"/>
                <w:noProof/>
                <w:sz w:val="20"/>
                <w:szCs w:val="20"/>
                <w:u w:val="single"/>
              </w:rPr>
              <w:t>General and country MEV cascades will have no</w:t>
            </w:r>
            <w:r>
              <w:rPr>
                <w:rFonts w:ascii="Tahoma" w:hAnsi="Tahoma" w:cs="Tahoma"/>
                <w:noProof/>
                <w:sz w:val="20"/>
                <w:szCs w:val="20"/>
              </w:rPr>
              <w:t xml:space="preserve"> costs. </w:t>
            </w:r>
            <w:r>
              <w:rPr>
                <w:rFonts w:ascii="Tahoma" w:hAnsi="Tahoma" w:cs="Tahoma"/>
                <w:noProof/>
                <w:sz w:val="20"/>
                <w:szCs w:val="20"/>
                <w:u w:val="single"/>
              </w:rPr>
              <w:t>Negative incentives in visa policy (targeted approach)</w:t>
            </w:r>
            <w:r>
              <w:rPr>
                <w:rFonts w:ascii="Tahoma" w:hAnsi="Tahoma" w:cs="Tahoma"/>
                <w:noProof/>
                <w:sz w:val="20"/>
                <w:szCs w:val="20"/>
              </w:rPr>
              <w:t xml:space="preserve"> might have a negative impact on the EU's external relations and image in the world.</w:t>
            </w:r>
          </w:p>
        </w:tc>
      </w:tr>
      <w:tr>
        <w:tc>
          <w:tcPr>
            <w:tcW w:w="10188" w:type="dxa"/>
            <w:tcBorders>
              <w:bottom w:val="single" w:sz="4" w:space="0" w:color="auto"/>
            </w:tcBorders>
            <w:shd w:val="clear" w:color="auto" w:fill="E6E6E6"/>
          </w:tcPr>
          <w:p>
            <w:pPr>
              <w:pStyle w:val="Default"/>
              <w:keepNext/>
              <w:jc w:val="both"/>
              <w:rPr>
                <w:rFonts w:ascii="Tahoma" w:hAnsi="Tahoma" w:cs="Tahoma"/>
                <w:noProof/>
                <w:sz w:val="20"/>
                <w:szCs w:val="20"/>
              </w:rPr>
            </w:pPr>
            <w:r>
              <w:rPr>
                <w:rFonts w:ascii="Tahoma" w:hAnsi="Tahoma" w:cs="Tahoma"/>
                <w:b/>
                <w:bCs/>
                <w:noProof/>
                <w:sz w:val="20"/>
                <w:szCs w:val="20"/>
              </w:rPr>
              <w:t xml:space="preserve">What are the impacts on SMEs and competitiveness? </w:t>
            </w:r>
          </w:p>
        </w:tc>
      </w:tr>
      <w:tr>
        <w:trPr>
          <w:trHeight w:val="613"/>
        </w:trPr>
        <w:tc>
          <w:tcPr>
            <w:tcW w:w="10188" w:type="dxa"/>
            <w:tcBorders>
              <w:bottom w:val="single" w:sz="4" w:space="0" w:color="auto"/>
            </w:tcBorders>
            <w:shd w:val="clear" w:color="auto" w:fill="auto"/>
          </w:tcPr>
          <w:p>
            <w:pPr>
              <w:spacing w:before="60" w:after="60"/>
              <w:jc w:val="both"/>
              <w:rPr>
                <w:rFonts w:ascii="Tahoma" w:hAnsi="Tahoma" w:cs="Tahoma"/>
                <w:noProof/>
                <w:sz w:val="20"/>
                <w:szCs w:val="20"/>
              </w:rPr>
            </w:pPr>
            <w:r>
              <w:rPr>
                <w:rFonts w:ascii="Tahoma" w:hAnsi="Tahoma" w:cs="Tahoma"/>
                <w:noProof/>
                <w:sz w:val="20"/>
                <w:szCs w:val="20"/>
              </w:rPr>
              <w:t>None of the preferred policy options has any direct impact on SME and competitiveness. Easier access to long-validity MEV and the resulting increased travel to the EU will strengthen the competitiveness of the EU's tourism and travel industry.</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cs="Tahoma"/>
                <w:b/>
                <w:bCs/>
                <w:noProof/>
                <w:sz w:val="20"/>
                <w:szCs w:val="20"/>
              </w:rPr>
              <w:t xml:space="preserve">Will there be significant impacts on national budgets and administrations? </w:t>
            </w:r>
          </w:p>
        </w:tc>
      </w:tr>
      <w:tr>
        <w:trPr>
          <w:trHeight w:val="826"/>
        </w:trPr>
        <w:tc>
          <w:tcPr>
            <w:tcW w:w="10188" w:type="dxa"/>
            <w:shd w:val="clear" w:color="auto" w:fill="auto"/>
          </w:tcPr>
          <w:p>
            <w:pPr>
              <w:spacing w:before="60" w:after="60"/>
              <w:jc w:val="both"/>
              <w:rPr>
                <w:rFonts w:ascii="Tahoma" w:hAnsi="Tahoma" w:cs="Tahoma"/>
                <w:noProof/>
                <w:sz w:val="20"/>
                <w:szCs w:val="20"/>
              </w:rPr>
            </w:pPr>
            <w:r>
              <w:rPr>
                <w:rFonts w:ascii="Tahoma" w:hAnsi="Tahoma" w:cs="Tahoma"/>
                <w:noProof/>
                <w:sz w:val="20"/>
                <w:szCs w:val="20"/>
              </w:rPr>
              <w:t xml:space="preserve">There will be positive impacts from all three preferred options: additional revenue from higher visa fee for visa processing; cost savings from fewer visa procedures due to higher issuing of long-validity MEV; cost savings for lodging, food, and administrative expenses of irregular migrants. </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cs="Tahoma"/>
                <w:b/>
                <w:bCs/>
                <w:noProof/>
                <w:sz w:val="20"/>
                <w:szCs w:val="20"/>
              </w:rPr>
              <w:t xml:space="preserve">Will there be other significant impacts? </w:t>
            </w:r>
          </w:p>
        </w:tc>
      </w:tr>
      <w:tr>
        <w:trPr>
          <w:trHeight w:val="190"/>
        </w:trPr>
        <w:tc>
          <w:tcPr>
            <w:tcW w:w="10188" w:type="dxa"/>
            <w:tcBorders>
              <w:bottom w:val="single" w:sz="4" w:space="0" w:color="auto"/>
            </w:tcBorders>
            <w:shd w:val="clear" w:color="auto" w:fill="auto"/>
          </w:tcPr>
          <w:p>
            <w:pPr>
              <w:spacing w:after="60"/>
              <w:jc w:val="both"/>
              <w:rPr>
                <w:rFonts w:ascii="Tahoma" w:hAnsi="Tahoma" w:cs="Tahoma"/>
                <w:noProof/>
                <w:sz w:val="20"/>
                <w:szCs w:val="20"/>
              </w:rPr>
            </w:pPr>
            <w:r>
              <w:rPr>
                <w:rFonts w:ascii="Tahoma" w:hAnsi="Tahoma" w:cs="Tahoma"/>
                <w:noProof/>
                <w:sz w:val="20"/>
                <w:szCs w:val="20"/>
              </w:rPr>
              <w:t>No other significant impacts apart from those outlined above.</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cs="Tahoma"/>
                <w:b/>
                <w:bCs/>
                <w:noProof/>
                <w:sz w:val="20"/>
                <w:szCs w:val="20"/>
              </w:rPr>
              <w:t xml:space="preserve">Proportionality? </w:t>
            </w:r>
          </w:p>
        </w:tc>
      </w:tr>
      <w:tr>
        <w:trPr>
          <w:trHeight w:val="826"/>
        </w:trPr>
        <w:tc>
          <w:tcPr>
            <w:tcW w:w="10188" w:type="dxa"/>
            <w:shd w:val="clear" w:color="auto" w:fill="auto"/>
          </w:tcPr>
          <w:p>
            <w:pPr>
              <w:jc w:val="both"/>
              <w:rPr>
                <w:rFonts w:ascii="Tahoma" w:hAnsi="Tahoma" w:cs="Tahoma"/>
                <w:noProof/>
                <w:sz w:val="20"/>
                <w:szCs w:val="20"/>
              </w:rPr>
            </w:pPr>
            <w:r>
              <w:rPr>
                <w:rFonts w:ascii="Tahoma" w:hAnsi="Tahoma" w:cs="Tahoma"/>
                <w:noProof/>
                <w:sz w:val="20"/>
                <w:szCs w:val="20"/>
              </w:rPr>
              <w:t>All three preferred options respect the principle of proportionality and do not go beyond what is necessary to achieve the objective. The visa fee increase proposed is proportionate and is closest to the inflation rate since 2006. The approach proposed for issuing MEV with long validity brings progress to the current situation, but does not radically change Member States' current practices. The negative incentives to encourage third countries' cooperation on readmission would target the government, before affecting the general population.</w:t>
            </w:r>
          </w:p>
        </w:tc>
      </w:tr>
      <w:tr>
        <w:tc>
          <w:tcPr>
            <w:tcW w:w="10188" w:type="dxa"/>
            <w:tcBorders>
              <w:bottom w:val="single" w:sz="4" w:space="0" w:color="auto"/>
            </w:tcBorders>
            <w:shd w:val="clear" w:color="auto" w:fill="C0C0C0"/>
          </w:tcPr>
          <w:p>
            <w:pPr>
              <w:spacing w:before="60" w:after="60"/>
              <w:rPr>
                <w:rFonts w:ascii="Tahoma" w:hAnsi="Tahoma" w:cs="Tahoma"/>
                <w:b/>
                <w:noProof/>
                <w:sz w:val="20"/>
                <w:szCs w:val="20"/>
              </w:rPr>
            </w:pPr>
            <w:r>
              <w:rPr>
                <w:rFonts w:ascii="Tahoma" w:hAnsi="Tahoma" w:cs="Tahoma"/>
                <w:b/>
                <w:noProof/>
                <w:sz w:val="20"/>
                <w:szCs w:val="20"/>
              </w:rPr>
              <w:t>D. Follow up</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cs="Tahoma"/>
                <w:b/>
                <w:bCs/>
                <w:noProof/>
                <w:sz w:val="20"/>
                <w:szCs w:val="20"/>
              </w:rPr>
              <w:t xml:space="preserve">When will the policy be reviewed? </w:t>
            </w:r>
          </w:p>
        </w:tc>
      </w:tr>
      <w:tr>
        <w:trPr>
          <w:trHeight w:val="790"/>
        </w:trPr>
        <w:tc>
          <w:tcPr>
            <w:tcW w:w="10188" w:type="dxa"/>
            <w:tcBorders>
              <w:bottom w:val="single" w:sz="4" w:space="0" w:color="auto"/>
            </w:tcBorders>
            <w:shd w:val="clear" w:color="auto" w:fill="auto"/>
          </w:tcPr>
          <w:p>
            <w:pPr>
              <w:spacing w:before="60"/>
              <w:jc w:val="both"/>
              <w:rPr>
                <w:rFonts w:ascii="Tahoma" w:hAnsi="Tahoma" w:cs="Tahoma"/>
                <w:noProof/>
                <w:sz w:val="20"/>
                <w:szCs w:val="20"/>
              </w:rPr>
            </w:pPr>
            <w:r>
              <w:rPr>
                <w:rFonts w:ascii="Tahoma" w:hAnsi="Tahoma" w:cs="Tahoma"/>
                <w:noProof/>
                <w:sz w:val="20"/>
                <w:szCs w:val="20"/>
              </w:rPr>
              <w:t xml:space="preserve">The Commission should present an evaluation report </w:t>
            </w:r>
            <w:r>
              <w:rPr>
                <w:rFonts w:ascii="Tahoma" w:hAnsi="Tahoma" w:cs="Tahoma"/>
                <w:b/>
                <w:noProof/>
                <w:sz w:val="20"/>
                <w:szCs w:val="20"/>
              </w:rPr>
              <w:t>three years after start of application</w:t>
            </w:r>
            <w:r>
              <w:rPr>
                <w:rFonts w:ascii="Tahoma" w:hAnsi="Tahoma" w:cs="Tahoma"/>
                <w:noProof/>
                <w:sz w:val="20"/>
                <w:szCs w:val="20"/>
              </w:rPr>
              <w:t xml:space="preserve"> of the revised regulation (i.e. three and a half years after its entry into force). It should assess the progress with respect to the three main problem areas and policy objectives addressed.</w:t>
            </w:r>
          </w:p>
        </w:tc>
      </w:tr>
    </w:tbl>
    <w:p>
      <w:pPr>
        <w:rPr>
          <w:rFonts w:ascii="Tahoma" w:hAnsi="Tahoma" w:cs="Tahoma"/>
          <w:noProof/>
          <w:sz w:val="20"/>
          <w:szCs w:val="20"/>
        </w:rPr>
      </w:pPr>
    </w:p>
    <w:sectPr>
      <w:headerReference w:type="even" r:id="rId19"/>
      <w:headerReference w:type="default" r:id="rId20"/>
      <w:footerReference w:type="even" r:id="rId21"/>
      <w:footerReference w:type="default" r:id="rId22"/>
      <w:headerReference w:type="first" r:id="rId23"/>
      <w:footerReference w:type="first" r:id="rId24"/>
      <w:pgSz w:w="11906" w:h="16838" w:code="9"/>
      <w:pgMar w:top="1276" w:right="567" w:bottom="720" w:left="1134" w:header="284" w:footer="259"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30711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pPr>
      <w:r>
        <w:rPr>
          <w:rStyle w:val="FootnoteReference"/>
        </w:rPr>
        <w:footnoteRef/>
      </w:r>
      <w:r>
        <w:t xml:space="preserve"> </w:t>
      </w:r>
      <w:r>
        <w:tab/>
        <w:t>Agreed approach of how many previous visas/trips the applicant has to prove to qualify for a long-validity MEV and how the length of validity for each subsequent visa would increase.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lang w:val="fr-B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B3238"/>
    <w:multiLevelType w:val="hybridMultilevel"/>
    <w:tmpl w:val="94784248"/>
    <w:lvl w:ilvl="0" w:tplc="7AA0E26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1215C2"/>
    <w:multiLevelType w:val="hybridMultilevel"/>
    <w:tmpl w:val="96EE8E42"/>
    <w:lvl w:ilvl="0" w:tplc="FD5A1C26">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67319D"/>
    <w:multiLevelType w:val="hybridMultilevel"/>
    <w:tmpl w:val="A2DC4CEC"/>
    <w:lvl w:ilvl="0" w:tplc="7AA0E26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4C79F9"/>
    <w:multiLevelType w:val="hybridMultilevel"/>
    <w:tmpl w:val="56C685BE"/>
    <w:lvl w:ilvl="0" w:tplc="598815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19C39EA"/>
    <w:multiLevelType w:val="hybridMultilevel"/>
    <w:tmpl w:val="A3F2E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AF5080"/>
    <w:multiLevelType w:val="hybridMultilevel"/>
    <w:tmpl w:val="78DAB0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447B4F"/>
    <w:multiLevelType w:val="hybridMultilevel"/>
    <w:tmpl w:val="C800535E"/>
    <w:lvl w:ilvl="0" w:tplc="7AA0E26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D33951"/>
    <w:multiLevelType w:val="hybridMultilevel"/>
    <w:tmpl w:val="77906B06"/>
    <w:lvl w:ilvl="0" w:tplc="7AA0E26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E91069"/>
    <w:multiLevelType w:val="hybridMultilevel"/>
    <w:tmpl w:val="4AC61AF4"/>
    <w:lvl w:ilvl="0" w:tplc="32F68C00">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E7C177A"/>
    <w:multiLevelType w:val="hybridMultilevel"/>
    <w:tmpl w:val="08621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90689C"/>
    <w:multiLevelType w:val="hybridMultilevel"/>
    <w:tmpl w:val="CFC06E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7D40CA1"/>
    <w:multiLevelType w:val="hybridMultilevel"/>
    <w:tmpl w:val="77AA1EC0"/>
    <w:lvl w:ilvl="0" w:tplc="7AA0E26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BDA22A8"/>
    <w:multiLevelType w:val="hybridMultilevel"/>
    <w:tmpl w:val="CE38DE9E"/>
    <w:lvl w:ilvl="0" w:tplc="F94C9E92">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F771725"/>
    <w:multiLevelType w:val="hybridMultilevel"/>
    <w:tmpl w:val="114A8280"/>
    <w:lvl w:ilvl="0" w:tplc="C90456E0">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FD001B5"/>
    <w:multiLevelType w:val="hybridMultilevel"/>
    <w:tmpl w:val="37A8A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4A12FA4"/>
    <w:multiLevelType w:val="multilevel"/>
    <w:tmpl w:val="5F407CF8"/>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rPr>
        <w:b w:val="0"/>
        <w:i w:val="0"/>
      </w:r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9C328A4"/>
    <w:multiLevelType w:val="hybridMultilevel"/>
    <w:tmpl w:val="AC6C2E10"/>
    <w:lvl w:ilvl="0" w:tplc="7AA0E26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C902B09"/>
    <w:multiLevelType w:val="hybridMultilevel"/>
    <w:tmpl w:val="68AE5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596516B"/>
    <w:multiLevelType w:val="hybridMultilevel"/>
    <w:tmpl w:val="5BDA153C"/>
    <w:lvl w:ilvl="0" w:tplc="598815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C022610"/>
    <w:multiLevelType w:val="hybridMultilevel"/>
    <w:tmpl w:val="A9C80F9E"/>
    <w:lvl w:ilvl="0" w:tplc="869A3744">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5"/>
  </w:num>
  <w:num w:numId="4">
    <w:abstractNumId w:val="17"/>
  </w:num>
  <w:num w:numId="5">
    <w:abstractNumId w:val="18"/>
  </w:num>
  <w:num w:numId="6">
    <w:abstractNumId w:val="3"/>
  </w:num>
  <w:num w:numId="7">
    <w:abstractNumId w:val="5"/>
  </w:num>
  <w:num w:numId="8">
    <w:abstractNumId w:val="1"/>
  </w:num>
  <w:num w:numId="9">
    <w:abstractNumId w:val="4"/>
  </w:num>
  <w:num w:numId="10">
    <w:abstractNumId w:val="15"/>
  </w:num>
  <w:num w:numId="11">
    <w:abstractNumId w:val="15"/>
  </w:num>
  <w:num w:numId="12">
    <w:abstractNumId w:val="14"/>
  </w:num>
  <w:num w:numId="13">
    <w:abstractNumId w:val="10"/>
  </w:num>
  <w:num w:numId="14">
    <w:abstractNumId w:val="7"/>
  </w:num>
  <w:num w:numId="15">
    <w:abstractNumId w:val="6"/>
  </w:num>
  <w:num w:numId="16">
    <w:abstractNumId w:val="2"/>
  </w:num>
  <w:num w:numId="17">
    <w:abstractNumId w:val="0"/>
  </w:num>
  <w:num w:numId="18">
    <w:abstractNumId w:val="12"/>
  </w:num>
  <w:num w:numId="19">
    <w:abstractNumId w:val="11"/>
  </w:num>
  <w:num w:numId="20">
    <w:abstractNumId w:val="19"/>
  </w:num>
  <w:num w:numId="21">
    <w:abstractNumId w:val="16"/>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revisionView w:markup="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5F7B3AFA-0865-4B52-ABB4-AB5483FA2BB5"/>
    <w:docVar w:name="LW_COVERPAGE_TYPE" w:val="1"/>
    <w:docVar w:name="LW_CROSSREFERENCE" w:val="{COM(2018) 252 final}_x000b_{SWD(2018) 77 final}"/>
    <w:docVar w:name="LW_DocType" w:val="NORMAL"/>
    <w:docVar w:name="LW_EMISSION" w:val="14.3.2018"/>
    <w:docVar w:name="LW_EMISSION_ISODATE" w:val="2018-03-14"/>
    <w:docVar w:name="LW_EMISSION_LOCATION" w:val="BRX"/>
    <w:docVar w:name="LW_EMISSION_PREFIX" w:val="Brussels, "/>
    <w:docVar w:name="LW_EMISSION_SUFFIX" w:val=" "/>
    <w:docVar w:name="LW_ID_DOCTYPE_NONLW" w:val="CP-027"/>
    <w:docVar w:name="LW_LANGUE" w:val="EN"/>
    <w:docVar w:name="LW_LEVEL_OF_SENSITIVITY" w:val="Standard treatment"/>
    <w:docVar w:name="LW_NOM.INST" w:val="EUROPEAN COMMISSION"/>
    <w:docVar w:name="LW_NOM.INST_JOINTDOC" w:val="&lt;EMPTY&gt;"/>
    <w:docVar w:name="LW_OBJETACTEPRINCIPAL.CP" w:val="amending Regulation (EC) No 810/2009 establishing a Community Code on Visas _x000b_(Visa Code)"/>
    <w:docVar w:name="LW_PART_NBR" w:val="1"/>
    <w:docVar w:name="LW_PART_NBR_TOTAL" w:val="1"/>
    <w:docVar w:name="LW_REF.INST.NEW" w:val="SWD"/>
    <w:docVar w:name="LW_REF.INST.NEW_ADOPTED" w:val="final"/>
    <w:docVar w:name="LW_REF.INST.NEW_TEXT" w:val="(2018) 7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_x000b__x000b_EXECUTIVE SUMMARY OF THE IMPACT ASSESSMENT_x000b_"/>
    <w:docVar w:name="LW_TYPEACTEPRINCIPAL.CP" w:val="PROPOSAL FOR A 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pPr>
      <w:keepNext/>
      <w:numPr>
        <w:numId w:val="3"/>
      </w:numPr>
      <w:spacing w:before="360" w:after="120"/>
      <w:jc w:val="both"/>
      <w:outlineLvl w:val="0"/>
    </w:pPr>
    <w:rPr>
      <w:b/>
      <w:bCs/>
      <w:smallCaps/>
      <w:szCs w:val="28"/>
    </w:rPr>
  </w:style>
  <w:style w:type="paragraph" w:styleId="Heading2">
    <w:name w:val="heading 2"/>
    <w:basedOn w:val="Normal"/>
    <w:next w:val="Normal"/>
    <w:link w:val="Heading2Char"/>
    <w:uiPriority w:val="9"/>
    <w:unhideWhenUsed/>
    <w:qFormat/>
    <w:pPr>
      <w:keepNext/>
      <w:numPr>
        <w:ilvl w:val="1"/>
        <w:numId w:val="3"/>
      </w:numPr>
      <w:spacing w:before="120" w:after="120"/>
      <w:jc w:val="both"/>
      <w:outlineLvl w:val="1"/>
    </w:pPr>
    <w:rPr>
      <w:b/>
      <w:bCs/>
      <w:szCs w:val="26"/>
    </w:rPr>
  </w:style>
  <w:style w:type="paragraph" w:styleId="Heading3">
    <w:name w:val="heading 3"/>
    <w:basedOn w:val="Normal"/>
    <w:next w:val="Normal"/>
    <w:link w:val="Heading3Char"/>
    <w:uiPriority w:val="9"/>
    <w:unhideWhenUsed/>
    <w:qFormat/>
    <w:pPr>
      <w:keepNext/>
      <w:numPr>
        <w:ilvl w:val="2"/>
        <w:numId w:val="3"/>
      </w:numPr>
      <w:spacing w:before="120" w:after="120"/>
      <w:jc w:val="both"/>
      <w:outlineLvl w:val="2"/>
    </w:pPr>
    <w:rPr>
      <w:bCs/>
      <w:i/>
      <w:szCs w:val="22"/>
    </w:rPr>
  </w:style>
  <w:style w:type="paragraph" w:styleId="Heading4">
    <w:name w:val="heading 4"/>
    <w:basedOn w:val="Normal"/>
    <w:next w:val="Normal"/>
    <w:link w:val="Heading4Char"/>
    <w:uiPriority w:val="9"/>
    <w:unhideWhenUsed/>
    <w:qFormat/>
    <w:pPr>
      <w:keepNext/>
      <w:numPr>
        <w:ilvl w:val="3"/>
        <w:numId w:val="3"/>
      </w:numPr>
      <w:spacing w:before="120" w:after="120"/>
      <w:jc w:val="both"/>
      <w:outlineLvl w:val="3"/>
    </w:pPr>
    <w:rPr>
      <w:bCs/>
      <w:iCs/>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semiHidden/>
    <w:pPr>
      <w:ind w:left="720" w:hanging="720"/>
      <w:jc w:val="both"/>
    </w:pPr>
    <w:rPr>
      <w:sz w:val="20"/>
      <w:szCs w:val="20"/>
      <w:lang w:eastAsia="de-DE"/>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eastAsia="de-DE"/>
    </w:rPr>
  </w:style>
  <w:style w:type="character" w:styleId="FootnoteReference">
    <w:name w:val="footnote reference"/>
    <w:basedOn w:val="DefaultParagraphFont"/>
    <w:semiHidden/>
    <w:rPr>
      <w:vertAlign w:val="superscript"/>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Hyperlink">
    <w:name w:val="Hyperlink"/>
    <w:basedOn w:val="DefaultParagraphFont"/>
    <w:rPr>
      <w:color w:val="0000FF" w:themeColor="hyperlink"/>
      <w:u w:val="single"/>
    </w:rPr>
  </w:style>
  <w:style w:type="paragraph" w:styleId="ListParagraph">
    <w:name w:val="List Paragraph"/>
    <w:basedOn w:val="Normal"/>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pPr>
      <w:keepNext/>
      <w:numPr>
        <w:numId w:val="3"/>
      </w:numPr>
      <w:spacing w:before="360" w:after="120"/>
      <w:jc w:val="both"/>
      <w:outlineLvl w:val="0"/>
    </w:pPr>
    <w:rPr>
      <w:b/>
      <w:bCs/>
      <w:smallCaps/>
      <w:szCs w:val="28"/>
    </w:rPr>
  </w:style>
  <w:style w:type="paragraph" w:styleId="Heading2">
    <w:name w:val="heading 2"/>
    <w:basedOn w:val="Normal"/>
    <w:next w:val="Normal"/>
    <w:link w:val="Heading2Char"/>
    <w:uiPriority w:val="9"/>
    <w:unhideWhenUsed/>
    <w:qFormat/>
    <w:pPr>
      <w:keepNext/>
      <w:numPr>
        <w:ilvl w:val="1"/>
        <w:numId w:val="3"/>
      </w:numPr>
      <w:spacing w:before="120" w:after="120"/>
      <w:jc w:val="both"/>
      <w:outlineLvl w:val="1"/>
    </w:pPr>
    <w:rPr>
      <w:b/>
      <w:bCs/>
      <w:szCs w:val="26"/>
    </w:rPr>
  </w:style>
  <w:style w:type="paragraph" w:styleId="Heading3">
    <w:name w:val="heading 3"/>
    <w:basedOn w:val="Normal"/>
    <w:next w:val="Normal"/>
    <w:link w:val="Heading3Char"/>
    <w:uiPriority w:val="9"/>
    <w:unhideWhenUsed/>
    <w:qFormat/>
    <w:pPr>
      <w:keepNext/>
      <w:numPr>
        <w:ilvl w:val="2"/>
        <w:numId w:val="3"/>
      </w:numPr>
      <w:spacing w:before="120" w:after="120"/>
      <w:jc w:val="both"/>
      <w:outlineLvl w:val="2"/>
    </w:pPr>
    <w:rPr>
      <w:bCs/>
      <w:i/>
      <w:szCs w:val="22"/>
    </w:rPr>
  </w:style>
  <w:style w:type="paragraph" w:styleId="Heading4">
    <w:name w:val="heading 4"/>
    <w:basedOn w:val="Normal"/>
    <w:next w:val="Normal"/>
    <w:link w:val="Heading4Char"/>
    <w:uiPriority w:val="9"/>
    <w:unhideWhenUsed/>
    <w:qFormat/>
    <w:pPr>
      <w:keepNext/>
      <w:numPr>
        <w:ilvl w:val="3"/>
        <w:numId w:val="3"/>
      </w:numPr>
      <w:spacing w:before="120" w:after="120"/>
      <w:jc w:val="both"/>
      <w:outlineLvl w:val="3"/>
    </w:pPr>
    <w:rPr>
      <w:bCs/>
      <w:iCs/>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semiHidden/>
    <w:pPr>
      <w:ind w:left="720" w:hanging="720"/>
      <w:jc w:val="both"/>
    </w:pPr>
    <w:rPr>
      <w:sz w:val="20"/>
      <w:szCs w:val="20"/>
      <w:lang w:eastAsia="de-DE"/>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eastAsia="de-DE"/>
    </w:rPr>
  </w:style>
  <w:style w:type="character" w:styleId="FootnoteReference">
    <w:name w:val="footnote reference"/>
    <w:basedOn w:val="DefaultParagraphFont"/>
    <w:semiHidden/>
    <w:rPr>
      <w:vertAlign w:val="superscript"/>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Hyperlink">
    <w:name w:val="Hyperlink"/>
    <w:basedOn w:val="DefaultParagraphFont"/>
    <w:rPr>
      <w:color w:val="0000FF" w:themeColor="hyperlink"/>
      <w:u w:val="single"/>
    </w:rPr>
  </w:style>
  <w:style w:type="paragraph" w:styleId="ListParagraph">
    <w:name w:val="List Paragraph"/>
    <w:basedOn w:val="Normal"/>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B05BFFFB036732419014A7F8A6877929" ma:contentTypeVersion="0" ma:contentTypeDescription="Create a new document in this library." ma:contentTypeScope="" ma:versionID="95a7488c095bd3856ee5cc388d703a6c">
  <xsd:schema xmlns:xsd="http://www.w3.org/2001/XMLSchema" xmlns:xs="http://www.w3.org/2001/XMLSchema" xmlns:p="http://schemas.microsoft.com/office/2006/metadata/properties" xmlns:ns2="http://schemas.microsoft.com/sharepoint/v3/fields" xmlns:ns3="e545963d-d22e-4b1c-8d50-a68973f4b290" targetNamespace="http://schemas.microsoft.com/office/2006/metadata/properties" ma:root="true" ma:fieldsID="83ca508982b74dc8660f2e73dbe1713a" ns2:_="" ns3:_="">
    <xsd:import namespace="http://schemas.microsoft.com/sharepoint/v3/fields"/>
    <xsd:import namespace="e545963d-d22e-4b1c-8d50-a68973f4b290"/>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545963d-d22e-4b1c-8d50-a68973f4b290"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e545963d-d22e-4b1c-8d50-a68973f4b290">EN</EC_Collab_DocumentLanguage>
    <_Status xmlns="http://schemas.microsoft.com/sharepoint/v3/fields">Not Started</_Status>
    <EC_Collab_Reference xmlns="e545963d-d22e-4b1c-8d50-a68973f4b290" xsi:nil="true"/>
    <EC_Collab_Status xmlns="e545963d-d22e-4b1c-8d50-a68973f4b290">Not Started</EC_Collab_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CA36B-0B4D-426E-9FCE-23D21109B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e545963d-d22e-4b1c-8d50-a68973f4b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E58C63-F68B-48AD-852F-A68E99729DB9}">
  <ds:schemaRefs>
    <ds:schemaRef ds:uri="http://schemas.microsoft.com/sharepoint/v3/contenttype/forms"/>
  </ds:schemaRefs>
</ds:datastoreItem>
</file>

<file path=customXml/itemProps3.xml><?xml version="1.0" encoding="utf-8"?>
<ds:datastoreItem xmlns:ds="http://schemas.openxmlformats.org/officeDocument/2006/customXml" ds:itemID="{CE1E34A0-25D7-4AA9-BE70-8DFE35B7CAB1}">
  <ds:schemaRefs>
    <ds:schemaRef ds:uri="http://purl.org/dc/terms/"/>
    <ds:schemaRef ds:uri="http://schemas.microsoft.com/office/infopath/2007/PartnerControls"/>
    <ds:schemaRef ds:uri="http://schemas.microsoft.com/sharepoint/v3/fields"/>
    <ds:schemaRef ds:uri="http://purl.org/dc/elements/1.1/"/>
    <ds:schemaRef ds:uri="http://schemas.microsoft.com/office/2006/documentManagement/types"/>
    <ds:schemaRef ds:uri="http://schemas.openxmlformats.org/package/2006/metadata/core-properties"/>
    <ds:schemaRef ds:uri="e545963d-d22e-4b1c-8d50-a68973f4b290"/>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E946D678-F9D0-434F-AB4B-AB081DE55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1225</Words>
  <Characters>6667</Characters>
  <Application>Microsoft Office Word</Application>
  <DocSecurity>0</DocSecurity>
  <Lines>107</Lines>
  <Paragraphs>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2017-08-31T12:20:00Z</cp:lastPrinted>
  <dcterms:created xsi:type="dcterms:W3CDTF">2018-03-07T18:41:00Z</dcterms:created>
  <dcterms:modified xsi:type="dcterms:W3CDTF">2018-03-13T11:43:00Z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ContentTypeId">
    <vt:lpwstr>0x010100258AA79CEB83498886A3A0868112325000B05BFFFB036732419014A7F8A6877929</vt:lpwstr>
  </property>
</Properties>
</file>