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B8" w:rsidRDefault="0018465F" w:rsidP="0018465F">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A538905-7725-439C-B927-E1A1E745A035" style="width:451.25pt;height:320.65pt">
            <v:imagedata r:id="rId9" o:title=""/>
          </v:shape>
        </w:pict>
      </w:r>
    </w:p>
    <w:bookmarkEnd w:id="0"/>
    <w:p w:rsidR="000713B8" w:rsidRDefault="000713B8">
      <w:pPr>
        <w:rPr>
          <w:noProof/>
        </w:rPr>
        <w:sectPr w:rsidR="000713B8" w:rsidSect="0018465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0713B8" w:rsidRDefault="0018465F">
      <w:pPr>
        <w:jc w:val="both"/>
        <w:rPr>
          <w:rFonts w:ascii="Times New Roman" w:hAnsi="Times New Roman" w:cs="Times New Roman"/>
          <w:b/>
          <w:noProof/>
          <w:sz w:val="24"/>
          <w:szCs w:val="24"/>
          <w:u w:val="single"/>
        </w:rPr>
      </w:pPr>
      <w:r>
        <w:rPr>
          <w:rFonts w:ascii="Times New Roman" w:hAnsi="Times New Roman"/>
          <w:b/>
          <w:noProof/>
          <w:sz w:val="24"/>
          <w:u w:val="single"/>
        </w:rPr>
        <w:lastRenderedPageBreak/>
        <w:t>1. Introduction</w:t>
      </w:r>
    </w:p>
    <w:p w:rsidR="000713B8" w:rsidRDefault="0018465F">
      <w:pPr>
        <w:jc w:val="both"/>
        <w:rPr>
          <w:rFonts w:ascii="Times New Roman" w:hAnsi="Times New Roman" w:cs="Times New Roman"/>
          <w:noProof/>
          <w:sz w:val="24"/>
          <w:szCs w:val="24"/>
        </w:rPr>
      </w:pPr>
      <w:r>
        <w:rPr>
          <w:rFonts w:ascii="Times New Roman" w:hAnsi="Times New Roman"/>
          <w:noProof/>
          <w:sz w:val="24"/>
        </w:rPr>
        <w:t xml:space="preserve">Dans son </w:t>
      </w:r>
      <w:r>
        <w:rPr>
          <w:rFonts w:ascii="Times New Roman" w:hAnsi="Times New Roman"/>
          <w:b/>
          <w:noProof/>
          <w:sz w:val="24"/>
        </w:rPr>
        <w:t>discours sur l’état de l’Union</w:t>
      </w:r>
      <w:r>
        <w:rPr>
          <w:rFonts w:ascii="Times New Roman" w:hAnsi="Times New Roman"/>
          <w:noProof/>
          <w:sz w:val="24"/>
        </w:rPr>
        <w:t xml:space="preserve"> du 9 septembre 2015, le président Juncker a proposé d’établir un socle européen des droits sociaux</w:t>
      </w:r>
      <w:r>
        <w:rPr>
          <w:rStyle w:val="FootnoteReference"/>
          <w:rFonts w:ascii="Times New Roman" w:hAnsi="Times New Roman"/>
          <w:noProof/>
          <w:sz w:val="24"/>
        </w:rPr>
        <w:footnoteReference w:id="1"/>
      </w:r>
      <w:r>
        <w:rPr>
          <w:rFonts w:ascii="Times New Roman" w:hAnsi="Times New Roman"/>
          <w:noProof/>
          <w:sz w:val="24"/>
        </w:rPr>
        <w:t xml:space="preserve"> qui tiendrait compte des transformations des sociétés européennes et des évolutions du monde du travail. </w:t>
      </w:r>
    </w:p>
    <w:p w:rsidR="000713B8" w:rsidRDefault="0018465F">
      <w:pPr>
        <w:jc w:val="both"/>
        <w:rPr>
          <w:rFonts w:ascii="Times New Roman" w:hAnsi="Times New Roman" w:cs="Times New Roman"/>
          <w:noProof/>
          <w:sz w:val="24"/>
          <w:szCs w:val="24"/>
        </w:rPr>
      </w:pPr>
      <w:r>
        <w:rPr>
          <w:rFonts w:ascii="Times New Roman" w:hAnsi="Times New Roman"/>
          <w:noProof/>
          <w:sz w:val="24"/>
        </w:rPr>
        <w:t>À la suite d’une vaste consultation publique orga</w:t>
      </w:r>
      <w:r>
        <w:rPr>
          <w:rFonts w:ascii="Times New Roman" w:hAnsi="Times New Roman"/>
          <w:noProof/>
          <w:sz w:val="24"/>
        </w:rPr>
        <w:t>nisée en 2016, à laquelle ont pris part des particuliers, des partenaires sociaux, des représentants de la société civile, des États membres et des institutions de l’UE</w:t>
      </w:r>
      <w:r>
        <w:rPr>
          <w:rStyle w:val="FootnoteReference"/>
          <w:rFonts w:ascii="Times New Roman" w:hAnsi="Times New Roman"/>
          <w:noProof/>
          <w:sz w:val="24"/>
        </w:rPr>
        <w:footnoteReference w:id="2"/>
      </w:r>
      <w:r>
        <w:rPr>
          <w:rFonts w:ascii="Times New Roman" w:hAnsi="Times New Roman"/>
          <w:noProof/>
          <w:sz w:val="24"/>
        </w:rPr>
        <w:t>, le socle européen des droits sociaux a été proclamé conjointement par le Parlement eu</w:t>
      </w:r>
      <w:r>
        <w:rPr>
          <w:rFonts w:ascii="Times New Roman" w:hAnsi="Times New Roman"/>
          <w:noProof/>
          <w:sz w:val="24"/>
        </w:rPr>
        <w:t xml:space="preserve">ropéen, le Conseil et la Commission, le 17 novembre 2017, lors du </w:t>
      </w:r>
      <w:r>
        <w:rPr>
          <w:rFonts w:ascii="Times New Roman" w:hAnsi="Times New Roman"/>
          <w:b/>
          <w:noProof/>
          <w:sz w:val="24"/>
        </w:rPr>
        <w:t>sommet social de Göteborg</w:t>
      </w:r>
      <w:r>
        <w:rPr>
          <w:rFonts w:ascii="Times New Roman" w:hAnsi="Times New Roman"/>
          <w:noProof/>
          <w:sz w:val="24"/>
        </w:rPr>
        <w:t xml:space="preserve"> pour une croissance et des emplois équitables</w:t>
      </w:r>
      <w:r>
        <w:rPr>
          <w:rStyle w:val="FootnoteReference"/>
          <w:rFonts w:ascii="Times New Roman" w:hAnsi="Times New Roman"/>
          <w:noProof/>
          <w:sz w:val="24"/>
        </w:rPr>
        <w:footnoteReference w:id="3"/>
      </w:r>
      <w:r>
        <w:rPr>
          <w:rFonts w:ascii="Times New Roman" w:hAnsi="Times New Roman"/>
          <w:noProof/>
          <w:sz w:val="24"/>
        </w:rPr>
        <w:t>.</w:t>
      </w:r>
    </w:p>
    <w:p w:rsidR="000713B8" w:rsidRDefault="0018465F">
      <w:pPr>
        <w:jc w:val="both"/>
        <w:rPr>
          <w:rFonts w:ascii="Times New Roman" w:hAnsi="Times New Roman" w:cs="Times New Roman"/>
          <w:noProof/>
          <w:sz w:val="24"/>
          <w:szCs w:val="24"/>
        </w:rPr>
      </w:pPr>
      <w:r>
        <w:rPr>
          <w:rFonts w:ascii="Times New Roman" w:hAnsi="Times New Roman"/>
          <w:noProof/>
          <w:sz w:val="24"/>
        </w:rPr>
        <w:t xml:space="preserve">Le socle européen des droits sociaux est conçu pour indiquer </w:t>
      </w:r>
      <w:r>
        <w:rPr>
          <w:rFonts w:ascii="Times New Roman" w:hAnsi="Times New Roman"/>
          <w:b/>
          <w:noProof/>
          <w:sz w:val="24"/>
        </w:rPr>
        <w:t>le cap d’un processus renouvelé de convergence ascendan</w:t>
      </w:r>
      <w:r>
        <w:rPr>
          <w:rFonts w:ascii="Times New Roman" w:hAnsi="Times New Roman"/>
          <w:b/>
          <w:noProof/>
          <w:sz w:val="24"/>
        </w:rPr>
        <w:t>te</w:t>
      </w:r>
      <w:r>
        <w:rPr>
          <w:rFonts w:ascii="Times New Roman" w:hAnsi="Times New Roman"/>
          <w:noProof/>
          <w:sz w:val="24"/>
        </w:rPr>
        <w:t xml:space="preserve"> vers de meilleures conditions de travail et de vie dans l’Union européenne. </w:t>
      </w:r>
      <w:r>
        <w:rPr>
          <w:rFonts w:ascii="Times New Roman" w:hAnsi="Times New Roman" w:cs="Times New Roman"/>
          <w:noProof/>
          <w:sz w:val="24"/>
          <w:szCs w:val="24"/>
        </w:rPr>
        <w:br/>
      </w:r>
      <w:r>
        <w:rPr>
          <w:rFonts w:ascii="Times New Roman" w:hAnsi="Times New Roman"/>
          <w:noProof/>
          <w:sz w:val="24"/>
        </w:rPr>
        <w:t>Il établit vingt principes et droits fondamentaux dans les domaines de l’égalité des chances et l’accès au marché du travail; des conditions de travail équitables; et de la pro</w:t>
      </w:r>
      <w:r>
        <w:rPr>
          <w:rFonts w:ascii="Times New Roman" w:hAnsi="Times New Roman"/>
          <w:noProof/>
          <w:sz w:val="24"/>
        </w:rPr>
        <w:t xml:space="preserve">tection et l’insertion sociales. </w:t>
      </w:r>
    </w:p>
    <w:p w:rsidR="000713B8" w:rsidRDefault="0018465F">
      <w:pPr>
        <w:jc w:val="both"/>
        <w:rPr>
          <w:rFonts w:ascii="Times New Roman" w:hAnsi="Times New Roman" w:cs="Times New Roman"/>
          <w:noProof/>
          <w:sz w:val="24"/>
          <w:szCs w:val="24"/>
        </w:rPr>
      </w:pPr>
      <w:r>
        <w:rPr>
          <w:rFonts w:ascii="Times New Roman" w:hAnsi="Times New Roman"/>
          <w:noProof/>
          <w:sz w:val="24"/>
        </w:rPr>
        <w:t xml:space="preserve">Le Conseil européen du 14 décembre 2017 a approuvé les conclusions du sommet social et souligné que </w:t>
      </w:r>
      <w:r>
        <w:rPr>
          <w:rFonts w:ascii="Times New Roman" w:hAnsi="Times New Roman"/>
          <w:b/>
          <w:noProof/>
          <w:sz w:val="24"/>
        </w:rPr>
        <w:t>le socle européen des droits sociaux devait être mis en œuvre tant au niveau de l’Union qu’à celui des États membres</w:t>
      </w:r>
      <w:r>
        <w:rPr>
          <w:rFonts w:ascii="Times New Roman" w:hAnsi="Times New Roman"/>
          <w:noProof/>
          <w:sz w:val="24"/>
        </w:rPr>
        <w:t>, comp</w:t>
      </w:r>
      <w:r>
        <w:rPr>
          <w:rFonts w:ascii="Times New Roman" w:hAnsi="Times New Roman"/>
          <w:noProof/>
          <w:sz w:val="24"/>
        </w:rPr>
        <w:t>te dûment tenu de leurs compétences respectives. Il a également invité la Commission à proposer des mesures de suivi appropriées</w:t>
      </w:r>
      <w:r>
        <w:rPr>
          <w:rStyle w:val="FootnoteReference"/>
          <w:rFonts w:ascii="Times New Roman" w:hAnsi="Times New Roman"/>
          <w:noProof/>
          <w:sz w:val="24"/>
        </w:rPr>
        <w:footnoteReference w:id="4"/>
      </w:r>
      <w:r>
        <w:rPr>
          <w:rFonts w:ascii="Times New Roman" w:hAnsi="Times New Roman"/>
          <w:noProof/>
          <w:sz w:val="24"/>
        </w:rPr>
        <w:t>. La présente communication répond à cette invitation et esquisse la voie à suivre.</w:t>
      </w:r>
    </w:p>
    <w:p w:rsidR="000713B8" w:rsidRDefault="000713B8">
      <w:pPr>
        <w:rPr>
          <w:rFonts w:ascii="Times New Roman" w:hAnsi="Times New Roman" w:cs="Times New Roman"/>
          <w:b/>
          <w:noProof/>
          <w:sz w:val="24"/>
          <w:szCs w:val="24"/>
          <w:u w:val="single"/>
        </w:rPr>
      </w:pPr>
    </w:p>
    <w:p w:rsidR="000713B8" w:rsidRDefault="0018465F">
      <w:pPr>
        <w:rPr>
          <w:rFonts w:ascii="Times New Roman" w:hAnsi="Times New Roman" w:cs="Times New Roman"/>
          <w:b/>
          <w:noProof/>
          <w:sz w:val="24"/>
          <w:szCs w:val="24"/>
          <w:u w:val="single"/>
        </w:rPr>
      </w:pPr>
      <w:r>
        <w:rPr>
          <w:noProof/>
        </w:rPr>
        <w:br w:type="page"/>
      </w:r>
    </w:p>
    <w:p w:rsidR="000713B8" w:rsidRDefault="0018465F">
      <w:pPr>
        <w:jc w:val="both"/>
        <w:rPr>
          <w:rFonts w:ascii="Times New Roman" w:hAnsi="Times New Roman" w:cs="Times New Roman"/>
          <w:b/>
          <w:noProof/>
          <w:sz w:val="24"/>
          <w:szCs w:val="24"/>
          <w:u w:val="single"/>
        </w:rPr>
      </w:pPr>
      <w:r>
        <w:rPr>
          <w:rFonts w:ascii="Times New Roman" w:hAnsi="Times New Roman"/>
          <w:b/>
          <w:noProof/>
          <w:sz w:val="24"/>
          <w:u w:val="single"/>
        </w:rPr>
        <w:lastRenderedPageBreak/>
        <w:t xml:space="preserve">2. Avancer en ce qui concerne le socle </w:t>
      </w:r>
      <w:r>
        <w:rPr>
          <w:rFonts w:ascii="Times New Roman" w:hAnsi="Times New Roman"/>
          <w:b/>
          <w:noProof/>
          <w:sz w:val="24"/>
          <w:u w:val="single"/>
        </w:rPr>
        <w:t>européen des droits sociaux</w:t>
      </w:r>
    </w:p>
    <w:p w:rsidR="000713B8" w:rsidRDefault="0018465F">
      <w:pPr>
        <w:jc w:val="both"/>
        <w:rPr>
          <w:rFonts w:ascii="Times New Roman" w:hAnsi="Times New Roman" w:cs="Times New Roman"/>
          <w:noProof/>
          <w:sz w:val="24"/>
          <w:szCs w:val="24"/>
        </w:rPr>
      </w:pPr>
      <w:r>
        <w:rPr>
          <w:rFonts w:ascii="Times New Roman" w:hAnsi="Times New Roman"/>
          <w:noProof/>
          <w:sz w:val="24"/>
        </w:rPr>
        <w:t>L’établissement du socle européen des droits sociaux s’inscrit dans le débat plus large sur l’</w:t>
      </w:r>
      <w:r>
        <w:rPr>
          <w:rFonts w:ascii="Times New Roman" w:hAnsi="Times New Roman"/>
          <w:b/>
          <w:noProof/>
          <w:sz w:val="24"/>
        </w:rPr>
        <w:t>avenir de l’Europe</w:t>
      </w:r>
      <w:r>
        <w:rPr>
          <w:rFonts w:ascii="Times New Roman" w:hAnsi="Times New Roman"/>
          <w:noProof/>
          <w:sz w:val="24"/>
        </w:rPr>
        <w:t xml:space="preserve"> qui a été lancé par le livre blanc de la Commission du 1</w:t>
      </w:r>
      <w:r>
        <w:rPr>
          <w:rFonts w:ascii="Times New Roman" w:hAnsi="Times New Roman"/>
          <w:noProof/>
          <w:sz w:val="24"/>
          <w:vertAlign w:val="superscript"/>
        </w:rPr>
        <w:t>er</w:t>
      </w:r>
      <w:r>
        <w:rPr>
          <w:rFonts w:ascii="Times New Roman" w:hAnsi="Times New Roman"/>
          <w:noProof/>
          <w:sz w:val="24"/>
        </w:rPr>
        <w:t> mars 2017</w:t>
      </w:r>
      <w:r>
        <w:rPr>
          <w:rStyle w:val="FootnoteReference"/>
          <w:rFonts w:ascii="Times New Roman" w:hAnsi="Times New Roman"/>
          <w:noProof/>
          <w:sz w:val="24"/>
        </w:rPr>
        <w:footnoteReference w:id="5"/>
      </w:r>
      <w:r>
        <w:rPr>
          <w:rFonts w:ascii="Times New Roman" w:hAnsi="Times New Roman"/>
          <w:noProof/>
          <w:sz w:val="24"/>
        </w:rPr>
        <w:t>. Comment renforcer et moderniser le modèle so</w:t>
      </w:r>
      <w:r>
        <w:rPr>
          <w:rFonts w:ascii="Times New Roman" w:hAnsi="Times New Roman"/>
          <w:noProof/>
          <w:sz w:val="24"/>
        </w:rPr>
        <w:t xml:space="preserve">cial européen face à des changements fondamentaux – comme les nouvelles technologies, la mondialisation et le vieillissement de la population – est l’une des principales questions posées dans le livre blanc, ainsi que dans les documents de réflexion de la </w:t>
      </w:r>
      <w:r>
        <w:rPr>
          <w:rFonts w:ascii="Times New Roman" w:hAnsi="Times New Roman"/>
          <w:noProof/>
          <w:sz w:val="24"/>
        </w:rPr>
        <w:t>Commission sur la dimension sociale de l’Europe</w:t>
      </w:r>
      <w:r>
        <w:rPr>
          <w:rStyle w:val="FootnoteReference"/>
          <w:rFonts w:ascii="Times New Roman" w:hAnsi="Times New Roman"/>
          <w:noProof/>
          <w:sz w:val="24"/>
        </w:rPr>
        <w:footnoteReference w:id="6"/>
      </w:r>
      <w:r>
        <w:rPr>
          <w:rFonts w:ascii="Times New Roman" w:hAnsi="Times New Roman"/>
          <w:noProof/>
          <w:sz w:val="24"/>
        </w:rPr>
        <w:t xml:space="preserve"> et sur la maîtrise de la mondialisation</w:t>
      </w:r>
      <w:r>
        <w:rPr>
          <w:rStyle w:val="FootnoteReference"/>
          <w:rFonts w:ascii="Times New Roman" w:hAnsi="Times New Roman"/>
          <w:noProof/>
          <w:sz w:val="24"/>
        </w:rPr>
        <w:footnoteReference w:id="7"/>
      </w:r>
      <w:r>
        <w:rPr>
          <w:rFonts w:ascii="Times New Roman" w:hAnsi="Times New Roman"/>
          <w:noProof/>
          <w:sz w:val="24"/>
        </w:rPr>
        <w:t>.</w:t>
      </w:r>
    </w:p>
    <w:p w:rsidR="000713B8" w:rsidRDefault="0018465F">
      <w:pPr>
        <w:jc w:val="both"/>
        <w:rPr>
          <w:rFonts w:ascii="Times New Roman" w:hAnsi="Times New Roman" w:cs="Times New Roman"/>
          <w:noProof/>
          <w:sz w:val="24"/>
          <w:szCs w:val="24"/>
        </w:rPr>
      </w:pPr>
      <w:r>
        <w:rPr>
          <w:rFonts w:ascii="Times New Roman" w:hAnsi="Times New Roman"/>
          <w:noProof/>
          <w:sz w:val="24"/>
        </w:rPr>
        <w:t xml:space="preserve">Au </w:t>
      </w:r>
      <w:r>
        <w:rPr>
          <w:rFonts w:ascii="Times New Roman" w:hAnsi="Times New Roman"/>
          <w:b/>
          <w:noProof/>
          <w:sz w:val="24"/>
        </w:rPr>
        <w:t>sommet</w:t>
      </w:r>
      <w:r>
        <w:rPr>
          <w:rFonts w:ascii="Times New Roman" w:hAnsi="Times New Roman"/>
          <w:noProof/>
          <w:sz w:val="24"/>
        </w:rPr>
        <w:t xml:space="preserve"> qui les a réunis </w:t>
      </w:r>
      <w:r>
        <w:rPr>
          <w:rFonts w:ascii="Times New Roman" w:hAnsi="Times New Roman"/>
          <w:b/>
          <w:noProof/>
          <w:sz w:val="24"/>
        </w:rPr>
        <w:t>à Rome</w:t>
      </w:r>
      <w:r>
        <w:rPr>
          <w:rFonts w:ascii="Times New Roman" w:hAnsi="Times New Roman"/>
          <w:noProof/>
          <w:sz w:val="24"/>
        </w:rPr>
        <w:t xml:space="preserve"> pour marquer le 60</w:t>
      </w:r>
      <w:r>
        <w:rPr>
          <w:rFonts w:ascii="Times New Roman" w:hAnsi="Times New Roman"/>
          <w:noProof/>
          <w:sz w:val="24"/>
          <w:vertAlign w:val="superscript"/>
        </w:rPr>
        <w:t>e</w:t>
      </w:r>
      <w:r>
        <w:rPr>
          <w:rFonts w:ascii="Times New Roman" w:hAnsi="Times New Roman"/>
          <w:noProof/>
          <w:sz w:val="24"/>
        </w:rPr>
        <w:t> anniversaire de l’UE, les dirigeants européens ont réitéré leur engagement en faveur d’une Europe sociale</w:t>
      </w:r>
      <w:r>
        <w:rPr>
          <w:rStyle w:val="FootnoteReference"/>
          <w:rFonts w:ascii="Times New Roman" w:hAnsi="Times New Roman"/>
          <w:noProof/>
          <w:sz w:val="24"/>
        </w:rPr>
        <w:footnoteReference w:id="8"/>
      </w:r>
      <w:r>
        <w:rPr>
          <w:rFonts w:ascii="Times New Roman" w:hAnsi="Times New Roman"/>
          <w:noProof/>
          <w:sz w:val="24"/>
        </w:rPr>
        <w:t>. Dan</w:t>
      </w:r>
      <w:r>
        <w:rPr>
          <w:rFonts w:ascii="Times New Roman" w:hAnsi="Times New Roman"/>
          <w:noProof/>
          <w:sz w:val="24"/>
        </w:rPr>
        <w:t xml:space="preserve">s ce vaste débat, le socle européen des droits sociaux est à la fois </w:t>
      </w:r>
      <w:r>
        <w:rPr>
          <w:rFonts w:ascii="Times New Roman" w:hAnsi="Times New Roman"/>
          <w:b/>
          <w:noProof/>
          <w:sz w:val="24"/>
        </w:rPr>
        <w:t>une étape</w:t>
      </w:r>
      <w:r>
        <w:rPr>
          <w:rFonts w:ascii="Times New Roman" w:hAnsi="Times New Roman"/>
          <w:noProof/>
          <w:sz w:val="24"/>
        </w:rPr>
        <w:t xml:space="preserve"> dans la construction et la consolidation de l’Europe sociale et un point de référence </w:t>
      </w:r>
      <w:r>
        <w:rPr>
          <w:rFonts w:ascii="Times New Roman" w:hAnsi="Times New Roman"/>
          <w:b/>
          <w:noProof/>
          <w:sz w:val="24"/>
        </w:rPr>
        <w:t>dans la perspective de Sibiu</w:t>
      </w:r>
      <w:r>
        <w:rPr>
          <w:rFonts w:ascii="Times New Roman" w:hAnsi="Times New Roman"/>
          <w:noProof/>
          <w:sz w:val="24"/>
        </w:rPr>
        <w:t xml:space="preserve"> où les dirigeants de l’UE se réuniront en mai 2019 pour tirer </w:t>
      </w:r>
      <w:r>
        <w:rPr>
          <w:rFonts w:ascii="Times New Roman" w:hAnsi="Times New Roman"/>
          <w:noProof/>
          <w:sz w:val="24"/>
        </w:rPr>
        <w:t xml:space="preserve">des conclusions sur l’avenir de l’Union avant les prochaines élections au Parlement européen. </w:t>
      </w:r>
    </w:p>
    <w:p w:rsidR="000713B8" w:rsidRDefault="0018465F">
      <w:pPr>
        <w:jc w:val="both"/>
        <w:rPr>
          <w:rFonts w:ascii="Times New Roman" w:hAnsi="Times New Roman" w:cs="Times New Roman"/>
          <w:noProof/>
          <w:sz w:val="24"/>
          <w:szCs w:val="24"/>
        </w:rPr>
      </w:pPr>
      <w:r>
        <w:rPr>
          <w:rFonts w:ascii="Times New Roman" w:hAnsi="Times New Roman"/>
          <w:noProof/>
          <w:sz w:val="24"/>
        </w:rPr>
        <w:t xml:space="preserve">La réalisation des objectifs du socle européen des droits sociaux a toujours été envisagée comme un </w:t>
      </w:r>
      <w:r>
        <w:rPr>
          <w:rFonts w:ascii="Times New Roman" w:hAnsi="Times New Roman"/>
          <w:b/>
          <w:noProof/>
          <w:sz w:val="24"/>
        </w:rPr>
        <w:t>engagement et une responsabilité politiques partagés</w:t>
      </w:r>
      <w:r>
        <w:rPr>
          <w:rFonts w:ascii="Times New Roman" w:hAnsi="Times New Roman"/>
          <w:noProof/>
          <w:sz w:val="24"/>
        </w:rPr>
        <w:t xml:space="preserve">. Les institutions de l’UE, les États membres, les pouvoirs publics, les partenaires sociaux et les organisations de la société civile à tous les niveaux ont un rôle crucial à jouer en fonction de leurs compétences. </w:t>
      </w:r>
    </w:p>
    <w:p w:rsidR="000713B8" w:rsidRDefault="0018465F">
      <w:pPr>
        <w:jc w:val="both"/>
        <w:rPr>
          <w:rFonts w:ascii="Times New Roman" w:hAnsi="Times New Roman" w:cs="Times New Roman"/>
          <w:noProof/>
          <w:sz w:val="24"/>
          <w:szCs w:val="24"/>
        </w:rPr>
      </w:pPr>
      <w:r>
        <w:rPr>
          <w:rFonts w:ascii="Times New Roman" w:hAnsi="Times New Roman"/>
          <w:noProof/>
          <w:sz w:val="24"/>
        </w:rPr>
        <w:t>Au niveau de l’UE, la Commission est ré</w:t>
      </w:r>
      <w:r>
        <w:rPr>
          <w:rFonts w:ascii="Times New Roman" w:hAnsi="Times New Roman"/>
          <w:noProof/>
          <w:sz w:val="24"/>
        </w:rPr>
        <w:t xml:space="preserve">solument engagée à </w:t>
      </w:r>
      <w:r>
        <w:rPr>
          <w:rFonts w:ascii="Times New Roman" w:hAnsi="Times New Roman"/>
          <w:b/>
          <w:noProof/>
          <w:sz w:val="24"/>
        </w:rPr>
        <w:t>intégrer les priorités du socle européen des droits sociaux dans toutes les politiques de l’UE</w:t>
      </w:r>
      <w:r>
        <w:rPr>
          <w:rFonts w:ascii="Times New Roman" w:hAnsi="Times New Roman"/>
          <w:noProof/>
          <w:sz w:val="24"/>
        </w:rPr>
        <w:t>. Elle a déjà entrepris d’utiliser à cet effet les outils et processus existants et a également présenté, dans le cadre de ses compétences, plu</w:t>
      </w:r>
      <w:r>
        <w:rPr>
          <w:rFonts w:ascii="Times New Roman" w:hAnsi="Times New Roman"/>
          <w:noProof/>
          <w:sz w:val="24"/>
        </w:rPr>
        <w:t xml:space="preserve">sieurs initiatives spécifiques dont certaines doivent encore être adoptées par les colégislateurs européens. </w:t>
      </w:r>
    </w:p>
    <w:p w:rsidR="000713B8" w:rsidRDefault="0018465F">
      <w:pPr>
        <w:spacing w:after="0"/>
        <w:jc w:val="both"/>
        <w:rPr>
          <w:rFonts w:ascii="Times New Roman" w:hAnsi="Times New Roman" w:cs="Times New Roman"/>
          <w:noProof/>
          <w:sz w:val="24"/>
          <w:szCs w:val="24"/>
        </w:rPr>
      </w:pPr>
      <w:r>
        <w:rPr>
          <w:rFonts w:ascii="Times New Roman" w:hAnsi="Times New Roman"/>
          <w:noProof/>
          <w:sz w:val="24"/>
        </w:rPr>
        <w:t xml:space="preserve">La Commission s’est aussi engagée à </w:t>
      </w:r>
      <w:r>
        <w:rPr>
          <w:rFonts w:ascii="Times New Roman" w:hAnsi="Times New Roman"/>
          <w:b/>
          <w:noProof/>
          <w:sz w:val="24"/>
        </w:rPr>
        <w:t xml:space="preserve">soutenir les États membres, les partenaires sociaux et les organisations de la société civile dans la mise en </w:t>
      </w:r>
      <w:r>
        <w:rPr>
          <w:rFonts w:ascii="Times New Roman" w:hAnsi="Times New Roman"/>
          <w:b/>
          <w:noProof/>
          <w:sz w:val="24"/>
        </w:rPr>
        <w:t>œuvre du socle européen des droits sociaux</w:t>
      </w:r>
      <w:r>
        <w:rPr>
          <w:rFonts w:ascii="Times New Roman" w:hAnsi="Times New Roman"/>
          <w:noProof/>
          <w:sz w:val="24"/>
        </w:rPr>
        <w:t xml:space="preserve"> aux niveaux national, régional et local. Un document de travail des services de la Commission, publié en même temps que la présente communication, rappelle le cadre juridique applicable, le rôle respectif des enti</w:t>
      </w:r>
      <w:r>
        <w:rPr>
          <w:rFonts w:ascii="Times New Roman" w:hAnsi="Times New Roman"/>
          <w:noProof/>
          <w:sz w:val="24"/>
        </w:rPr>
        <w:t>tés nationales et de l’UE ainsi que les mesures déjà prises concernant chacun des principes du socle européen des droits sociaux</w:t>
      </w:r>
      <w:r>
        <w:rPr>
          <w:rStyle w:val="FootnoteReference"/>
          <w:rFonts w:ascii="Times New Roman" w:hAnsi="Times New Roman"/>
          <w:noProof/>
          <w:sz w:val="24"/>
        </w:rPr>
        <w:footnoteReference w:id="9"/>
      </w:r>
      <w:r>
        <w:rPr>
          <w:rFonts w:ascii="Times New Roman" w:hAnsi="Times New Roman"/>
          <w:noProof/>
          <w:sz w:val="24"/>
        </w:rPr>
        <w:t xml:space="preserve">. </w:t>
      </w:r>
    </w:p>
    <w:p w:rsidR="000713B8" w:rsidRDefault="000713B8">
      <w:pPr>
        <w:spacing w:after="0"/>
        <w:jc w:val="both"/>
        <w:rPr>
          <w:rFonts w:ascii="Times New Roman" w:hAnsi="Times New Roman" w:cs="Times New Roman"/>
          <w:noProof/>
          <w:sz w:val="24"/>
          <w:szCs w:val="24"/>
        </w:rPr>
      </w:pPr>
    </w:p>
    <w:p w:rsidR="000713B8" w:rsidRDefault="0018465F">
      <w:pPr>
        <w:spacing w:after="0"/>
        <w:jc w:val="both"/>
        <w:rPr>
          <w:rFonts w:ascii="Times New Roman" w:hAnsi="Times New Roman" w:cs="Times New Roman"/>
          <w:noProof/>
          <w:sz w:val="24"/>
          <w:szCs w:val="24"/>
        </w:rPr>
      </w:pPr>
      <w:r>
        <w:rPr>
          <w:rFonts w:ascii="Times New Roman" w:hAnsi="Times New Roman"/>
          <w:noProof/>
          <w:sz w:val="24"/>
        </w:rPr>
        <w:t>Il est essentiel de superviser la mise en œuvre du socle européen des droits sociaux pour garantir des progrès concrets sur</w:t>
      </w:r>
      <w:r>
        <w:rPr>
          <w:rFonts w:ascii="Times New Roman" w:hAnsi="Times New Roman"/>
          <w:noProof/>
          <w:sz w:val="24"/>
        </w:rPr>
        <w:t xml:space="preserve"> le terrain. Par la présente communication, la Commission propose, en complément des initiatives déjà prises et à venir au niveau de l’UE, de </w:t>
      </w:r>
      <w:r>
        <w:rPr>
          <w:rFonts w:ascii="Times New Roman" w:hAnsi="Times New Roman"/>
          <w:b/>
          <w:noProof/>
          <w:sz w:val="24"/>
        </w:rPr>
        <w:t>renforcer le suivi de la mise en œuvre du socle européen des droits sociaux dans le cadre du Semestre européen pou</w:t>
      </w:r>
      <w:r>
        <w:rPr>
          <w:rFonts w:ascii="Times New Roman" w:hAnsi="Times New Roman"/>
          <w:b/>
          <w:noProof/>
          <w:sz w:val="24"/>
        </w:rPr>
        <w:t>r la coordination des politiques</w:t>
      </w:r>
      <w:r>
        <w:rPr>
          <w:rFonts w:ascii="Times New Roman" w:hAnsi="Times New Roman"/>
          <w:noProof/>
          <w:sz w:val="24"/>
        </w:rPr>
        <w:t>. Il est possible d’y parvenir:</w:t>
      </w:r>
    </w:p>
    <w:p w:rsidR="000713B8" w:rsidRDefault="0018465F">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rPr>
        <w:t xml:space="preserve">en prenant en compte les priorités du socle européen des droits sociaux dans l’analyse des mesures prises et des progrès accomplis au niveau national; </w:t>
      </w:r>
    </w:p>
    <w:p w:rsidR="000713B8" w:rsidRDefault="0018465F">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rPr>
        <w:t>en fournissant une assistance technique,</w:t>
      </w:r>
      <w:r>
        <w:rPr>
          <w:rFonts w:ascii="Times New Roman" w:hAnsi="Times New Roman"/>
          <w:noProof/>
          <w:sz w:val="24"/>
        </w:rPr>
        <w:t xml:space="preserve"> en soutenant l’analyse comparative et en encourageant l’échange de bonnes pratiques entre les États membres et les parties prenantes; </w:t>
      </w:r>
    </w:p>
    <w:p w:rsidR="000713B8" w:rsidRDefault="0018465F">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rPr>
        <w:t>et en analysant les performances en matière sociale et d’emploi selon le nouveau tableau de bord social, contribuant ain</w:t>
      </w:r>
      <w:r>
        <w:rPr>
          <w:rFonts w:ascii="Times New Roman" w:hAnsi="Times New Roman"/>
          <w:noProof/>
          <w:sz w:val="24"/>
        </w:rPr>
        <w:t>si au processus plus général de convergence ascendante.</w:t>
      </w:r>
    </w:p>
    <w:p w:rsidR="000713B8" w:rsidRDefault="000713B8">
      <w:pPr>
        <w:jc w:val="both"/>
        <w:rPr>
          <w:rFonts w:ascii="Times New Roman" w:hAnsi="Times New Roman" w:cs="Times New Roman"/>
          <w:b/>
          <w:noProof/>
          <w:sz w:val="24"/>
          <w:szCs w:val="24"/>
          <w:u w:val="single"/>
        </w:rPr>
      </w:pPr>
    </w:p>
    <w:p w:rsidR="000713B8" w:rsidRDefault="0018465F">
      <w:pPr>
        <w:jc w:val="both"/>
        <w:rPr>
          <w:rFonts w:ascii="Times New Roman" w:hAnsi="Times New Roman" w:cs="Times New Roman"/>
          <w:b/>
          <w:noProof/>
          <w:sz w:val="24"/>
          <w:szCs w:val="24"/>
          <w:u w:val="single"/>
        </w:rPr>
      </w:pPr>
      <w:r>
        <w:rPr>
          <w:rFonts w:ascii="Times New Roman" w:hAnsi="Times New Roman"/>
          <w:b/>
          <w:noProof/>
          <w:sz w:val="24"/>
          <w:u w:val="single"/>
        </w:rPr>
        <w:t>3. Mettre en œuvre le socle au niveau de l’UE</w:t>
      </w:r>
    </w:p>
    <w:p w:rsidR="000713B8" w:rsidRDefault="0018465F">
      <w:pPr>
        <w:spacing w:after="0"/>
        <w:jc w:val="both"/>
        <w:rPr>
          <w:rFonts w:ascii="Times New Roman" w:hAnsi="Times New Roman" w:cs="Times New Roman"/>
          <w:noProof/>
          <w:sz w:val="24"/>
          <w:szCs w:val="24"/>
        </w:rPr>
      </w:pPr>
      <w:r>
        <w:rPr>
          <w:rFonts w:ascii="Times New Roman" w:hAnsi="Times New Roman"/>
          <w:b/>
          <w:noProof/>
          <w:sz w:val="24"/>
        </w:rPr>
        <w:t>Les priorités sociales sont au cœur de l’agenda de la Commission actuelle depuis qu’elle a pris ses fonctions en 2014.</w:t>
      </w:r>
      <w:r>
        <w:rPr>
          <w:rFonts w:ascii="Times New Roman" w:hAnsi="Times New Roman"/>
          <w:noProof/>
          <w:sz w:val="24"/>
        </w:rPr>
        <w:t xml:space="preserve"> Le contenu et les ambitions du soc</w:t>
      </w:r>
      <w:r>
        <w:rPr>
          <w:rFonts w:ascii="Times New Roman" w:hAnsi="Times New Roman"/>
          <w:noProof/>
          <w:sz w:val="24"/>
        </w:rPr>
        <w:t>le européen des droits sociaux découlent d’un grand nombre d’initiatives dans le domaine social et de l’emploi, prises par la Commission actuelle ces dernières années, notamment</w:t>
      </w:r>
      <w:r>
        <w:rPr>
          <w:rStyle w:val="FootnoteReference"/>
          <w:rFonts w:ascii="Times New Roman" w:hAnsi="Times New Roman"/>
          <w:noProof/>
          <w:sz w:val="24"/>
        </w:rPr>
        <w:footnoteReference w:id="10"/>
      </w:r>
      <w:r>
        <w:rPr>
          <w:rFonts w:ascii="Times New Roman" w:hAnsi="Times New Roman"/>
          <w:noProof/>
          <w:sz w:val="24"/>
        </w:rPr>
        <w:t xml:space="preserve">: </w:t>
      </w:r>
    </w:p>
    <w:p w:rsidR="000713B8" w:rsidRDefault="0018465F">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la promotion d’un </w:t>
      </w:r>
      <w:r>
        <w:rPr>
          <w:rFonts w:ascii="Times New Roman" w:hAnsi="Times New Roman"/>
          <w:b/>
          <w:noProof/>
          <w:sz w:val="24"/>
        </w:rPr>
        <w:t>nouveau départ pour le dialogue social</w:t>
      </w:r>
      <w:r>
        <w:rPr>
          <w:rFonts w:ascii="Times New Roman" w:hAnsi="Times New Roman"/>
          <w:noProof/>
          <w:sz w:val="24"/>
        </w:rPr>
        <w:t xml:space="preserve">, qui traduit l’engagement de la Commission à collaborer étroitement avec les partenaires sociaux à tous les niveaux; </w:t>
      </w:r>
    </w:p>
    <w:p w:rsidR="000713B8" w:rsidRDefault="0018465F">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la proposition d’un </w:t>
      </w:r>
      <w:r>
        <w:rPr>
          <w:rFonts w:ascii="Times New Roman" w:hAnsi="Times New Roman"/>
          <w:b/>
          <w:noProof/>
          <w:sz w:val="24"/>
        </w:rPr>
        <w:t>acte législatif européen sur l’accessibilité</w:t>
      </w:r>
      <w:r>
        <w:rPr>
          <w:rFonts w:ascii="Times New Roman" w:hAnsi="Times New Roman"/>
          <w:noProof/>
          <w:sz w:val="24"/>
        </w:rPr>
        <w:t>, qui vise à améliorer le fonctionnement du marché intérieur des produits</w:t>
      </w:r>
      <w:r>
        <w:rPr>
          <w:rFonts w:ascii="Times New Roman" w:hAnsi="Times New Roman"/>
          <w:noProof/>
          <w:sz w:val="24"/>
        </w:rPr>
        <w:t xml:space="preserve"> et services accessibles en levant les obstacles créés par la divergence des législations et donc à faciliter l’activité des entreprises et procurer des avantages aux personnes âgées et handicapées dans l’UE;</w:t>
      </w:r>
    </w:p>
    <w:p w:rsidR="000713B8" w:rsidRDefault="0018465F">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une proposition de directive pour accroître </w:t>
      </w:r>
      <w:r>
        <w:rPr>
          <w:rFonts w:ascii="Times New Roman" w:hAnsi="Times New Roman"/>
          <w:b/>
          <w:noProof/>
          <w:sz w:val="24"/>
        </w:rPr>
        <w:t xml:space="preserve">la </w:t>
      </w:r>
      <w:r>
        <w:rPr>
          <w:rFonts w:ascii="Times New Roman" w:hAnsi="Times New Roman"/>
          <w:b/>
          <w:noProof/>
          <w:sz w:val="24"/>
        </w:rPr>
        <w:t>transparence et la prévisibilité des conditions de travail</w:t>
      </w:r>
      <w:r>
        <w:rPr>
          <w:rFonts w:ascii="Times New Roman" w:hAnsi="Times New Roman"/>
          <w:noProof/>
          <w:sz w:val="24"/>
        </w:rPr>
        <w:t>, qui vise à mieux informer les travailleurs de leurs droits et, en même temps, à établir de nouvelles exigences minimales afin d’améliorer les conditions de travail;</w:t>
      </w:r>
    </w:p>
    <w:p w:rsidR="000713B8" w:rsidRDefault="0018465F">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la révision de la </w:t>
      </w:r>
      <w:r>
        <w:rPr>
          <w:rFonts w:ascii="Times New Roman" w:hAnsi="Times New Roman"/>
          <w:b/>
          <w:noProof/>
          <w:sz w:val="24"/>
        </w:rPr>
        <w:t>directive sur</w:t>
      </w:r>
      <w:r>
        <w:rPr>
          <w:rFonts w:ascii="Times New Roman" w:hAnsi="Times New Roman"/>
          <w:b/>
          <w:noProof/>
          <w:sz w:val="24"/>
        </w:rPr>
        <w:t xml:space="preserve"> le détachement des travailleurs</w:t>
      </w:r>
      <w:r>
        <w:rPr>
          <w:rFonts w:ascii="Times New Roman" w:hAnsi="Times New Roman"/>
          <w:noProof/>
          <w:sz w:val="24"/>
        </w:rPr>
        <w:t xml:space="preserve">, qui pose le principe «à travail égal au même endroit, salaire égal», contribuant ainsi à établir des conditions équitables et à prévenir la concurrence déloyale au sein du marché intérieur; </w:t>
      </w:r>
    </w:p>
    <w:p w:rsidR="000713B8" w:rsidRDefault="0018465F">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la proposition d’une nouvelle l</w:t>
      </w:r>
      <w:r>
        <w:rPr>
          <w:rFonts w:ascii="Times New Roman" w:hAnsi="Times New Roman"/>
          <w:noProof/>
          <w:sz w:val="24"/>
        </w:rPr>
        <w:t xml:space="preserve">égislation pour moderniser la </w:t>
      </w:r>
      <w:r>
        <w:rPr>
          <w:rFonts w:ascii="Times New Roman" w:hAnsi="Times New Roman"/>
          <w:b/>
          <w:noProof/>
          <w:sz w:val="24"/>
        </w:rPr>
        <w:t>coordination des systèmes de sécurité sociale</w:t>
      </w:r>
      <w:r>
        <w:rPr>
          <w:rFonts w:ascii="Times New Roman" w:hAnsi="Times New Roman"/>
          <w:noProof/>
          <w:sz w:val="24"/>
        </w:rPr>
        <w:t xml:space="preserve">, qui permet notamment de garantir que les travailleurs exerçant leur droit à la libre circulation ne perdent pas leurs droits en matière de sécurité sociale; </w:t>
      </w:r>
    </w:p>
    <w:p w:rsidR="000713B8" w:rsidRDefault="0018465F">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une proposition de di</w:t>
      </w:r>
      <w:r>
        <w:rPr>
          <w:rFonts w:ascii="Times New Roman" w:hAnsi="Times New Roman"/>
          <w:noProof/>
          <w:sz w:val="24"/>
        </w:rPr>
        <w:t xml:space="preserve">rective sur </w:t>
      </w:r>
      <w:r>
        <w:rPr>
          <w:rFonts w:ascii="Times New Roman" w:hAnsi="Times New Roman"/>
          <w:b/>
          <w:noProof/>
          <w:sz w:val="24"/>
        </w:rPr>
        <w:t>l’équilibre entre vie professionnelle et vie privée des parents et aidants</w:t>
      </w:r>
      <w:r>
        <w:rPr>
          <w:rFonts w:ascii="Times New Roman" w:hAnsi="Times New Roman"/>
          <w:noProof/>
          <w:sz w:val="24"/>
        </w:rPr>
        <w:t xml:space="preserve"> pour moderniser le cadre juridique existant en instaurant le congé de paternité et des proches aidants, en renforçant le congé parental et en étendant le droit de demand</w:t>
      </w:r>
      <w:r>
        <w:rPr>
          <w:rFonts w:ascii="Times New Roman" w:hAnsi="Times New Roman"/>
          <w:noProof/>
          <w:sz w:val="24"/>
        </w:rPr>
        <w:t>er des formules de travail souples;</w:t>
      </w:r>
    </w:p>
    <w:p w:rsidR="000713B8" w:rsidRDefault="0018465F">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le plan d’action 2017-2019 pour éliminer l’</w:t>
      </w:r>
      <w:r>
        <w:rPr>
          <w:rFonts w:ascii="Times New Roman" w:hAnsi="Times New Roman"/>
          <w:b/>
          <w:noProof/>
          <w:sz w:val="24"/>
        </w:rPr>
        <w:t>écart de rémunération entre les femmes et les hommes</w:t>
      </w:r>
      <w:r>
        <w:rPr>
          <w:rFonts w:ascii="Times New Roman" w:hAnsi="Times New Roman"/>
          <w:noProof/>
          <w:sz w:val="24"/>
        </w:rPr>
        <w:t>, qui comprend un ensemble d’activités portant sur ses causes profondes;  le réexamen des divers actes législatifs dans le do</w:t>
      </w:r>
      <w:r>
        <w:rPr>
          <w:rFonts w:ascii="Times New Roman" w:hAnsi="Times New Roman"/>
          <w:noProof/>
          <w:sz w:val="24"/>
        </w:rPr>
        <w:t xml:space="preserve">maine de </w:t>
      </w:r>
      <w:r>
        <w:rPr>
          <w:rFonts w:ascii="Times New Roman" w:hAnsi="Times New Roman"/>
          <w:b/>
          <w:noProof/>
          <w:sz w:val="24"/>
        </w:rPr>
        <w:t>la sécurité et la santé au travail</w:t>
      </w:r>
      <w:r>
        <w:rPr>
          <w:rFonts w:ascii="Times New Roman" w:hAnsi="Times New Roman"/>
          <w:noProof/>
          <w:sz w:val="24"/>
        </w:rPr>
        <w:t xml:space="preserve">, qui actualise et complète les dispositions protégeant les travailleurs contre les risques sanitaires liés au travail, notamment l’exposition à des agents cancérigènes; </w:t>
      </w:r>
    </w:p>
    <w:p w:rsidR="000713B8" w:rsidRDefault="0018465F">
      <w:pPr>
        <w:pStyle w:val="ListParagraph"/>
        <w:numPr>
          <w:ilvl w:val="0"/>
          <w:numId w:val="1"/>
        </w:numPr>
        <w:jc w:val="both"/>
        <w:rPr>
          <w:noProof/>
        </w:rPr>
      </w:pPr>
      <w:r>
        <w:rPr>
          <w:rFonts w:ascii="Times New Roman" w:hAnsi="Times New Roman"/>
          <w:noProof/>
          <w:sz w:val="24"/>
        </w:rPr>
        <w:t xml:space="preserve">diverses mesures garantissant un accès en </w:t>
      </w:r>
      <w:r>
        <w:rPr>
          <w:rFonts w:ascii="Times New Roman" w:hAnsi="Times New Roman"/>
          <w:noProof/>
          <w:sz w:val="24"/>
        </w:rPr>
        <w:t xml:space="preserve">temps utile à des </w:t>
      </w:r>
      <w:r>
        <w:rPr>
          <w:rFonts w:ascii="Times New Roman" w:hAnsi="Times New Roman"/>
          <w:b/>
          <w:noProof/>
          <w:sz w:val="24"/>
        </w:rPr>
        <w:t>soins de santé</w:t>
      </w:r>
      <w:r>
        <w:rPr>
          <w:rFonts w:ascii="Times New Roman" w:hAnsi="Times New Roman"/>
          <w:noProof/>
          <w:sz w:val="24"/>
        </w:rPr>
        <w:t xml:space="preserve"> préventifs et curatifs abordables et de qualité, y compris les réseaux européens de référence qui, depuis novembre dernier, offrent aux personnes atteintes de maladies rares un accès au diagnostic et au traitement dans tout</w:t>
      </w:r>
      <w:r>
        <w:rPr>
          <w:rFonts w:ascii="Times New Roman" w:hAnsi="Times New Roman"/>
          <w:noProof/>
          <w:sz w:val="24"/>
        </w:rPr>
        <w:t>e l’UE;</w:t>
      </w:r>
    </w:p>
    <w:p w:rsidR="000713B8" w:rsidRDefault="0018465F">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le renforcement et le déploiement de la </w:t>
      </w:r>
      <w:r>
        <w:rPr>
          <w:rFonts w:ascii="Times New Roman" w:hAnsi="Times New Roman"/>
          <w:b/>
          <w:noProof/>
          <w:sz w:val="24"/>
        </w:rPr>
        <w:t>garantie pour la jeunesse</w:t>
      </w:r>
      <w:r>
        <w:rPr>
          <w:rFonts w:ascii="Times New Roman" w:hAnsi="Times New Roman"/>
          <w:noProof/>
          <w:sz w:val="24"/>
        </w:rPr>
        <w:t xml:space="preserve"> pour aider les jeunes à accéder rapidement à un emploi, un enseignement ou une formation; </w:t>
      </w:r>
    </w:p>
    <w:p w:rsidR="000713B8" w:rsidRDefault="0018465F">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le lancement d’une série d’initiatives au titre de la </w:t>
      </w:r>
      <w:r>
        <w:rPr>
          <w:rFonts w:ascii="Times New Roman" w:hAnsi="Times New Roman"/>
          <w:b/>
          <w:noProof/>
          <w:sz w:val="24"/>
        </w:rPr>
        <w:t>nouvelle stratégie en matière de comp</w:t>
      </w:r>
      <w:r>
        <w:rPr>
          <w:rFonts w:ascii="Times New Roman" w:hAnsi="Times New Roman"/>
          <w:b/>
          <w:noProof/>
          <w:sz w:val="24"/>
        </w:rPr>
        <w:t>étences</w:t>
      </w:r>
      <w:r>
        <w:rPr>
          <w:rFonts w:ascii="Times New Roman" w:hAnsi="Times New Roman"/>
          <w:noProof/>
          <w:sz w:val="24"/>
        </w:rPr>
        <w:t>, qui vise à doter davantage de personnes de meilleures compétences;</w:t>
      </w:r>
    </w:p>
    <w:p w:rsidR="000713B8" w:rsidRDefault="0018465F">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diverses initiatives visant à faciliter l’accès à un enseignement, une formation et un apprentissage tout au long de la vie intégrateurs et de qualité dans le cadre de la transitio</w:t>
      </w:r>
      <w:r>
        <w:rPr>
          <w:rFonts w:ascii="Times New Roman" w:hAnsi="Times New Roman"/>
          <w:noProof/>
          <w:sz w:val="24"/>
        </w:rPr>
        <w:t xml:space="preserve">n vers un </w:t>
      </w:r>
      <w:r>
        <w:rPr>
          <w:rFonts w:ascii="Times New Roman" w:hAnsi="Times New Roman"/>
          <w:b/>
          <w:noProof/>
          <w:sz w:val="24"/>
        </w:rPr>
        <w:t>espace européen de l’éducation</w:t>
      </w:r>
      <w:r>
        <w:rPr>
          <w:rFonts w:ascii="Times New Roman" w:hAnsi="Times New Roman"/>
          <w:noProof/>
          <w:sz w:val="24"/>
        </w:rPr>
        <w:t>;</w:t>
      </w:r>
    </w:p>
    <w:p w:rsidR="000713B8" w:rsidRDefault="0018465F">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dans le domaine de </w:t>
      </w:r>
      <w:r>
        <w:rPr>
          <w:rFonts w:ascii="Times New Roman" w:hAnsi="Times New Roman"/>
          <w:b/>
          <w:noProof/>
          <w:sz w:val="24"/>
        </w:rPr>
        <w:t>l’éducation et de la formation</w:t>
      </w:r>
      <w:r>
        <w:rPr>
          <w:rFonts w:ascii="Times New Roman" w:hAnsi="Times New Roman"/>
          <w:noProof/>
          <w:sz w:val="24"/>
        </w:rPr>
        <w:t>, la Commission poursuit des objectifs plus ambitieux pour la proportion d’élèves peu performants et de jeunes en décrochage scolaire et en envisage de nouveaux en c</w:t>
      </w:r>
      <w:r>
        <w:rPr>
          <w:rFonts w:ascii="Times New Roman" w:hAnsi="Times New Roman"/>
          <w:noProof/>
          <w:sz w:val="24"/>
        </w:rPr>
        <w:t>e qui concerne les compétences numériques et l’entrepreneuriat</w:t>
      </w:r>
      <w:r>
        <w:rPr>
          <w:rStyle w:val="FootnoteReference"/>
          <w:rFonts w:ascii="Times New Roman" w:hAnsi="Times New Roman"/>
          <w:noProof/>
          <w:sz w:val="24"/>
        </w:rPr>
        <w:footnoteReference w:id="11"/>
      </w:r>
      <w:r>
        <w:rPr>
          <w:rFonts w:ascii="Times New Roman" w:hAnsi="Times New Roman"/>
          <w:noProof/>
          <w:sz w:val="24"/>
        </w:rPr>
        <w:t>.</w:t>
      </w:r>
    </w:p>
    <w:p w:rsidR="000713B8" w:rsidRDefault="0018465F">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Sur les 22 actes législatifs proposés depuis novembre 2014 dans le domaine social et de l’emploi, 10 ont été adoptés et 12 doivent encore être approuvés par le Conseil et/ou le Parlement eur</w:t>
      </w:r>
      <w:r>
        <w:rPr>
          <w:rFonts w:ascii="Times New Roman" w:hAnsi="Times New Roman"/>
          <w:noProof/>
          <w:sz w:val="24"/>
        </w:rPr>
        <w:t xml:space="preserve">opéen. Comme cela ressort de la déclaration conjointe du Parlement européen, du Conseil et de la Commission, la priorité, pour les mois à venir, sera de </w:t>
      </w:r>
      <w:r>
        <w:rPr>
          <w:rFonts w:ascii="Times New Roman" w:hAnsi="Times New Roman"/>
          <w:b/>
          <w:noProof/>
          <w:sz w:val="24"/>
        </w:rPr>
        <w:t>clôturer les dossiers législatifs en cours</w:t>
      </w:r>
      <w:r>
        <w:rPr>
          <w:rFonts w:ascii="Times New Roman" w:hAnsi="Times New Roman"/>
          <w:noProof/>
          <w:sz w:val="24"/>
        </w:rPr>
        <w:t xml:space="preserve"> et de </w:t>
      </w:r>
      <w:r>
        <w:rPr>
          <w:rFonts w:ascii="Times New Roman" w:hAnsi="Times New Roman"/>
          <w:b/>
          <w:noProof/>
          <w:sz w:val="24"/>
        </w:rPr>
        <w:t>se concentrer sur la réalisation et la mise en œuvre</w:t>
      </w:r>
      <w:r>
        <w:rPr>
          <w:rFonts w:ascii="Times New Roman" w:hAnsi="Times New Roman"/>
          <w:noProof/>
          <w:sz w:val="24"/>
        </w:rPr>
        <w:t xml:space="preserve"> d</w:t>
      </w:r>
      <w:r>
        <w:rPr>
          <w:rFonts w:ascii="Times New Roman" w:hAnsi="Times New Roman"/>
          <w:noProof/>
          <w:sz w:val="24"/>
        </w:rPr>
        <w:t xml:space="preserve">es nouvelles initiatives sur le terrain. </w:t>
      </w:r>
    </w:p>
    <w:p w:rsidR="000713B8" w:rsidRDefault="000713B8">
      <w:pPr>
        <w:pStyle w:val="ListParagraph"/>
        <w:ind w:left="0"/>
        <w:jc w:val="both"/>
        <w:rPr>
          <w:rFonts w:ascii="Times New Roman" w:hAnsi="Times New Roman" w:cs="Times New Roman"/>
          <w:noProof/>
          <w:sz w:val="24"/>
          <w:szCs w:val="24"/>
        </w:rPr>
      </w:pPr>
    </w:p>
    <w:p w:rsidR="000713B8" w:rsidRDefault="0018465F">
      <w:pPr>
        <w:pStyle w:val="ListParagraph"/>
        <w:ind w:left="0"/>
        <w:jc w:val="both"/>
        <w:rPr>
          <w:rFonts w:ascii="Times New Roman" w:hAnsi="Times New Roman" w:cs="Times New Roman"/>
          <w:noProof/>
          <w:sz w:val="24"/>
          <w:szCs w:val="24"/>
        </w:rPr>
      </w:pPr>
      <w:r>
        <w:rPr>
          <w:rFonts w:ascii="Times New Roman" w:hAnsi="Times New Roman"/>
          <w:b/>
          <w:noProof/>
          <w:sz w:val="24"/>
        </w:rPr>
        <w:t>En outre, la Commission a intégré les priorités sociales dans tous les domaines</w:t>
      </w:r>
      <w:r>
        <w:rPr>
          <w:rFonts w:ascii="Times New Roman" w:hAnsi="Times New Roman"/>
          <w:noProof/>
          <w:sz w:val="24"/>
        </w:rPr>
        <w:t>, en reconnaissant pleinement la dimension sociale de tout ce qu’elle entreprend</w:t>
      </w:r>
      <w:r>
        <w:rPr>
          <w:noProof/>
        </w:rPr>
        <w:t>.</w:t>
      </w:r>
      <w:r>
        <w:rPr>
          <w:rFonts w:ascii="Times New Roman" w:hAnsi="Times New Roman"/>
          <w:noProof/>
          <w:sz w:val="24"/>
        </w:rPr>
        <w:t xml:space="preserve"> Cela comprend: </w:t>
      </w:r>
    </w:p>
    <w:p w:rsidR="000713B8" w:rsidRDefault="0018465F">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b/>
          <w:noProof/>
          <w:sz w:val="24"/>
        </w:rPr>
        <w:t>Semestre européen</w:t>
      </w:r>
      <w:r>
        <w:rPr>
          <w:rFonts w:ascii="Times New Roman" w:hAnsi="Times New Roman"/>
          <w:noProof/>
          <w:sz w:val="24"/>
        </w:rPr>
        <w:t xml:space="preserve"> pour la coordination des politiques, dans le cadre duquel la Commission a mis les priorités sociales davantage en lumière et sur le même plan que les objectifs économiques au cœur du cycle annuel de la gouvernance économique, le cycle de cette année prena</w:t>
      </w:r>
      <w:r>
        <w:rPr>
          <w:rFonts w:ascii="Times New Roman" w:hAnsi="Times New Roman"/>
          <w:noProof/>
          <w:sz w:val="24"/>
        </w:rPr>
        <w:t>nt aussi en compte, pour la première fois, les priorités du socle européen des droits sociaux</w:t>
      </w:r>
      <w:r>
        <w:rPr>
          <w:rStyle w:val="FootnoteReference"/>
          <w:rFonts w:ascii="Times New Roman" w:hAnsi="Times New Roman"/>
          <w:noProof/>
          <w:sz w:val="24"/>
        </w:rPr>
        <w:footnoteReference w:id="12"/>
      </w:r>
      <w:r>
        <w:rPr>
          <w:rFonts w:ascii="Times New Roman" w:hAnsi="Times New Roman"/>
          <w:noProof/>
          <w:sz w:val="24"/>
        </w:rPr>
        <w:t xml:space="preserve">; </w:t>
      </w:r>
    </w:p>
    <w:p w:rsidR="000713B8" w:rsidRDefault="0018465F">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 xml:space="preserve">au titre de la </w:t>
      </w:r>
      <w:r>
        <w:rPr>
          <w:rFonts w:ascii="Times New Roman" w:hAnsi="Times New Roman"/>
          <w:b/>
          <w:noProof/>
          <w:sz w:val="24"/>
        </w:rPr>
        <w:t>politique de cohésion</w:t>
      </w:r>
      <w:r>
        <w:rPr>
          <w:rFonts w:ascii="Times New Roman" w:hAnsi="Times New Roman"/>
          <w:noProof/>
          <w:sz w:val="24"/>
        </w:rPr>
        <w:t>, les priorités sociales sont largement soutenues par les Fonds structurels et d’investissement européens dans des domaines</w:t>
      </w:r>
      <w:r>
        <w:rPr>
          <w:rFonts w:ascii="Times New Roman" w:hAnsi="Times New Roman"/>
          <w:noProof/>
          <w:sz w:val="24"/>
        </w:rPr>
        <w:t xml:space="preserve"> comme l’accès au marché du travail, l’insertion sociale et l’éducation. D’autres </w:t>
      </w:r>
      <w:r>
        <w:rPr>
          <w:rFonts w:ascii="Times New Roman" w:hAnsi="Times New Roman"/>
          <w:b/>
          <w:noProof/>
          <w:sz w:val="24"/>
        </w:rPr>
        <w:t>programmes et instruments de financement</w:t>
      </w:r>
      <w:r>
        <w:rPr>
          <w:rFonts w:ascii="Times New Roman" w:hAnsi="Times New Roman"/>
          <w:noProof/>
          <w:sz w:val="24"/>
        </w:rPr>
        <w:t xml:space="preserve">, comme le Fonds européen d’ajustement à la mondialisation et le Fonds européen d’aide aux plus démunis, permettent d’aider les </w:t>
      </w:r>
      <w:r>
        <w:rPr>
          <w:rFonts w:ascii="Times New Roman" w:hAnsi="Times New Roman"/>
          <w:noProof/>
          <w:sz w:val="24"/>
        </w:rPr>
        <w:t>personnes touchées par la restructuration d’entreprises ou menacées de privation matérielle aiguë;</w:t>
      </w:r>
    </w:p>
    <w:p w:rsidR="000713B8" w:rsidRDefault="0018465F">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au titre du </w:t>
      </w:r>
      <w:r>
        <w:rPr>
          <w:rFonts w:ascii="Times New Roman" w:hAnsi="Times New Roman"/>
          <w:b/>
          <w:noProof/>
          <w:sz w:val="24"/>
        </w:rPr>
        <w:t>plan d’investissement pour l’Europe</w:t>
      </w:r>
      <w:r>
        <w:rPr>
          <w:rFonts w:ascii="Times New Roman" w:hAnsi="Times New Roman"/>
          <w:noProof/>
          <w:sz w:val="24"/>
        </w:rPr>
        <w:t xml:space="preserve"> (ou «plan Juncker»), les infrastructures et équipements sociaux ainsi que les investissements stratégiques da</w:t>
      </w:r>
      <w:r>
        <w:rPr>
          <w:rFonts w:ascii="Times New Roman" w:hAnsi="Times New Roman"/>
          <w:noProof/>
          <w:sz w:val="24"/>
        </w:rPr>
        <w:t>ns les entreprises sociales peuvent bénéficier d’un soutien financier du Fonds européen pour les investissements stratégiques</w:t>
      </w:r>
      <w:r>
        <w:rPr>
          <w:rStyle w:val="FootnoteReference"/>
          <w:rFonts w:ascii="Times New Roman" w:hAnsi="Times New Roman"/>
          <w:noProof/>
          <w:sz w:val="24"/>
        </w:rPr>
        <w:footnoteReference w:id="13"/>
      </w:r>
      <w:r>
        <w:rPr>
          <w:rFonts w:ascii="Times New Roman" w:hAnsi="Times New Roman"/>
          <w:noProof/>
          <w:sz w:val="24"/>
        </w:rPr>
        <w:t>;</w:t>
      </w:r>
    </w:p>
    <w:p w:rsidR="000713B8" w:rsidRDefault="0018465F">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au titre de </w:t>
      </w:r>
      <w:r>
        <w:rPr>
          <w:rFonts w:ascii="Times New Roman" w:hAnsi="Times New Roman"/>
          <w:b/>
          <w:noProof/>
          <w:sz w:val="24"/>
        </w:rPr>
        <w:t>l’union de l’énergie</w:t>
      </w:r>
      <w:r>
        <w:rPr>
          <w:rFonts w:ascii="Times New Roman" w:hAnsi="Times New Roman"/>
          <w:noProof/>
          <w:sz w:val="24"/>
        </w:rPr>
        <w:t>, le train de mesures proposé par la Commission et intitulé «Une énergie propre pour tous les Eu</w:t>
      </w:r>
      <w:r>
        <w:rPr>
          <w:rFonts w:ascii="Times New Roman" w:hAnsi="Times New Roman"/>
          <w:noProof/>
          <w:sz w:val="24"/>
        </w:rPr>
        <w:t>ropéens» met résolument l’accent sur le consommateur et vise à intensifier les efforts pour que la transition vers une énergie propre soit socialement équitable et que personne ne soit laissé pour compte. En outre, il définit une nouvelle approche de la pr</w:t>
      </w:r>
      <w:r>
        <w:rPr>
          <w:rFonts w:ascii="Times New Roman" w:hAnsi="Times New Roman"/>
          <w:noProof/>
          <w:sz w:val="24"/>
        </w:rPr>
        <w:t>otection des consommateurs vulnérables, laquelle implique aussi d’aider les États membres à réduire le coût de l’énergie pour le consommateur en soutenant les investissements en faveur de l’efficacité énergétique. Cela a également conduit à la création d’u</w:t>
      </w:r>
      <w:r>
        <w:rPr>
          <w:rFonts w:ascii="Times New Roman" w:hAnsi="Times New Roman"/>
          <w:noProof/>
          <w:sz w:val="24"/>
        </w:rPr>
        <w:t>n observatoire européen de la précarité énergétique;</w:t>
      </w:r>
    </w:p>
    <w:p w:rsidR="000713B8" w:rsidRDefault="0018465F">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au titre du </w:t>
      </w:r>
      <w:r>
        <w:rPr>
          <w:rFonts w:ascii="Times New Roman" w:hAnsi="Times New Roman"/>
          <w:b/>
          <w:noProof/>
          <w:sz w:val="24"/>
        </w:rPr>
        <w:t>marché unique numérique</w:t>
      </w:r>
      <w:r>
        <w:rPr>
          <w:rFonts w:ascii="Times New Roman" w:hAnsi="Times New Roman"/>
          <w:noProof/>
          <w:sz w:val="24"/>
        </w:rPr>
        <w:t>, la Commission a fixé des objectifs de connectivité pour 2025 pour mettre le haut débit rapide à disposition de l’ensemble de la société, en prêtant une attention part</w:t>
      </w:r>
      <w:r>
        <w:rPr>
          <w:rFonts w:ascii="Times New Roman" w:hAnsi="Times New Roman"/>
          <w:noProof/>
          <w:sz w:val="24"/>
        </w:rPr>
        <w:t>iculière aux régions accusant un retard, comme les zones rurales et reculées, et en mettant résolument l’accent, en parallèle, sur le développement des compétences numériques. Elle vise aussi à promouvoir, par son initiative WiFi4EU, la gratuité des connex</w:t>
      </w:r>
      <w:r>
        <w:rPr>
          <w:rFonts w:ascii="Times New Roman" w:hAnsi="Times New Roman"/>
          <w:noProof/>
          <w:sz w:val="24"/>
        </w:rPr>
        <w:t xml:space="preserve">ions Wi-Fi pour les habitants et les visiteurs dans les espaces publics. </w:t>
      </w:r>
      <w:r>
        <w:rPr>
          <w:rFonts w:ascii="Times New Roman" w:hAnsi="Times New Roman" w:cs="Times New Roman"/>
          <w:noProof/>
          <w:sz w:val="24"/>
          <w:szCs w:val="24"/>
        </w:rPr>
        <w:br/>
      </w:r>
      <w:r>
        <w:rPr>
          <w:rFonts w:ascii="Times New Roman" w:hAnsi="Times New Roman"/>
          <w:noProof/>
          <w:sz w:val="24"/>
        </w:rPr>
        <w:t>En outre, le code des communications électroniques européen proposé contient des dispositions garantissant le caractère financièrement abordable desdites communications (y compris du</w:t>
      </w:r>
      <w:r>
        <w:rPr>
          <w:rFonts w:ascii="Times New Roman" w:hAnsi="Times New Roman"/>
          <w:noProof/>
          <w:sz w:val="24"/>
        </w:rPr>
        <w:t xml:space="preserve"> haut débit) en tant qu’élément du service universel; </w:t>
      </w:r>
    </w:p>
    <w:p w:rsidR="000713B8" w:rsidRDefault="0018465F">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en matière de </w:t>
      </w:r>
      <w:r>
        <w:rPr>
          <w:rFonts w:ascii="Times New Roman" w:hAnsi="Times New Roman"/>
          <w:b/>
          <w:noProof/>
          <w:sz w:val="24"/>
        </w:rPr>
        <w:t>politique des transports</w:t>
      </w:r>
      <w:r>
        <w:rPr>
          <w:rFonts w:ascii="Times New Roman" w:hAnsi="Times New Roman"/>
          <w:noProof/>
          <w:sz w:val="24"/>
        </w:rPr>
        <w:t>, le train de mesures relatif à la mobilité intitulé «L’Europe en mouvement» est un vaste ensemble d’initiatives qui, entre autres, garantiront de bonnes condition</w:t>
      </w:r>
      <w:r>
        <w:rPr>
          <w:rFonts w:ascii="Times New Roman" w:hAnsi="Times New Roman"/>
          <w:noProof/>
          <w:sz w:val="24"/>
        </w:rPr>
        <w:t>s de travail. De plus, l’UE procède actuellement à la révision des législations sur les droits des passagers pour faire en sorte que les personnes à mobilité réduite aient le même accès aux services de transport que tous les autres passagers;</w:t>
      </w:r>
    </w:p>
    <w:p w:rsidR="000713B8" w:rsidRDefault="0018465F">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la Commission</w:t>
      </w:r>
      <w:r>
        <w:rPr>
          <w:rFonts w:ascii="Times New Roman" w:hAnsi="Times New Roman"/>
          <w:noProof/>
          <w:sz w:val="24"/>
        </w:rPr>
        <w:t xml:space="preserve"> a proposé une révision de la directive sur la </w:t>
      </w:r>
      <w:r>
        <w:rPr>
          <w:rFonts w:ascii="Times New Roman" w:hAnsi="Times New Roman"/>
          <w:b/>
          <w:noProof/>
          <w:sz w:val="24"/>
        </w:rPr>
        <w:t>qualité de l’eau potable</w:t>
      </w:r>
      <w:r>
        <w:rPr>
          <w:rFonts w:ascii="Times New Roman" w:hAnsi="Times New Roman"/>
          <w:noProof/>
          <w:sz w:val="24"/>
        </w:rPr>
        <w:t>, qui facilitera l’accès de toute la population, en particulier des groupes vulnérables et marginalisés, à l’eau;</w:t>
      </w:r>
    </w:p>
    <w:p w:rsidR="000713B8" w:rsidRDefault="0018465F">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en vertu du </w:t>
      </w:r>
      <w:r>
        <w:rPr>
          <w:rFonts w:ascii="Times New Roman" w:hAnsi="Times New Roman"/>
          <w:b/>
          <w:noProof/>
          <w:sz w:val="24"/>
        </w:rPr>
        <w:t>programme en matière de fiscalité</w:t>
      </w:r>
      <w:r>
        <w:rPr>
          <w:rFonts w:ascii="Times New Roman" w:hAnsi="Times New Roman"/>
          <w:noProof/>
          <w:sz w:val="24"/>
        </w:rPr>
        <w:t>, la Commission a présenté</w:t>
      </w:r>
      <w:r>
        <w:rPr>
          <w:rFonts w:ascii="Times New Roman" w:hAnsi="Times New Roman"/>
          <w:noProof/>
          <w:sz w:val="24"/>
        </w:rPr>
        <w:t xml:space="preserve"> plusieurs initiatives destinées à rétablir l’équité du système de taxation de l’UE en faisant en sorte que toutes les sociétés paient leur juste part d’impôts là où elles réalisent leurs bénéfices</w:t>
      </w:r>
      <w:r>
        <w:rPr>
          <w:rStyle w:val="FootnoteReference"/>
          <w:rFonts w:ascii="Times New Roman" w:hAnsi="Times New Roman"/>
          <w:noProof/>
          <w:sz w:val="24"/>
        </w:rPr>
        <w:footnoteReference w:id="14"/>
      </w:r>
      <w:r>
        <w:rPr>
          <w:rFonts w:ascii="Times New Roman" w:hAnsi="Times New Roman"/>
          <w:noProof/>
          <w:sz w:val="24"/>
        </w:rPr>
        <w:t xml:space="preserve">; </w:t>
      </w:r>
    </w:p>
    <w:p w:rsidR="000713B8" w:rsidRDefault="0018465F">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par sa </w:t>
      </w:r>
      <w:r>
        <w:rPr>
          <w:rFonts w:ascii="Times New Roman" w:hAnsi="Times New Roman"/>
          <w:b/>
          <w:noProof/>
          <w:sz w:val="24"/>
        </w:rPr>
        <w:t>politique commerciale</w:t>
      </w:r>
      <w:r>
        <w:rPr>
          <w:rFonts w:ascii="Times New Roman" w:hAnsi="Times New Roman"/>
          <w:noProof/>
          <w:sz w:val="24"/>
        </w:rPr>
        <w:t>, l’UE promeut des normes f</w:t>
      </w:r>
      <w:r>
        <w:rPr>
          <w:rFonts w:ascii="Times New Roman" w:hAnsi="Times New Roman"/>
          <w:noProof/>
          <w:sz w:val="24"/>
        </w:rPr>
        <w:t>ondamentales du travail convenues au niveau international: liberté d’association, droit de négociation collective, non-discrimination, lutte contre le travail des enfants et le travail forcé, inspection du travail, sécurité et santé au travail et condition</w:t>
      </w:r>
      <w:r>
        <w:rPr>
          <w:rFonts w:ascii="Times New Roman" w:hAnsi="Times New Roman"/>
          <w:noProof/>
          <w:sz w:val="24"/>
        </w:rPr>
        <w:t>s de travail décentes. Les questions sociales constituent aussi des aspects essentiels des évaluations de l’impact sur le développement durable effectuées pour tous les accords commerciaux, au même titre que les incidences économiques, environnementales et</w:t>
      </w:r>
      <w:r>
        <w:rPr>
          <w:rFonts w:ascii="Times New Roman" w:hAnsi="Times New Roman"/>
          <w:noProof/>
          <w:sz w:val="24"/>
        </w:rPr>
        <w:t xml:space="preserve"> en matière de droits de l’homme; </w:t>
      </w:r>
    </w:p>
    <w:p w:rsidR="000713B8" w:rsidRDefault="0018465F">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le nouveau </w:t>
      </w:r>
      <w:r>
        <w:rPr>
          <w:rFonts w:ascii="Times New Roman" w:hAnsi="Times New Roman"/>
          <w:b/>
          <w:noProof/>
          <w:sz w:val="24"/>
        </w:rPr>
        <w:t>corps européen de solidarité</w:t>
      </w:r>
      <w:r>
        <w:rPr>
          <w:rFonts w:ascii="Times New Roman" w:hAnsi="Times New Roman"/>
          <w:noProof/>
          <w:sz w:val="24"/>
        </w:rPr>
        <w:t xml:space="preserve"> offre la possibilité à des jeunes, en particulier aux moins favorisés, de prendre part à des activités de solidarité et d’aider à répondre à des besoins de la société dans toute l’E</w:t>
      </w:r>
      <w:r>
        <w:rPr>
          <w:rFonts w:ascii="Times New Roman" w:hAnsi="Times New Roman"/>
          <w:noProof/>
          <w:sz w:val="24"/>
        </w:rPr>
        <w:t>urope, ce qui leur permet aussi de développer leurs propres compétences et aptitudes;</w:t>
      </w:r>
    </w:p>
    <w:p w:rsidR="000713B8" w:rsidRDefault="0018465F">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en matière de programmes de soutien à la stabilité, a été instaurée, depuis le cas de la Grèce en 2015, la pratique consistant à s’assurer que ces programmes sont accompa</w:t>
      </w:r>
      <w:r>
        <w:rPr>
          <w:rFonts w:ascii="Times New Roman" w:hAnsi="Times New Roman"/>
          <w:noProof/>
          <w:sz w:val="24"/>
        </w:rPr>
        <w:t xml:space="preserve">gnés d’une </w:t>
      </w:r>
      <w:r>
        <w:rPr>
          <w:rFonts w:ascii="Times New Roman" w:hAnsi="Times New Roman"/>
          <w:b/>
          <w:noProof/>
          <w:sz w:val="24"/>
        </w:rPr>
        <w:t>analyse de l’impact social</w:t>
      </w:r>
      <w:r>
        <w:rPr>
          <w:rFonts w:ascii="Times New Roman" w:hAnsi="Times New Roman"/>
          <w:noProof/>
          <w:sz w:val="24"/>
        </w:rPr>
        <w:t xml:space="preserve">. </w:t>
      </w:r>
    </w:p>
    <w:p w:rsidR="000713B8" w:rsidRDefault="0018465F">
      <w:pPr>
        <w:jc w:val="both"/>
        <w:rPr>
          <w:rFonts w:ascii="Times New Roman" w:hAnsi="Times New Roman" w:cs="Times New Roman"/>
          <w:noProof/>
          <w:sz w:val="24"/>
          <w:szCs w:val="24"/>
        </w:rPr>
      </w:pPr>
      <w:r>
        <w:rPr>
          <w:rFonts w:ascii="Times New Roman" w:hAnsi="Times New Roman"/>
          <w:noProof/>
          <w:sz w:val="24"/>
        </w:rPr>
        <w:t xml:space="preserve">De plus, la convergence vers de meilleurs résultats socio-économiques, la résilience et l’équité sociales, promue par le socle européen des droits sociaux, représente une partie essentielle des efforts déployés pour </w:t>
      </w:r>
      <w:r>
        <w:rPr>
          <w:rFonts w:ascii="Times New Roman" w:hAnsi="Times New Roman"/>
          <w:noProof/>
          <w:sz w:val="24"/>
        </w:rPr>
        <w:t>consolider et achever l’</w:t>
      </w:r>
      <w:r>
        <w:rPr>
          <w:rFonts w:ascii="Times New Roman" w:hAnsi="Times New Roman"/>
          <w:b/>
          <w:noProof/>
          <w:sz w:val="24"/>
        </w:rPr>
        <w:t>Union économique et monétaire</w:t>
      </w:r>
      <w:r>
        <w:rPr>
          <w:rFonts w:ascii="Times New Roman" w:hAnsi="Times New Roman"/>
          <w:noProof/>
          <w:sz w:val="24"/>
        </w:rPr>
        <w:t>, comme cela est rappelé dans le rapport des cinq présidents de juin 2015</w:t>
      </w:r>
      <w:r>
        <w:rPr>
          <w:rStyle w:val="FootnoteReference"/>
          <w:rFonts w:ascii="Times New Roman" w:hAnsi="Times New Roman"/>
          <w:noProof/>
          <w:sz w:val="24"/>
        </w:rPr>
        <w:footnoteReference w:id="15"/>
      </w:r>
      <w:r>
        <w:rPr>
          <w:rFonts w:ascii="Times New Roman" w:hAnsi="Times New Roman"/>
          <w:noProof/>
          <w:sz w:val="24"/>
        </w:rPr>
        <w:t xml:space="preserve"> et les propositions ultérieures de la Commission</w:t>
      </w:r>
      <w:r>
        <w:rPr>
          <w:rStyle w:val="FootnoteReference"/>
          <w:rFonts w:ascii="Times New Roman" w:hAnsi="Times New Roman"/>
          <w:noProof/>
          <w:sz w:val="24"/>
        </w:rPr>
        <w:footnoteReference w:id="16"/>
      </w:r>
      <w:r>
        <w:rPr>
          <w:rFonts w:ascii="Times New Roman" w:hAnsi="Times New Roman"/>
          <w:noProof/>
          <w:sz w:val="24"/>
        </w:rPr>
        <w:t>.</w:t>
      </w:r>
    </w:p>
    <w:p w:rsidR="000713B8" w:rsidRDefault="0018465F">
      <w:pPr>
        <w:jc w:val="both"/>
        <w:rPr>
          <w:rFonts w:ascii="Times New Roman" w:hAnsi="Times New Roman"/>
          <w:noProof/>
          <w:sz w:val="24"/>
        </w:rPr>
      </w:pPr>
      <w:r>
        <w:rPr>
          <w:rFonts w:ascii="Times New Roman" w:hAnsi="Times New Roman"/>
          <w:noProof/>
          <w:sz w:val="24"/>
        </w:rPr>
        <w:t>Le graphique 1 ci-dessous donne un aperçu des différentes façons dont la Comm</w:t>
      </w:r>
      <w:r>
        <w:rPr>
          <w:rFonts w:ascii="Times New Roman" w:hAnsi="Times New Roman"/>
          <w:noProof/>
          <w:sz w:val="24"/>
        </w:rPr>
        <w:t xml:space="preserve">ission </w:t>
      </w:r>
      <w:r>
        <w:rPr>
          <w:rFonts w:ascii="Times New Roman" w:hAnsi="Times New Roman"/>
          <w:b/>
          <w:noProof/>
          <w:sz w:val="24"/>
        </w:rPr>
        <w:t>intègre les priorités sociales dans tous les domaines</w:t>
      </w:r>
      <w:r>
        <w:rPr>
          <w:rFonts w:ascii="Times New Roman" w:hAnsi="Times New Roman"/>
          <w:noProof/>
          <w:sz w:val="24"/>
        </w:rPr>
        <w:t xml:space="preserve">. </w:t>
      </w:r>
    </w:p>
    <w:p w:rsidR="000713B8" w:rsidRDefault="0018465F">
      <w:pPr>
        <w:rPr>
          <w:noProof/>
        </w:rPr>
      </w:pPr>
      <w:r>
        <w:rPr>
          <w:noProof/>
        </w:rPr>
        <w:br w:type="page"/>
      </w:r>
    </w:p>
    <w:p w:rsidR="000713B8" w:rsidRDefault="0018465F">
      <w:pPr>
        <w:pBdr>
          <w:top w:val="single" w:sz="4" w:space="1" w:color="auto"/>
          <w:left w:val="single" w:sz="4" w:space="4" w:color="auto"/>
          <w:bottom w:val="single" w:sz="4" w:space="1" w:color="auto"/>
          <w:right w:val="single" w:sz="4" w:space="4" w:color="auto"/>
        </w:pBdr>
        <w:shd w:val="clear" w:color="auto" w:fill="F18800"/>
        <w:rPr>
          <w:rFonts w:ascii="Times New Roman" w:hAnsi="Times New Roman" w:cs="Times New Roman"/>
          <w:b/>
          <w:noProof/>
          <w:color w:val="FFFFFF" w:themeColor="background1"/>
          <w:sz w:val="24"/>
          <w:szCs w:val="24"/>
        </w:rPr>
      </w:pPr>
      <w:r>
        <w:rPr>
          <w:rFonts w:ascii="Times New Roman" w:hAnsi="Times New Roman"/>
          <w:b/>
          <w:noProof/>
          <w:color w:val="FFFFFF" w:themeColor="background1"/>
          <w:sz w:val="24"/>
        </w:rPr>
        <w:t>Graphique 1: principales initiatives prises sous la présente Commission dans le domaine social et de l’emploi</w:t>
      </w:r>
    </w:p>
    <w:p w:rsidR="000713B8" w:rsidRDefault="0018465F">
      <w:pPr>
        <w:jc w:val="both"/>
        <w:rPr>
          <w:rFonts w:ascii="Times New Roman" w:hAnsi="Times New Roman" w:cs="Times New Roman"/>
          <w:noProof/>
          <w:sz w:val="24"/>
          <w:szCs w:val="24"/>
        </w:rPr>
      </w:pPr>
      <w:r>
        <w:rPr>
          <w:noProof/>
          <w:lang w:val="en-GB" w:eastAsia="en-GB" w:bidi="ar-SA"/>
        </w:rPr>
        <w:drawing>
          <wp:inline distT="0" distB="0" distL="0" distR="0" wp14:anchorId="7AF4BD37" wp14:editId="1A0BDC8C">
            <wp:extent cx="6103473" cy="441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03473" cy="4419600"/>
                    </a:xfrm>
                    <a:prstGeom prst="rect">
                      <a:avLst/>
                    </a:prstGeom>
                  </pic:spPr>
                </pic:pic>
              </a:graphicData>
            </a:graphic>
          </wp:inline>
        </w:drawing>
      </w:r>
    </w:p>
    <w:p w:rsidR="000713B8" w:rsidRDefault="0018465F">
      <w:pPr>
        <w:jc w:val="both"/>
        <w:rPr>
          <w:rFonts w:ascii="Times New Roman" w:hAnsi="Times New Roman" w:cs="Times New Roman"/>
          <w:noProof/>
          <w:sz w:val="24"/>
          <w:szCs w:val="24"/>
        </w:rPr>
      </w:pPr>
      <w:r>
        <w:rPr>
          <w:rFonts w:ascii="Times New Roman" w:hAnsi="Times New Roman"/>
          <w:noProof/>
          <w:sz w:val="24"/>
        </w:rPr>
        <w:t xml:space="preserve">Dans ce contexte, l’établissement du socle a constitué un </w:t>
      </w:r>
      <w:r>
        <w:rPr>
          <w:rFonts w:ascii="Times New Roman" w:hAnsi="Times New Roman"/>
          <w:b/>
          <w:noProof/>
          <w:sz w:val="24"/>
        </w:rPr>
        <w:t xml:space="preserve">facteur clé pour </w:t>
      </w:r>
      <w:r>
        <w:rPr>
          <w:rFonts w:ascii="Times New Roman" w:hAnsi="Times New Roman"/>
          <w:b/>
          <w:noProof/>
          <w:sz w:val="24"/>
        </w:rPr>
        <w:t>actualiser et compléter la législation de l’UE chaque fois que c’est nécessaire</w:t>
      </w:r>
      <w:r>
        <w:rPr>
          <w:rFonts w:ascii="Times New Roman" w:hAnsi="Times New Roman"/>
          <w:noProof/>
          <w:sz w:val="24"/>
        </w:rPr>
        <w:t>. Outre ce qui a été réalisé jusqu’à maintenant, la Commission présente, parallèlement à la communication d’aujourd’hui, une autre série d’initiatives résumées dans l’encadré 1.</w:t>
      </w:r>
    </w:p>
    <w:p w:rsidR="000713B8" w:rsidRDefault="0018465F">
      <w:pPr>
        <w:rPr>
          <w:rFonts w:ascii="Times New Roman" w:hAnsi="Times New Roman" w:cs="Times New Roman"/>
          <w:b/>
          <w:noProof/>
          <w:color w:val="FFFFFF" w:themeColor="background1"/>
          <w:sz w:val="24"/>
          <w:szCs w:val="24"/>
        </w:rPr>
      </w:pPr>
      <w:r>
        <w:rPr>
          <w:noProof/>
        </w:rPr>
        <w:br w:type="page"/>
      </w:r>
    </w:p>
    <w:p w:rsidR="000713B8" w:rsidRDefault="0018465F">
      <w:pPr>
        <w:pBdr>
          <w:top w:val="single" w:sz="4" w:space="1" w:color="auto"/>
          <w:left w:val="single" w:sz="4" w:space="4" w:color="auto"/>
          <w:bottom w:val="single" w:sz="4" w:space="1" w:color="auto"/>
          <w:right w:val="single" w:sz="4" w:space="4" w:color="auto"/>
        </w:pBdr>
        <w:shd w:val="clear" w:color="auto" w:fill="F18800"/>
        <w:rPr>
          <w:rFonts w:ascii="Times New Roman" w:hAnsi="Times New Roman" w:cs="Times New Roman"/>
          <w:b/>
          <w:noProof/>
          <w:color w:val="FFFFFF" w:themeColor="background1"/>
          <w:sz w:val="24"/>
          <w:szCs w:val="24"/>
        </w:rPr>
      </w:pPr>
      <w:r>
        <w:rPr>
          <w:rFonts w:ascii="Times New Roman" w:hAnsi="Times New Roman"/>
          <w:b/>
          <w:noProof/>
          <w:color w:val="FFFFFF" w:themeColor="background1"/>
          <w:sz w:val="24"/>
        </w:rPr>
        <w:t>Encadré 1. Le nouveau train de mesures en faveur de l’équité sociale présenté le 13 mars 2018</w:t>
      </w:r>
    </w:p>
    <w:p w:rsidR="000713B8" w:rsidRDefault="0018465F">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noProof/>
        </w:rPr>
        <w:t xml:space="preserve">La présente communication s'accompagne d'un nouveau </w:t>
      </w:r>
      <w:r>
        <w:rPr>
          <w:rFonts w:ascii="Times New Roman" w:hAnsi="Times New Roman"/>
          <w:b/>
          <w:noProof/>
        </w:rPr>
        <w:t>train de mesures en faveur de l'équité sociale</w:t>
      </w:r>
      <w:r>
        <w:rPr>
          <w:rFonts w:ascii="Times New Roman" w:hAnsi="Times New Roman"/>
          <w:noProof/>
        </w:rPr>
        <w:t xml:space="preserve">, adopté par la Commission le 13 mars 2018. </w:t>
      </w:r>
    </w:p>
    <w:p w:rsidR="000713B8" w:rsidRDefault="0018465F">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noProof/>
        </w:rPr>
        <w:t xml:space="preserve">En premier lieu, la Commission propose de créer une </w:t>
      </w:r>
      <w:r>
        <w:rPr>
          <w:rFonts w:ascii="Times New Roman" w:hAnsi="Times New Roman"/>
          <w:b/>
          <w:noProof/>
        </w:rPr>
        <w:t>Autorité européenne du travail</w:t>
      </w:r>
      <w:r>
        <w:rPr>
          <w:rFonts w:ascii="Times New Roman" w:hAnsi="Times New Roman"/>
          <w:noProof/>
        </w:rPr>
        <w:t xml:space="preserve">, dans le prolongement d'initiatives antérieures visant à améliorer les règles régissant le détachement des travailleurs et la coordination des systèmes de sécurité sociale. </w:t>
      </w:r>
      <w:r>
        <w:rPr>
          <w:rFonts w:ascii="Times New Roman" w:hAnsi="Times New Roman"/>
          <w:noProof/>
        </w:rPr>
        <w:t>La libre circulation est l’une des libertés les plus appréciées dans le marché intérieur. Elle profite aux personnes, aux économies et à la société en général. Il existe aujourd'hui un ensemble de textes législatifs de l'Union garantissant une mobilité équ</w:t>
      </w:r>
      <w:r>
        <w:rPr>
          <w:rFonts w:ascii="Times New Roman" w:hAnsi="Times New Roman"/>
          <w:noProof/>
        </w:rPr>
        <w:t xml:space="preserve">itable, mais il importe que ces règles soient effectivement appliquées sur le terrain. Dans ces conditions, le rôle et la valeur ajoutée de l’Autorité consisteront à: </w:t>
      </w:r>
    </w:p>
    <w:p w:rsidR="000713B8" w:rsidRDefault="0018465F">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noProof/>
        </w:rPr>
        <w:t>a) faciliter l'accès des particuliers et des employeurs aux informations relatives à leu</w:t>
      </w:r>
      <w:r>
        <w:rPr>
          <w:rFonts w:ascii="Times New Roman" w:hAnsi="Times New Roman"/>
          <w:noProof/>
        </w:rPr>
        <w:t xml:space="preserve">rs droits et à leurs obligations ainsi qu'aux services nécessaires; </w:t>
      </w:r>
    </w:p>
    <w:p w:rsidR="000713B8" w:rsidRDefault="0018465F">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noProof/>
        </w:rPr>
        <w:t>b) soutenir la coopération entre États membres en matière de contrôle transfrontière de l'application du droit européen applicable, en favorisant notamment les inspections conjointes;</w:t>
      </w:r>
    </w:p>
    <w:p w:rsidR="000713B8" w:rsidRDefault="0018465F">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noProof/>
        </w:rPr>
        <w:t>c)</w:t>
      </w:r>
      <w:r>
        <w:rPr>
          <w:noProof/>
        </w:rPr>
        <w:t> </w:t>
      </w:r>
      <w:r>
        <w:rPr>
          <w:rFonts w:ascii="Times New Roman" w:hAnsi="Times New Roman"/>
          <w:noProof/>
        </w:rPr>
        <w:t>trouver une solution par la médiation en cas de litige transfrontière entre autorités nationales ou de perturbation du marché du travail.</w:t>
      </w:r>
    </w:p>
    <w:p w:rsidR="000713B8" w:rsidRDefault="0018465F">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noProof/>
        </w:rPr>
        <w:t>Pour contribuer aux préparatifs de mise en place de l'Autorité, la Commission constitue également un groupe consultati</w:t>
      </w:r>
      <w:r>
        <w:rPr>
          <w:rFonts w:ascii="Times New Roman" w:hAnsi="Times New Roman"/>
          <w:noProof/>
        </w:rPr>
        <w:t>f rassemblant les principales parties prenantes.</w:t>
      </w:r>
    </w:p>
    <w:p w:rsidR="000713B8" w:rsidRDefault="0018465F">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noProof/>
        </w:rPr>
        <w:t xml:space="preserve">En deuxième lieu, la Commission propose une </w:t>
      </w:r>
      <w:r>
        <w:rPr>
          <w:rFonts w:ascii="Times New Roman" w:hAnsi="Times New Roman"/>
          <w:b/>
          <w:noProof/>
        </w:rPr>
        <w:t>recommandation du Conseil sur l'accès à la protection sociale pour les travailleurs salariés et les indépendants</w:t>
      </w:r>
      <w:r>
        <w:rPr>
          <w:rFonts w:ascii="Times New Roman" w:hAnsi="Times New Roman"/>
          <w:noProof/>
        </w:rPr>
        <w:t>, qui s'appuie sur une consultation des partenaires</w:t>
      </w:r>
      <w:r>
        <w:rPr>
          <w:rFonts w:ascii="Times New Roman" w:hAnsi="Times New Roman"/>
          <w:noProof/>
        </w:rPr>
        <w:t xml:space="preserve"> sociaux de l'Union et encourage les États membres à veiller à ce que chaque travailleur puisse participer et accéder à la protection sociale, notamment sous la forme de prestations de maladie ou de chômage. Aujourd'hui, quelque 60 % des travailleurs exerc</w:t>
      </w:r>
      <w:r>
        <w:rPr>
          <w:rFonts w:ascii="Times New Roman" w:hAnsi="Times New Roman"/>
          <w:noProof/>
        </w:rPr>
        <w:t>ent un emploi sous contrat à durée indéterminée et à temps plein. Une proportion de plus en plus importante de travailleurs relèvent d'autres types de contrats, tels que des contrats à temps partiel ou à durée déterminée, ou sont indépendants. Cette tendan</w:t>
      </w:r>
      <w:r>
        <w:rPr>
          <w:rFonts w:ascii="Times New Roman" w:hAnsi="Times New Roman"/>
          <w:noProof/>
        </w:rPr>
        <w:t>ce peut donner lieu à des inégalités et à des risques sociaux si ces travailleurs ne bénéficient pas d'un accès suffisant à la protection sociale. La Commission a envisagé de proposer une directive sur cette question mais, compte tenu de la diversité des s</w:t>
      </w:r>
      <w:r>
        <w:rPr>
          <w:rFonts w:ascii="Times New Roman" w:hAnsi="Times New Roman"/>
          <w:noProof/>
        </w:rPr>
        <w:t>ituations et des limites du cadre juridique permettant d’agir au niveau de l'Union, elle considère qu'une recommandation du Conseil est la bonne voie pour orienter les progrès au niveau national, garantir des conditions de concurrence équitables et favoris</w:t>
      </w:r>
      <w:r>
        <w:rPr>
          <w:rFonts w:ascii="Times New Roman" w:hAnsi="Times New Roman"/>
          <w:noProof/>
        </w:rPr>
        <w:t>er la convergence ascendante.</w:t>
      </w:r>
    </w:p>
    <w:p w:rsidR="000713B8" w:rsidRDefault="0018465F">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sz w:val="24"/>
          <w:szCs w:val="24"/>
        </w:rPr>
      </w:pPr>
      <w:r>
        <w:rPr>
          <w:rFonts w:ascii="Times New Roman" w:hAnsi="Times New Roman"/>
          <w:noProof/>
        </w:rPr>
        <w:t xml:space="preserve">En dernier lieu, la Commission travaille à la mise en place d'un </w:t>
      </w:r>
      <w:r>
        <w:rPr>
          <w:rFonts w:ascii="Times New Roman" w:hAnsi="Times New Roman"/>
          <w:b/>
          <w:noProof/>
        </w:rPr>
        <w:t>numéro de sécurité sociale européen</w:t>
      </w:r>
      <w:r>
        <w:rPr>
          <w:rFonts w:ascii="Times New Roman" w:hAnsi="Times New Roman"/>
          <w:noProof/>
        </w:rPr>
        <w:t xml:space="preserve"> qui doit servir d'identificateur numérique rendant interopérables les systèmes existants. Les millions de touristes et de per</w:t>
      </w:r>
      <w:r>
        <w:rPr>
          <w:rFonts w:ascii="Times New Roman" w:hAnsi="Times New Roman"/>
          <w:noProof/>
        </w:rPr>
        <w:t>sonnes qui se déplacent, vivent et travaillent dans un autre pays de l’UE pourraient prouver aisément qu’ils sont couverts dans leur pays d'origine et bénéficier plus rapidement et plus facilement des prestations auxquelles ils ont droit, tout en étant ass</w:t>
      </w:r>
      <w:r>
        <w:rPr>
          <w:rFonts w:ascii="Times New Roman" w:hAnsi="Times New Roman"/>
          <w:noProof/>
        </w:rPr>
        <w:t>urés que leurs données personnelles seront strictement protégées. Pareil dispositif favoriserait la portabilité transfrontière des droits, permettrait une identification et une vérification en temps réel de la couverture et réduirait les risques d’erreur e</w:t>
      </w:r>
      <w:r>
        <w:rPr>
          <w:rFonts w:ascii="Times New Roman" w:hAnsi="Times New Roman"/>
          <w:noProof/>
        </w:rPr>
        <w:t>t de fraude liés à l’utilisation de documents papier. Il faciliterait le travail des administrations à tous les niveaux. L'initiative s’inscrit dans le cadre du programme de travail de la Commission pour 2018: conformément aux principes du «mieux légiférer</w:t>
      </w:r>
      <w:r>
        <w:rPr>
          <w:rFonts w:ascii="Times New Roman" w:hAnsi="Times New Roman"/>
          <w:noProof/>
        </w:rPr>
        <w:t>», la Commission dialogue avec les États membres et les parties prenantes et présentera une initiative dans le courant de l'année.</w:t>
      </w:r>
    </w:p>
    <w:p w:rsidR="000713B8" w:rsidRDefault="000713B8">
      <w:pPr>
        <w:jc w:val="both"/>
        <w:rPr>
          <w:rFonts w:ascii="Times New Roman" w:hAnsi="Times New Roman" w:cs="Times New Roman"/>
          <w:noProof/>
          <w:sz w:val="24"/>
          <w:szCs w:val="24"/>
        </w:rPr>
      </w:pPr>
    </w:p>
    <w:p w:rsidR="000713B8" w:rsidRDefault="0018465F">
      <w:pPr>
        <w:jc w:val="both"/>
        <w:rPr>
          <w:rFonts w:ascii="Times New Roman" w:hAnsi="Times New Roman" w:cs="Times New Roman"/>
          <w:noProof/>
          <w:sz w:val="24"/>
          <w:szCs w:val="24"/>
        </w:rPr>
      </w:pPr>
      <w:r>
        <w:rPr>
          <w:rFonts w:ascii="Times New Roman" w:hAnsi="Times New Roman"/>
          <w:b/>
          <w:noProof/>
          <w:sz w:val="24"/>
        </w:rPr>
        <w:t>Pour poursuivre la mise en œuvre du socle au niveau de l'Union, la Commission continuera d'exploiter pleinement tous les ins</w:t>
      </w:r>
      <w:r>
        <w:rPr>
          <w:rFonts w:ascii="Times New Roman" w:hAnsi="Times New Roman"/>
          <w:b/>
          <w:noProof/>
          <w:sz w:val="24"/>
        </w:rPr>
        <w:t xml:space="preserve">truments dont elle dispose actuellement. </w:t>
      </w:r>
      <w:r>
        <w:rPr>
          <w:rFonts w:ascii="Times New Roman" w:hAnsi="Times New Roman"/>
          <w:noProof/>
          <w:sz w:val="24"/>
        </w:rPr>
        <w:t>L'utilisation de ces outils variera en fonction du domaine d'action, des principes du socle concernés ainsi que de la nature et de l'étendue des compétences au niveau de l’Union.</w:t>
      </w:r>
      <w:r>
        <w:rPr>
          <w:rFonts w:ascii="Times New Roman" w:hAnsi="Times New Roman"/>
          <w:b/>
          <w:noProof/>
          <w:sz w:val="24"/>
        </w:rPr>
        <w:t xml:space="preserve"> </w:t>
      </w:r>
      <w:r>
        <w:rPr>
          <w:rFonts w:ascii="Times New Roman" w:hAnsi="Times New Roman"/>
          <w:noProof/>
          <w:sz w:val="24"/>
        </w:rPr>
        <w:t>Cela consistera notamment à actualis</w:t>
      </w:r>
      <w:r>
        <w:rPr>
          <w:rFonts w:ascii="Times New Roman" w:hAnsi="Times New Roman"/>
          <w:noProof/>
          <w:sz w:val="24"/>
        </w:rPr>
        <w:t>er et compléter la législation existante selon les modalités exposées plus haut, à améliorer le contrôle de l'application du droit de l'Union dans les États membres et à soutenir le dialogue social dans l’ensemble de l’Union, à quoi s'ajoute le suivi des p</w:t>
      </w:r>
      <w:r>
        <w:rPr>
          <w:rFonts w:ascii="Times New Roman" w:hAnsi="Times New Roman"/>
          <w:noProof/>
          <w:sz w:val="24"/>
        </w:rPr>
        <w:t xml:space="preserve">rogrès accomplis dans le cadre du Semestre européen. </w:t>
      </w:r>
    </w:p>
    <w:p w:rsidR="000713B8" w:rsidRDefault="0018465F">
      <w:pPr>
        <w:jc w:val="both"/>
        <w:rPr>
          <w:rFonts w:ascii="Times New Roman" w:hAnsi="Times New Roman" w:cs="Times New Roman"/>
          <w:b/>
          <w:noProof/>
          <w:sz w:val="24"/>
          <w:szCs w:val="24"/>
        </w:rPr>
      </w:pPr>
      <w:r>
        <w:rPr>
          <w:rFonts w:ascii="Times New Roman" w:hAnsi="Times New Roman"/>
          <w:noProof/>
          <w:sz w:val="24"/>
        </w:rPr>
        <w:t xml:space="preserve">Cela vaut également pour le </w:t>
      </w:r>
      <w:r>
        <w:rPr>
          <w:rFonts w:ascii="Times New Roman" w:hAnsi="Times New Roman"/>
          <w:b/>
          <w:noProof/>
          <w:sz w:val="24"/>
        </w:rPr>
        <w:t>soutien financier correspondant apporté par les fonds de l’UE</w:t>
      </w:r>
      <w:r>
        <w:rPr>
          <w:rFonts w:ascii="Times New Roman" w:hAnsi="Times New Roman"/>
          <w:noProof/>
          <w:sz w:val="24"/>
        </w:rPr>
        <w:t xml:space="preserve">, parmi lesquels les Fonds structurels et d’investissement européens, Erasmus + ainsi que d’autres programmes </w:t>
      </w:r>
      <w:r>
        <w:rPr>
          <w:rFonts w:ascii="Times New Roman" w:hAnsi="Times New Roman"/>
          <w:noProof/>
          <w:sz w:val="24"/>
        </w:rPr>
        <w:t>pertinents. Dans sa récente communication intitulée «Un cadre financier pluriannuel nouveau et moderne pour une Union européenne qui met en œuvre ses priorités avec efficience au-delà de 2020»</w:t>
      </w:r>
      <w:r>
        <w:rPr>
          <w:rStyle w:val="FootnoteReference"/>
          <w:rFonts w:ascii="Times New Roman" w:hAnsi="Times New Roman"/>
          <w:noProof/>
          <w:sz w:val="24"/>
        </w:rPr>
        <w:footnoteReference w:id="17"/>
      </w:r>
      <w:r>
        <w:rPr>
          <w:rFonts w:ascii="Times New Roman" w:hAnsi="Times New Roman"/>
          <w:noProof/>
          <w:sz w:val="24"/>
        </w:rPr>
        <w:t>, la Commission demande que le budget de l’UE permette d’honore</w:t>
      </w:r>
      <w:r>
        <w:rPr>
          <w:rFonts w:ascii="Times New Roman" w:hAnsi="Times New Roman"/>
          <w:noProof/>
          <w:sz w:val="24"/>
        </w:rPr>
        <w:t>r les promesses formulées par les dirigeants lors du sommet social de Göteborg et de développer encore la dimension sociale de l’Union, notamment en mettant intégralement en œuvre le socle européen des droits sociaux</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Elle souligne qu'il conviendra de pré</w:t>
      </w:r>
      <w:r>
        <w:rPr>
          <w:rFonts w:ascii="Times New Roman" w:hAnsi="Times New Roman"/>
          <w:noProof/>
          <w:sz w:val="24"/>
        </w:rPr>
        <w:t>voir des ressources suffisantes pour accroître les possibilités d’emploi et remédier aux problèmes de compétences, notamment ceux liés à la numérisation. Des propositions précises pour le cadre financier pluriannuel de l’UE après 2020 seront formulées au p</w:t>
      </w:r>
      <w:r>
        <w:rPr>
          <w:rFonts w:ascii="Times New Roman" w:hAnsi="Times New Roman"/>
          <w:noProof/>
          <w:sz w:val="24"/>
        </w:rPr>
        <w:t>rintemps 2018.</w:t>
      </w:r>
    </w:p>
    <w:p w:rsidR="000713B8" w:rsidRDefault="000713B8">
      <w:pPr>
        <w:rPr>
          <w:rFonts w:ascii="Times New Roman" w:hAnsi="Times New Roman" w:cs="Times New Roman"/>
          <w:b/>
          <w:noProof/>
          <w:sz w:val="24"/>
          <w:szCs w:val="24"/>
          <w:u w:val="single"/>
        </w:rPr>
      </w:pPr>
    </w:p>
    <w:p w:rsidR="000713B8" w:rsidRDefault="0018465F">
      <w:pPr>
        <w:jc w:val="both"/>
        <w:rPr>
          <w:rFonts w:ascii="Times New Roman" w:hAnsi="Times New Roman" w:cs="Times New Roman"/>
          <w:b/>
          <w:noProof/>
          <w:sz w:val="24"/>
          <w:szCs w:val="24"/>
          <w:u w:val="single"/>
        </w:rPr>
      </w:pPr>
      <w:r>
        <w:rPr>
          <w:rFonts w:ascii="Times New Roman" w:hAnsi="Times New Roman"/>
          <w:b/>
          <w:noProof/>
          <w:sz w:val="24"/>
          <w:u w:val="single"/>
        </w:rPr>
        <w:t xml:space="preserve">4. Mise en œuvre du socle à l'échelon national </w:t>
      </w:r>
    </w:p>
    <w:p w:rsidR="000713B8" w:rsidRDefault="0018465F">
      <w:pPr>
        <w:jc w:val="both"/>
        <w:rPr>
          <w:rFonts w:ascii="Times New Roman" w:hAnsi="Times New Roman" w:cs="Times New Roman"/>
          <w:noProof/>
          <w:sz w:val="24"/>
          <w:szCs w:val="24"/>
        </w:rPr>
      </w:pPr>
      <w:r>
        <w:rPr>
          <w:rFonts w:ascii="Times New Roman" w:hAnsi="Times New Roman"/>
          <w:b/>
          <w:noProof/>
          <w:sz w:val="24"/>
        </w:rPr>
        <w:t>La plupart des compétences et des instruments nécessaires pour mettre en œuvre le socle européen des droits sociaux sont entre les mains des autorités locales, régionales et nationales, des pa</w:t>
      </w:r>
      <w:r>
        <w:rPr>
          <w:rFonts w:ascii="Times New Roman" w:hAnsi="Times New Roman"/>
          <w:b/>
          <w:noProof/>
          <w:sz w:val="24"/>
        </w:rPr>
        <w:t xml:space="preserve">rtenaires sociaux et de la société civile. </w:t>
      </w:r>
      <w:r>
        <w:rPr>
          <w:rFonts w:ascii="Times New Roman" w:hAnsi="Times New Roman"/>
          <w:noProof/>
          <w:sz w:val="24"/>
        </w:rPr>
        <w:t>Si l'Union européenne a un rôle important à jouer pour soutenir les États membres, la responsabilité de la mise en œuvre du socle incombe dans une très large mesure aux États membres, à différents niveaux de pouvo</w:t>
      </w:r>
      <w:r>
        <w:rPr>
          <w:rFonts w:ascii="Times New Roman" w:hAnsi="Times New Roman"/>
          <w:noProof/>
          <w:sz w:val="24"/>
        </w:rPr>
        <w:t>ir et d'administration. Quant aux partenaires sociaux à tous les niveaux, ils ont eux aussi un rôle déterminant à jouer à cette fin, dans le respect de l'autonomie dont ils disposent pour la négociation et la conclusion d’accords</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Le TFUE garantit express</w:t>
      </w:r>
      <w:r>
        <w:rPr>
          <w:rFonts w:ascii="Times New Roman" w:hAnsi="Times New Roman"/>
          <w:noProof/>
          <w:sz w:val="24"/>
        </w:rPr>
        <w:t>ément le respect de la diversité des systèmes nationaux de relations du travail et de l'autonomie des partenaires sociaux. D'année en année, la Commission invite les États membres à élargir le rôle des partenaires sociaux dans le domaine social et de l'emp</w:t>
      </w:r>
      <w:r>
        <w:rPr>
          <w:rFonts w:ascii="Times New Roman" w:hAnsi="Times New Roman"/>
          <w:noProof/>
          <w:sz w:val="24"/>
        </w:rPr>
        <w:t xml:space="preserve">loi, leur implication étant importante pour assurer l'appropriation des réformes. Les organisations non gouvernementales, notamment lorsqu’elles fournissent des services sociaux, sont également d'une importance capitale pour produire un effet mobilisateur </w:t>
      </w:r>
      <w:r>
        <w:rPr>
          <w:rFonts w:ascii="Times New Roman" w:hAnsi="Times New Roman"/>
          <w:noProof/>
          <w:sz w:val="24"/>
        </w:rPr>
        <w:t>et obtenir des résultats.</w:t>
      </w:r>
    </w:p>
    <w:p w:rsidR="000713B8" w:rsidRDefault="0018465F">
      <w:pPr>
        <w:jc w:val="both"/>
        <w:rPr>
          <w:rFonts w:ascii="Times New Roman" w:hAnsi="Times New Roman" w:cs="Times New Roman"/>
          <w:noProof/>
          <w:sz w:val="24"/>
          <w:szCs w:val="24"/>
        </w:rPr>
      </w:pPr>
      <w:r>
        <w:rPr>
          <w:rFonts w:ascii="Times New Roman" w:hAnsi="Times New Roman"/>
          <w:b/>
          <w:noProof/>
          <w:sz w:val="24"/>
        </w:rPr>
        <w:t>En énonçant des droits et des principes essentiels, le socle européen des droits sociaux vise à servir de guide pour atteindre des résultats en matière sociale et d’emploi.</w:t>
      </w:r>
      <w:r>
        <w:rPr>
          <w:rFonts w:ascii="Times New Roman" w:hAnsi="Times New Roman"/>
          <w:noProof/>
          <w:sz w:val="24"/>
        </w:rPr>
        <w:t xml:space="preserve"> Il n'existe pas de solution unique et le socle rend bien </w:t>
      </w:r>
      <w:r>
        <w:rPr>
          <w:rFonts w:ascii="Times New Roman" w:hAnsi="Times New Roman"/>
          <w:noProof/>
          <w:sz w:val="24"/>
        </w:rPr>
        <w:t>compte de la diversité des situations nationales.</w:t>
      </w:r>
      <w:r>
        <w:rPr>
          <w:rFonts w:ascii="Times New Roman" w:hAnsi="Times New Roman"/>
          <w:b/>
          <w:noProof/>
          <w:sz w:val="24"/>
        </w:rPr>
        <w:t xml:space="preserve"> </w:t>
      </w:r>
      <w:r>
        <w:rPr>
          <w:rFonts w:ascii="Times New Roman" w:hAnsi="Times New Roman"/>
          <w:noProof/>
          <w:sz w:val="24"/>
        </w:rPr>
        <w:t>Bien que les États membres soient souvent confrontés à des défis communs et des problèmes similaires, les solutions dont ils ont besoin diffèrent nécessairement, eu égard à la diversité des systèmes, des tr</w:t>
      </w:r>
      <w:r>
        <w:rPr>
          <w:rFonts w:ascii="Times New Roman" w:hAnsi="Times New Roman"/>
          <w:noProof/>
          <w:sz w:val="24"/>
        </w:rPr>
        <w:t xml:space="preserve">aditions, des situations de départ et des conditions socioéconomiques nationales. </w:t>
      </w:r>
    </w:p>
    <w:p w:rsidR="000713B8" w:rsidRDefault="0018465F">
      <w:pPr>
        <w:jc w:val="both"/>
        <w:rPr>
          <w:rFonts w:ascii="Times New Roman" w:hAnsi="Times New Roman" w:cs="Times New Roman"/>
          <w:noProof/>
          <w:sz w:val="24"/>
          <w:szCs w:val="24"/>
        </w:rPr>
      </w:pPr>
      <w:r>
        <w:rPr>
          <w:rFonts w:ascii="Times New Roman" w:hAnsi="Times New Roman"/>
          <w:b/>
          <w:noProof/>
          <w:sz w:val="24"/>
        </w:rPr>
        <w:t>La conjoncture économique actuelle offre la possibilité de promouvoir une croissance inclusive, de moderniser l’économie sociale de marché de l’UE et d'investir dans le capi</w:t>
      </w:r>
      <w:r>
        <w:rPr>
          <w:rFonts w:ascii="Times New Roman" w:hAnsi="Times New Roman"/>
          <w:b/>
          <w:noProof/>
          <w:sz w:val="24"/>
        </w:rPr>
        <w:t xml:space="preserve">tal humain, comme le préconise le socle européen des droits sociaux. </w:t>
      </w:r>
      <w:r>
        <w:rPr>
          <w:rFonts w:ascii="Times New Roman" w:hAnsi="Times New Roman"/>
          <w:noProof/>
          <w:sz w:val="24"/>
        </w:rPr>
        <w:t>L'économie de l'Union continue à croître à un rythme soutenu</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Plus de 9 millions d'emplois ont été créés depuis le début de l'automne 2014, lorsque la Commission actuelle a commencé son </w:t>
      </w:r>
      <w:r>
        <w:rPr>
          <w:rFonts w:ascii="Times New Roman" w:hAnsi="Times New Roman"/>
          <w:noProof/>
          <w:sz w:val="24"/>
        </w:rPr>
        <w:t>mandat</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Le taux de chômage diminue progressivement et se situe à son niveau le plus bas depuis 2008. Le nombre de personnes ayant un emploi a atteint 236,3 millions dans l'Union, soit le niveau le plus élevé jamais enregistré. Il reste toutefois 18 millio</w:t>
      </w:r>
      <w:r>
        <w:rPr>
          <w:rFonts w:ascii="Times New Roman" w:hAnsi="Times New Roman"/>
          <w:noProof/>
          <w:sz w:val="24"/>
        </w:rPr>
        <w:t>ns de personnes sans emploi dans l’Union, le revenu des ménages est toujours inférieur au niveau de 2008 dans plusieurs États membres et de nombreux défis sociaux subsistent, compte tenu notamment du rythme et de l'ampleur des évolutions en cours, qui vont</w:t>
      </w:r>
      <w:r>
        <w:rPr>
          <w:rFonts w:ascii="Times New Roman" w:hAnsi="Times New Roman"/>
          <w:noProof/>
          <w:sz w:val="24"/>
        </w:rPr>
        <w:t xml:space="preserve"> de l'omniprésence du numérique au vieillissement de la population. Les situations continuent de présenter, par ailleurs, d'importantes divergences entre et dans les États membres. </w:t>
      </w:r>
    </w:p>
    <w:p w:rsidR="000713B8" w:rsidRDefault="0018465F">
      <w:pPr>
        <w:jc w:val="both"/>
        <w:rPr>
          <w:rFonts w:ascii="Times New Roman" w:hAnsi="Times New Roman" w:cs="Times New Roman"/>
          <w:noProof/>
          <w:sz w:val="24"/>
          <w:szCs w:val="24"/>
        </w:rPr>
      </w:pPr>
      <w:r>
        <w:rPr>
          <w:rFonts w:ascii="Times New Roman" w:hAnsi="Times New Roman"/>
          <w:b/>
          <w:noProof/>
          <w:sz w:val="24"/>
        </w:rPr>
        <w:t xml:space="preserve">Les priorités évolueront nécessairement et le Semestre européen offre aux </w:t>
      </w:r>
      <w:r>
        <w:rPr>
          <w:rFonts w:ascii="Times New Roman" w:hAnsi="Times New Roman"/>
          <w:b/>
          <w:noProof/>
          <w:sz w:val="24"/>
        </w:rPr>
        <w:t>États membres l'occasion de progresser dans la mise en œuvre du socle et de rendre compte de ces progrès.</w:t>
      </w:r>
      <w:r>
        <w:rPr>
          <w:rFonts w:ascii="Times New Roman" w:hAnsi="Times New Roman"/>
          <w:noProof/>
          <w:sz w:val="24"/>
        </w:rPr>
        <w:t xml:space="preserve"> Les rapports par pays publiés récemment dans le cadre du cycle du Semestre européen de 2018</w:t>
      </w:r>
      <w:r>
        <w:rPr>
          <w:rStyle w:val="FootnoteReference"/>
          <w:rFonts w:ascii="Times New Roman" w:hAnsi="Times New Roman"/>
          <w:noProof/>
          <w:sz w:val="24"/>
        </w:rPr>
        <w:footnoteReference w:id="22"/>
      </w:r>
      <w:r>
        <w:rPr>
          <w:rFonts w:ascii="Times New Roman" w:hAnsi="Times New Roman"/>
          <w:noProof/>
          <w:sz w:val="24"/>
        </w:rPr>
        <w:t xml:space="preserve"> permettent d'apprécier la nature et l'ampleur des défis à</w:t>
      </w:r>
      <w:r>
        <w:rPr>
          <w:rFonts w:ascii="Times New Roman" w:hAnsi="Times New Roman"/>
          <w:noProof/>
          <w:sz w:val="24"/>
        </w:rPr>
        <w:t xml:space="preserve"> relever au niveau national pour améliorer les conditions de vie et de travail, rendre les marchés du travail plus équitables et plus performants, améliorer les systèmes d'enseignement et de formation pour qu'ils dispensent des compétences appropriées et u</w:t>
      </w:r>
      <w:r>
        <w:rPr>
          <w:rFonts w:ascii="Times New Roman" w:hAnsi="Times New Roman"/>
          <w:noProof/>
          <w:sz w:val="24"/>
        </w:rPr>
        <w:t>tiles et organiser des systèmes de protection sociale qui soient à la fois durables et efficaces. Les programmes nationaux de réforme, que les États membres doivent communiquer en avril, redéfiniront les priorités et indiqueront de nouvelles actions concrè</w:t>
      </w:r>
      <w:r>
        <w:rPr>
          <w:rFonts w:ascii="Times New Roman" w:hAnsi="Times New Roman"/>
          <w:noProof/>
          <w:sz w:val="24"/>
        </w:rPr>
        <w:t xml:space="preserve">tes à mener à l'échelon national. C'est sur ces programmes que se fonderont les recommandations par pays que la Commission proposera par la suite, au printemps 2018. Parallèlement, la Commission poursuivra ses travaux avec les États membres pour s'assurer </w:t>
      </w:r>
      <w:r>
        <w:rPr>
          <w:rFonts w:ascii="Times New Roman" w:hAnsi="Times New Roman"/>
          <w:noProof/>
          <w:sz w:val="24"/>
        </w:rPr>
        <w:t>de la bonne utilisation des financements de l'Union à l'appui de réformes structurelles ou pour investir dans le capital humain, conformément aux priorités définies dans les rapports et recommandations par pays.</w:t>
      </w:r>
    </w:p>
    <w:p w:rsidR="000713B8" w:rsidRDefault="000713B8">
      <w:pPr>
        <w:jc w:val="both"/>
        <w:rPr>
          <w:rFonts w:ascii="Times New Roman" w:hAnsi="Times New Roman" w:cs="Times New Roman"/>
          <w:b/>
          <w:noProof/>
          <w:sz w:val="24"/>
          <w:szCs w:val="24"/>
        </w:rPr>
      </w:pPr>
    </w:p>
    <w:p w:rsidR="000713B8" w:rsidRDefault="0018465F">
      <w:pPr>
        <w:jc w:val="both"/>
        <w:rPr>
          <w:rFonts w:ascii="Times New Roman" w:hAnsi="Times New Roman" w:cs="Times New Roman"/>
          <w:b/>
          <w:noProof/>
          <w:sz w:val="24"/>
          <w:szCs w:val="24"/>
          <w:u w:val="single"/>
        </w:rPr>
      </w:pPr>
      <w:r>
        <w:rPr>
          <w:rFonts w:ascii="Times New Roman" w:hAnsi="Times New Roman"/>
          <w:b/>
          <w:noProof/>
          <w:sz w:val="24"/>
          <w:u w:val="single"/>
        </w:rPr>
        <w:t xml:space="preserve">5. Suivi de la mise en œuvre du socle </w:t>
      </w:r>
    </w:p>
    <w:p w:rsidR="000713B8" w:rsidRDefault="0018465F">
      <w:pPr>
        <w:jc w:val="both"/>
        <w:rPr>
          <w:rFonts w:ascii="Times New Roman" w:hAnsi="Times New Roman" w:cs="Times New Roman"/>
          <w:noProof/>
          <w:sz w:val="24"/>
          <w:szCs w:val="24"/>
        </w:rPr>
      </w:pPr>
      <w:r>
        <w:rPr>
          <w:rFonts w:ascii="Times New Roman" w:hAnsi="Times New Roman"/>
          <w:b/>
          <w:noProof/>
          <w:sz w:val="24"/>
        </w:rPr>
        <w:t>Le S</w:t>
      </w:r>
      <w:r>
        <w:rPr>
          <w:rFonts w:ascii="Times New Roman" w:hAnsi="Times New Roman"/>
          <w:b/>
          <w:noProof/>
          <w:sz w:val="24"/>
        </w:rPr>
        <w:t>emestre européen pour la coordination des politiques constitue un instrument adéquat pour superviser les progrès accomplis dans les domaines clés visés par le socle européen des droits sociaux</w:t>
      </w:r>
      <w:r>
        <w:rPr>
          <w:rFonts w:ascii="Times New Roman" w:hAnsi="Times New Roman"/>
          <w:noProof/>
          <w:sz w:val="24"/>
        </w:rPr>
        <w:t>.</w:t>
      </w:r>
      <w:r>
        <w:rPr>
          <w:noProof/>
        </w:rPr>
        <w:tab/>
      </w:r>
      <w:r>
        <w:rPr>
          <w:rFonts w:ascii="Times New Roman" w:hAnsi="Times New Roman"/>
          <w:noProof/>
          <w:sz w:val="24"/>
        </w:rPr>
        <w:t xml:space="preserve"> </w:t>
      </w:r>
      <w:r>
        <w:rPr>
          <w:rFonts w:ascii="Times New Roman" w:hAnsi="Times New Roman" w:cs="Times New Roman"/>
          <w:noProof/>
          <w:sz w:val="24"/>
          <w:szCs w:val="24"/>
        </w:rPr>
        <w:br/>
      </w:r>
      <w:r>
        <w:rPr>
          <w:rFonts w:ascii="Times New Roman" w:hAnsi="Times New Roman"/>
          <w:noProof/>
          <w:sz w:val="24"/>
        </w:rPr>
        <w:t>Le Semestre européen repose sur une analyse approfondie et s</w:t>
      </w:r>
      <w:r>
        <w:rPr>
          <w:rFonts w:ascii="Times New Roman" w:hAnsi="Times New Roman"/>
          <w:noProof/>
          <w:sz w:val="24"/>
        </w:rPr>
        <w:t>pécifique de la situation dans chaque pays: il prend en compte la diversité des situations et la nécessité d'établir des priorités en fonction des diverses circonstances de départ et des moyens disponibles dans les différents pays. Il permet aussi de struc</w:t>
      </w:r>
      <w:r>
        <w:rPr>
          <w:rFonts w:ascii="Times New Roman" w:hAnsi="Times New Roman"/>
          <w:noProof/>
          <w:sz w:val="24"/>
        </w:rPr>
        <w:t>turer les efforts collectifs au fil du temps: il s'appuie sur un dialogue approfondi et sur la communication de rapports tout au long de l'année, selon un processus transparent et ouvert à l’ensemble des acteurs. Il est notamment utilisé pour structurer l’</w:t>
      </w:r>
      <w:r>
        <w:rPr>
          <w:rFonts w:ascii="Times New Roman" w:hAnsi="Times New Roman"/>
          <w:noProof/>
          <w:sz w:val="24"/>
        </w:rPr>
        <w:t>évaluation par les pairs et les évaluations comparatives entre les États membres. Profitant des progrès accomplis ces dernières années pour renforcer la dimension sociale du Semestre européen, la Commission a commencé à affiner les outils et les méthodes d</w:t>
      </w:r>
      <w:r>
        <w:rPr>
          <w:rFonts w:ascii="Times New Roman" w:hAnsi="Times New Roman"/>
          <w:noProof/>
          <w:sz w:val="24"/>
        </w:rPr>
        <w:t>e travail existants afin de tenir compte du socle européen des droits sociaux, dès lors qu'il a été proclamé. Cette nouvelle approche ne demande pas de modifications fondamentales ni la création de nouveaux instruments et n'alourdit pas la charge administr</w:t>
      </w:r>
      <w:r>
        <w:rPr>
          <w:rFonts w:ascii="Times New Roman" w:hAnsi="Times New Roman"/>
          <w:noProof/>
          <w:sz w:val="24"/>
        </w:rPr>
        <w:t>ative à supporter par les États membres.</w:t>
      </w:r>
    </w:p>
    <w:p w:rsidR="000713B8" w:rsidRDefault="0018465F">
      <w:pPr>
        <w:jc w:val="both"/>
        <w:rPr>
          <w:rFonts w:ascii="Times New Roman" w:hAnsi="Times New Roman" w:cs="Times New Roman"/>
          <w:noProof/>
          <w:sz w:val="24"/>
          <w:szCs w:val="24"/>
        </w:rPr>
      </w:pPr>
      <w:r>
        <w:rPr>
          <w:rFonts w:ascii="Times New Roman" w:hAnsi="Times New Roman"/>
          <w:b/>
          <w:noProof/>
          <w:sz w:val="24"/>
        </w:rPr>
        <w:t>Un suivi plus thématique sera également nécessaire pour couvrir pleinement les divers principes du socle et évaluer leur mise en œuvre effective sur le terrain.</w:t>
      </w:r>
      <w:r>
        <w:rPr>
          <w:rFonts w:ascii="Times New Roman" w:hAnsi="Times New Roman"/>
          <w:noProof/>
          <w:sz w:val="24"/>
        </w:rPr>
        <w:t xml:space="preserve"> Des publications régulières de l'Union, telles que le </w:t>
      </w:r>
      <w:r>
        <w:rPr>
          <w:rFonts w:ascii="Times New Roman" w:hAnsi="Times New Roman"/>
          <w:noProof/>
          <w:sz w:val="24"/>
        </w:rPr>
        <w:t>rapport annuel conjoint sur l’emploi et le rapport sur l'emploi et la situation sociale, seront mises à profit pour approfondir des points spécifiques. Les agences de l'Union actives dans le domaine</w:t>
      </w:r>
      <w:r>
        <w:rPr>
          <w:rStyle w:val="FootnoteReference"/>
          <w:rFonts w:ascii="Times New Roman" w:hAnsi="Times New Roman"/>
          <w:noProof/>
          <w:sz w:val="24"/>
        </w:rPr>
        <w:footnoteReference w:id="23"/>
      </w:r>
      <w:r>
        <w:rPr>
          <w:rFonts w:ascii="Times New Roman" w:hAnsi="Times New Roman"/>
          <w:noProof/>
          <w:sz w:val="24"/>
        </w:rPr>
        <w:t xml:space="preserve"> seront également chargées d'élaborer des rapports détail</w:t>
      </w:r>
      <w:r>
        <w:rPr>
          <w:rFonts w:ascii="Times New Roman" w:hAnsi="Times New Roman"/>
          <w:noProof/>
          <w:sz w:val="24"/>
        </w:rPr>
        <w:t>lés portant sur les principes relevant plus directement de leurs compétences. Quant aux partenaires sociaux et organisations de la société civile à l’échelle de l’Union, ils peuvent décider de concentrer leur attention sur certains principes qui les intére</w:t>
      </w:r>
      <w:r>
        <w:rPr>
          <w:rFonts w:ascii="Times New Roman" w:hAnsi="Times New Roman"/>
          <w:noProof/>
          <w:sz w:val="24"/>
        </w:rPr>
        <w:t>ssent particulièrement.</w:t>
      </w:r>
    </w:p>
    <w:p w:rsidR="000713B8" w:rsidRDefault="0018465F">
      <w:pPr>
        <w:spacing w:after="120"/>
        <w:jc w:val="both"/>
        <w:rPr>
          <w:rFonts w:ascii="Times New Roman" w:hAnsi="Times New Roman" w:cs="Times New Roman"/>
          <w:noProof/>
          <w:sz w:val="24"/>
          <w:szCs w:val="24"/>
        </w:rPr>
      </w:pPr>
      <w:r>
        <w:rPr>
          <w:rFonts w:ascii="Times New Roman" w:hAnsi="Times New Roman"/>
          <w:b/>
          <w:noProof/>
          <w:sz w:val="24"/>
        </w:rPr>
        <w:t>Dans le cadre du Semestre européen, trois nouveaux éléments seront ajoutés</w:t>
      </w:r>
      <w:r>
        <w:rPr>
          <w:rFonts w:ascii="Times New Roman" w:hAnsi="Times New Roman"/>
          <w:noProof/>
          <w:sz w:val="24"/>
        </w:rPr>
        <w:t xml:space="preserve"> pour faciliter le suivi de la mise en œuvre du socle européen des droits sociaux.</w:t>
      </w:r>
    </w:p>
    <w:p w:rsidR="000713B8" w:rsidRDefault="0018465F">
      <w:pPr>
        <w:pStyle w:val="ListParagraph"/>
        <w:numPr>
          <w:ilvl w:val="0"/>
          <w:numId w:val="11"/>
        </w:numPr>
        <w:tabs>
          <w:tab w:val="left" w:pos="4253"/>
        </w:tabs>
        <w:jc w:val="both"/>
        <w:rPr>
          <w:rFonts w:ascii="Times New Roman" w:hAnsi="Times New Roman" w:cs="Times New Roman"/>
          <w:noProof/>
          <w:sz w:val="24"/>
          <w:szCs w:val="24"/>
        </w:rPr>
      </w:pPr>
      <w:r>
        <w:rPr>
          <w:rFonts w:ascii="Times New Roman" w:hAnsi="Times New Roman"/>
          <w:b/>
          <w:noProof/>
          <w:sz w:val="24"/>
        </w:rPr>
        <w:t xml:space="preserve">Prise en compte des priorités du socle européen des droits sociaux et </w:t>
      </w:r>
      <w:r>
        <w:rPr>
          <w:rFonts w:ascii="Times New Roman" w:hAnsi="Times New Roman"/>
          <w:b/>
          <w:noProof/>
          <w:sz w:val="24"/>
        </w:rPr>
        <w:t>sélection de thèmes devant faire l'objet de rapports détaillés sur une base annuelle</w:t>
      </w:r>
      <w:r>
        <w:rPr>
          <w:rFonts w:ascii="Times New Roman" w:hAnsi="Times New Roman"/>
          <w:noProof/>
          <w:sz w:val="24"/>
        </w:rPr>
        <w:t>: les principes et les droits inscrits dans le socle seront pris en compte tout au long du Semestre européen dans le suivi, la comparaison et l'évaluation des progrès accom</w:t>
      </w:r>
      <w:r>
        <w:rPr>
          <w:rFonts w:ascii="Times New Roman" w:hAnsi="Times New Roman"/>
          <w:noProof/>
          <w:sz w:val="24"/>
        </w:rPr>
        <w:t>plis. Par ailleurs, chaque année, certains thèmes spécifiques relevant du socle seront retenus pour faire l'objet d'une évaluation détaillée. Cela concerne notamment l'examen annuel de la croissance (publié en novembre), qui définit les priorités économiqu</w:t>
      </w:r>
      <w:r>
        <w:rPr>
          <w:rFonts w:ascii="Times New Roman" w:hAnsi="Times New Roman"/>
          <w:noProof/>
          <w:sz w:val="24"/>
        </w:rPr>
        <w:t>es et sociales au niveau de l'Union, et les rapports par pays (publiés en février/mars), qui servent à élaborer des orientations détaillées pour chaque pays. Le choix des thèmes se fera en concertation avec tous les acteurs, y compris les comités concernés</w:t>
      </w:r>
      <w:r>
        <w:rPr>
          <w:rFonts w:ascii="Times New Roman" w:hAnsi="Times New Roman"/>
          <w:noProof/>
          <w:sz w:val="24"/>
        </w:rPr>
        <w:t xml:space="preserve"> représentant les États membres.</w:t>
      </w:r>
    </w:p>
    <w:p w:rsidR="000713B8" w:rsidRDefault="000713B8">
      <w:pPr>
        <w:pStyle w:val="ListParagraph"/>
        <w:tabs>
          <w:tab w:val="left" w:pos="4253"/>
        </w:tabs>
        <w:ind w:left="360"/>
        <w:jc w:val="both"/>
        <w:rPr>
          <w:rFonts w:ascii="Times New Roman" w:hAnsi="Times New Roman" w:cs="Times New Roman"/>
          <w:noProof/>
          <w:sz w:val="24"/>
          <w:szCs w:val="24"/>
        </w:rPr>
      </w:pPr>
    </w:p>
    <w:p w:rsidR="000713B8" w:rsidRDefault="0018465F">
      <w:pPr>
        <w:pStyle w:val="ListParagraph"/>
        <w:numPr>
          <w:ilvl w:val="0"/>
          <w:numId w:val="11"/>
        </w:numPr>
        <w:tabs>
          <w:tab w:val="left" w:pos="4253"/>
        </w:tabs>
        <w:jc w:val="both"/>
        <w:rPr>
          <w:rFonts w:ascii="Times New Roman" w:hAnsi="Times New Roman" w:cs="Times New Roman"/>
          <w:noProof/>
          <w:sz w:val="24"/>
          <w:szCs w:val="24"/>
        </w:rPr>
      </w:pPr>
      <w:r>
        <w:rPr>
          <w:rFonts w:ascii="Times New Roman" w:hAnsi="Times New Roman"/>
          <w:b/>
          <w:noProof/>
          <w:sz w:val="24"/>
        </w:rPr>
        <w:t>Fourniture d'assistance technique, promotion de l'analyse comparative et échange de bonnes pratiques</w:t>
      </w:r>
      <w:r>
        <w:rPr>
          <w:rFonts w:ascii="Times New Roman" w:hAnsi="Times New Roman"/>
          <w:noProof/>
          <w:sz w:val="24"/>
        </w:rPr>
        <w:t>: le Semestre européen offre un espace de dialogue avec les parties prenantes, d'échange d'expérience et de renforcement d</w:t>
      </w:r>
      <w:r>
        <w:rPr>
          <w:rFonts w:ascii="Times New Roman" w:hAnsi="Times New Roman"/>
          <w:noProof/>
          <w:sz w:val="24"/>
        </w:rPr>
        <w:t>e l'apprentissage mutuel,</w:t>
      </w:r>
      <w:r>
        <w:rPr>
          <w:rFonts w:ascii="Times New Roman" w:hAnsi="Times New Roman" w:cs="Times New Roman"/>
          <w:noProof/>
          <w:sz w:val="24"/>
          <w:szCs w:val="24"/>
        </w:rPr>
        <w:br/>
      </w:r>
      <w:r>
        <w:rPr>
          <w:rFonts w:ascii="Times New Roman" w:hAnsi="Times New Roman"/>
          <w:noProof/>
          <w:sz w:val="24"/>
        </w:rPr>
        <w:t>afin de parvenir à une convergence ascendante, c'est-à-dire vers les États les plus performants. Les instances qui s'occupent des questions de politique sociale et de l’emploi dans le cadre du Semestre européen, telles que le comi</w:t>
      </w:r>
      <w:r>
        <w:rPr>
          <w:rFonts w:ascii="Times New Roman" w:hAnsi="Times New Roman"/>
          <w:noProof/>
          <w:sz w:val="24"/>
        </w:rPr>
        <w:t>té de l'emploi et le comité de la protection sociale, ont déjà entamé</w:t>
      </w:r>
      <w:r>
        <w:rPr>
          <w:noProof/>
        </w:rPr>
        <w:t xml:space="preserve"> </w:t>
      </w:r>
      <w:r>
        <w:rPr>
          <w:rFonts w:ascii="Times New Roman" w:hAnsi="Times New Roman"/>
          <w:noProof/>
          <w:sz w:val="24"/>
        </w:rPr>
        <w:t>leurs travaux sur l'analyse comparative de la convergence des politiques. En outre, dans sa communication intitulée «De nouvelles étapes en vue de l'achèvement de l'Union économique et m</w:t>
      </w:r>
      <w:r>
        <w:rPr>
          <w:rFonts w:ascii="Times New Roman" w:hAnsi="Times New Roman"/>
          <w:noProof/>
          <w:sz w:val="24"/>
        </w:rPr>
        <w:t>onétaire européenne: feuille de route»</w:t>
      </w:r>
      <w:r>
        <w:rPr>
          <w:rStyle w:val="FootnoteReference"/>
          <w:rFonts w:ascii="Times New Roman" w:hAnsi="Times New Roman"/>
          <w:noProof/>
          <w:sz w:val="24"/>
        </w:rPr>
        <w:footnoteReference w:id="24"/>
      </w:r>
      <w:r>
        <w:rPr>
          <w:rFonts w:ascii="Times New Roman" w:hAnsi="Times New Roman"/>
          <w:noProof/>
          <w:sz w:val="24"/>
        </w:rPr>
        <w:t xml:space="preserve">, la Commission a laissé entendre que les travaux en cours au Conseil et au sein de l’Eurogroupe sur l’analyse comparative des politiques devraient être intensifiés. Par ailleurs, outre l'aide financière apportée par </w:t>
      </w:r>
      <w:r>
        <w:rPr>
          <w:rFonts w:ascii="Times New Roman" w:hAnsi="Times New Roman"/>
          <w:noProof/>
          <w:sz w:val="24"/>
        </w:rPr>
        <w:t>les Fonds structurels et d'investissement, le service d'appui à la réforme structurelle de la Commission a étendu son offre de soutien sur mesure aux réformes institutionnelles et administratives et aux réformes des politiques</w:t>
      </w:r>
      <w:r>
        <w:rPr>
          <w:rStyle w:val="FootnoteReference"/>
          <w:rFonts w:ascii="Times New Roman" w:hAnsi="Times New Roman"/>
          <w:noProof/>
          <w:sz w:val="24"/>
        </w:rPr>
        <w:footnoteReference w:id="25"/>
      </w:r>
      <w:r>
        <w:rPr>
          <w:noProof/>
        </w:rPr>
        <w:t xml:space="preserve">. </w:t>
      </w:r>
    </w:p>
    <w:p w:rsidR="000713B8" w:rsidRDefault="000713B8">
      <w:pPr>
        <w:pStyle w:val="ListParagraph"/>
        <w:tabs>
          <w:tab w:val="left" w:pos="4253"/>
        </w:tabs>
        <w:ind w:left="360"/>
        <w:jc w:val="both"/>
        <w:rPr>
          <w:rFonts w:ascii="Times New Roman" w:hAnsi="Times New Roman" w:cs="Times New Roman"/>
          <w:noProof/>
          <w:sz w:val="24"/>
          <w:szCs w:val="24"/>
        </w:rPr>
      </w:pPr>
    </w:p>
    <w:p w:rsidR="000713B8" w:rsidRDefault="0018465F">
      <w:pPr>
        <w:pStyle w:val="ListParagraph"/>
        <w:numPr>
          <w:ilvl w:val="0"/>
          <w:numId w:val="11"/>
        </w:numPr>
        <w:tabs>
          <w:tab w:val="left" w:pos="4253"/>
        </w:tabs>
        <w:jc w:val="both"/>
        <w:rPr>
          <w:noProof/>
        </w:rPr>
      </w:pPr>
      <w:r>
        <w:rPr>
          <w:rFonts w:ascii="Times New Roman" w:hAnsi="Times New Roman"/>
          <w:b/>
          <w:noProof/>
          <w:sz w:val="24"/>
        </w:rPr>
        <w:t>Évaluation et suivi des p</w:t>
      </w:r>
      <w:r>
        <w:rPr>
          <w:rFonts w:ascii="Times New Roman" w:hAnsi="Times New Roman"/>
          <w:b/>
          <w:noProof/>
          <w:sz w:val="24"/>
        </w:rPr>
        <w:t>erformances à l’aide du nouveau tableau de bord social:</w:t>
      </w:r>
      <w:r>
        <w:rPr>
          <w:rFonts w:ascii="Times New Roman" w:hAnsi="Times New Roman"/>
          <w:noProof/>
          <w:sz w:val="24"/>
        </w:rPr>
        <w:t xml:space="preserve"> parallèlement à sa proposition concernant le socle, la Commission a présenté un nouveau tableau de bord social. Sa fonction est d'aider à examiner les performances des États membres dans de domaine so</w:t>
      </w:r>
      <w:r>
        <w:rPr>
          <w:rFonts w:ascii="Times New Roman" w:hAnsi="Times New Roman"/>
          <w:noProof/>
          <w:sz w:val="24"/>
        </w:rPr>
        <w:t>cial et de l’emploi en fonction des divers aspects du socle. Il a été utilisé pour la première fois en vue de contribuer à éclairer et approfondir l'analyse présentée dans le rapport conjoint sur l’emploi de 2018, et les indicateurs ont été utilisés pour é</w:t>
      </w:r>
      <w:r>
        <w:rPr>
          <w:rFonts w:ascii="Times New Roman" w:hAnsi="Times New Roman"/>
          <w:noProof/>
          <w:sz w:val="24"/>
        </w:rPr>
        <w:t>tayer l’analyse des rapports par pays de 2018. S'ils n'épuisent pas le débat sur le suivi du socle européen, ces indicateurs jettent un éclairage utile sur la situation sur le terrain et permettent d'effectuer des comparaisons dans le temps et entre les pa</w:t>
      </w:r>
      <w:r>
        <w:rPr>
          <w:rFonts w:ascii="Times New Roman" w:hAnsi="Times New Roman"/>
          <w:noProof/>
          <w:sz w:val="24"/>
        </w:rPr>
        <w:t>ys. Le développement du tableau de bord et de ses fondements statistiques sera poursuivi avec le soutien des États membres.</w:t>
      </w:r>
    </w:p>
    <w:p w:rsidR="000713B8" w:rsidRDefault="0018465F">
      <w:pPr>
        <w:rPr>
          <w:rFonts w:ascii="Times New Roman" w:hAnsi="Times New Roman" w:cs="Times New Roman"/>
          <w:b/>
          <w:noProof/>
          <w:sz w:val="24"/>
          <w:szCs w:val="24"/>
        </w:rPr>
      </w:pPr>
      <w:r>
        <w:rPr>
          <w:noProof/>
        </w:rPr>
        <w:br w:type="page"/>
      </w:r>
    </w:p>
    <w:p w:rsidR="000713B8" w:rsidRDefault="0018465F">
      <w:pPr>
        <w:pBdr>
          <w:top w:val="single" w:sz="4" w:space="1" w:color="F18800"/>
          <w:left w:val="single" w:sz="4" w:space="4" w:color="F18800"/>
          <w:bottom w:val="single" w:sz="4" w:space="1" w:color="F18800"/>
          <w:right w:val="single" w:sz="4" w:space="4" w:color="F18800"/>
        </w:pBdr>
        <w:shd w:val="clear" w:color="auto" w:fill="F18800"/>
        <w:tabs>
          <w:tab w:val="left" w:pos="2095"/>
          <w:tab w:val="center" w:pos="4536"/>
        </w:tabs>
        <w:jc w:val="center"/>
        <w:rPr>
          <w:rFonts w:ascii="Times New Roman" w:hAnsi="Times New Roman" w:cs="Times New Roman"/>
          <w:b/>
          <w:noProof/>
          <w:sz w:val="24"/>
          <w:szCs w:val="24"/>
        </w:rPr>
      </w:pPr>
      <w:r>
        <w:rPr>
          <w:rFonts w:ascii="Times New Roman" w:hAnsi="Times New Roman"/>
          <w:b/>
          <w:noProof/>
          <w:color w:val="FFFFFF" w:themeColor="background1"/>
          <w:sz w:val="24"/>
        </w:rPr>
        <w:t>Encadré 2. Le nouveau tableau de bord social de l'UE</w:t>
      </w:r>
      <w:r>
        <w:rPr>
          <w:rStyle w:val="FootnoteReference"/>
          <w:rFonts w:ascii="Times New Roman" w:hAnsi="Times New Roman"/>
          <w:b/>
          <w:noProof/>
          <w:color w:val="FFFFFF" w:themeColor="background1"/>
          <w:sz w:val="24"/>
        </w:rPr>
        <w:footnoteReference w:id="26"/>
      </w:r>
    </w:p>
    <w:p w:rsidR="000713B8" w:rsidRDefault="0018465F">
      <w:pPr>
        <w:rPr>
          <w:rFonts w:ascii="Times New Roman" w:hAnsi="Times New Roman" w:cs="Times New Roman"/>
          <w:b/>
          <w:noProof/>
          <w:color w:val="F18800"/>
          <w:sz w:val="28"/>
          <w:szCs w:val="28"/>
        </w:rPr>
      </w:pPr>
      <w:r>
        <w:rPr>
          <w:noProof/>
          <w:lang w:val="en-GB" w:eastAsia="en-GB" w:bidi="ar-SA"/>
        </w:rPr>
        <w:drawing>
          <wp:inline distT="0" distB="0" distL="0" distR="0" wp14:anchorId="54189A2F" wp14:editId="4EDFE72C">
            <wp:extent cx="5760720" cy="42565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4256539"/>
                    </a:xfrm>
                    <a:prstGeom prst="rect">
                      <a:avLst/>
                    </a:prstGeom>
                  </pic:spPr>
                </pic:pic>
              </a:graphicData>
            </a:graphic>
          </wp:inline>
        </w:drawing>
      </w:r>
    </w:p>
    <w:p w:rsidR="000713B8" w:rsidRDefault="000713B8">
      <w:pPr>
        <w:jc w:val="both"/>
        <w:rPr>
          <w:rFonts w:ascii="Times New Roman" w:hAnsi="Times New Roman" w:cs="Times New Roman"/>
          <w:b/>
          <w:noProof/>
          <w:sz w:val="24"/>
          <w:szCs w:val="24"/>
          <w:u w:val="single"/>
        </w:rPr>
      </w:pPr>
    </w:p>
    <w:p w:rsidR="000713B8" w:rsidRDefault="0018465F">
      <w:pPr>
        <w:jc w:val="both"/>
        <w:rPr>
          <w:rFonts w:ascii="Times New Roman" w:hAnsi="Times New Roman" w:cs="Times New Roman"/>
          <w:b/>
          <w:noProof/>
          <w:sz w:val="24"/>
          <w:szCs w:val="24"/>
          <w:u w:val="single"/>
        </w:rPr>
      </w:pPr>
      <w:r>
        <w:rPr>
          <w:rFonts w:ascii="Times New Roman" w:hAnsi="Times New Roman"/>
          <w:b/>
          <w:noProof/>
          <w:sz w:val="24"/>
          <w:u w:val="single"/>
        </w:rPr>
        <w:t>6. Conclusions</w:t>
      </w:r>
    </w:p>
    <w:p w:rsidR="000713B8" w:rsidRDefault="0018465F">
      <w:pPr>
        <w:jc w:val="both"/>
        <w:rPr>
          <w:rFonts w:ascii="Times New Roman" w:hAnsi="Times New Roman" w:cs="Times New Roman"/>
          <w:noProof/>
          <w:sz w:val="24"/>
          <w:szCs w:val="24"/>
        </w:rPr>
      </w:pPr>
      <w:r>
        <w:rPr>
          <w:rFonts w:ascii="Times New Roman" w:hAnsi="Times New Roman"/>
          <w:noProof/>
          <w:sz w:val="24"/>
        </w:rPr>
        <w:t xml:space="preserve">Depuis des décennies, l'Union européenne contribue à </w:t>
      </w:r>
      <w:r>
        <w:rPr>
          <w:rFonts w:ascii="Times New Roman" w:hAnsi="Times New Roman"/>
          <w:noProof/>
          <w:sz w:val="24"/>
        </w:rPr>
        <w:t>accroître la prospérité et à renforcer la justice sociale. L'Europe fait aujourd'hui partie des lieux où il fait le meilleur vivre au monde. Ces dix dernières années, la crise économique et sociale a cependant profondément marqué notre tissu social, remett</w:t>
      </w:r>
      <w:r>
        <w:rPr>
          <w:rFonts w:ascii="Times New Roman" w:hAnsi="Times New Roman"/>
          <w:noProof/>
          <w:sz w:val="24"/>
        </w:rPr>
        <w:t>ant en cause l’essence même de notre économie sociale de marché.</w:t>
      </w:r>
    </w:p>
    <w:p w:rsidR="000713B8" w:rsidRDefault="0018465F">
      <w:pPr>
        <w:jc w:val="both"/>
        <w:rPr>
          <w:rFonts w:ascii="Times New Roman" w:hAnsi="Times New Roman" w:cs="Times New Roman"/>
          <w:noProof/>
          <w:sz w:val="24"/>
          <w:szCs w:val="24"/>
        </w:rPr>
      </w:pPr>
      <w:r>
        <w:rPr>
          <w:rFonts w:ascii="Times New Roman" w:hAnsi="Times New Roman"/>
          <w:noProof/>
          <w:sz w:val="24"/>
        </w:rPr>
        <w:t>L'Europe ayant tourné la page de la crise, il est temps qu'elle envisage l'avenir, s'adapte à l'évolution rapide des réalités et s'attaque aux défis socioéconomiques plus vastes auxquelles el</w:t>
      </w:r>
      <w:r>
        <w:rPr>
          <w:rFonts w:ascii="Times New Roman" w:hAnsi="Times New Roman"/>
          <w:noProof/>
          <w:sz w:val="24"/>
        </w:rPr>
        <w:t xml:space="preserve">le doit faire face, de manière à renouveler et pérenniser son modèle économique et social. </w:t>
      </w:r>
    </w:p>
    <w:p w:rsidR="000713B8" w:rsidRDefault="0018465F">
      <w:pPr>
        <w:jc w:val="both"/>
        <w:rPr>
          <w:rFonts w:ascii="Times New Roman" w:hAnsi="Times New Roman" w:cs="Times New Roman"/>
          <w:noProof/>
          <w:sz w:val="24"/>
          <w:szCs w:val="24"/>
        </w:rPr>
      </w:pPr>
      <w:r>
        <w:rPr>
          <w:rFonts w:ascii="Times New Roman" w:hAnsi="Times New Roman"/>
          <w:noProof/>
          <w:sz w:val="24"/>
        </w:rPr>
        <w:t xml:space="preserve">En affirmant les valeurs que défend l'Europe, le socle européen des droits sociaux énonce les principes et les droits essentiels pour que le progrès social profite </w:t>
      </w:r>
      <w:r>
        <w:rPr>
          <w:rFonts w:ascii="Times New Roman" w:hAnsi="Times New Roman"/>
          <w:noProof/>
          <w:sz w:val="24"/>
        </w:rPr>
        <w:t>aussi bien aux personnes qu'à la société et sert de boussole indiquant le cap à suivre.</w:t>
      </w:r>
    </w:p>
    <w:p w:rsidR="000713B8" w:rsidRDefault="0018465F">
      <w:pPr>
        <w:jc w:val="both"/>
        <w:rPr>
          <w:noProof/>
          <w:color w:val="D9D9D9" w:themeColor="background1" w:themeShade="D9"/>
          <w:lang w:val="fr-BE"/>
        </w:rPr>
      </w:pPr>
      <w:r>
        <w:rPr>
          <w:rFonts w:ascii="Times New Roman" w:hAnsi="Times New Roman"/>
          <w:noProof/>
          <w:sz w:val="24"/>
        </w:rPr>
        <w:t xml:space="preserve">Les engagements pris par les dirigeants de l'Union lors du sommet social de Göteborg s'inscrivent dans une vision plus large de l'avenir de l'Union européenne à 27. La </w:t>
      </w:r>
      <w:r>
        <w:rPr>
          <w:rFonts w:ascii="Times New Roman" w:hAnsi="Times New Roman"/>
          <w:noProof/>
          <w:sz w:val="24"/>
        </w:rPr>
        <w:t>mise en œuvre du socle européen des droits sociaux et sa concrétisation pour tous les Européens participent d'une responsabilité collective. Les pouvoirs publics, les partenaires sociaux et les organisations non gouvernementales, ainsi que les institutions</w:t>
      </w:r>
      <w:r>
        <w:rPr>
          <w:rFonts w:ascii="Times New Roman" w:hAnsi="Times New Roman"/>
          <w:noProof/>
          <w:sz w:val="24"/>
        </w:rPr>
        <w:t xml:space="preserve"> locales, régionales et européennes sont prêts et résolus à contribuer à cet effort.</w:t>
      </w:r>
    </w:p>
    <w:p w:rsidR="000713B8" w:rsidRDefault="000713B8">
      <w:pPr>
        <w:jc w:val="both"/>
        <w:rPr>
          <w:noProof/>
          <w:color w:val="808080" w:themeColor="background1" w:themeShade="80"/>
          <w:lang w:val="fr-BE"/>
        </w:rPr>
      </w:pPr>
    </w:p>
    <w:sectPr w:rsidR="000713B8">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B8" w:rsidRDefault="0018465F">
      <w:pPr>
        <w:spacing w:after="0" w:line="240" w:lineRule="auto"/>
      </w:pPr>
      <w:r>
        <w:separator/>
      </w:r>
    </w:p>
  </w:endnote>
  <w:endnote w:type="continuationSeparator" w:id="0">
    <w:p w:rsidR="000713B8" w:rsidRDefault="0018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5F" w:rsidRPr="0018465F" w:rsidRDefault="0018465F" w:rsidP="00184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5F" w:rsidRPr="0018465F" w:rsidRDefault="0018465F" w:rsidP="0018465F">
    <w:pPr>
      <w:pStyle w:val="FooterCoverPage"/>
      <w:rPr>
        <w:rFonts w:ascii="Arial" w:hAnsi="Arial" w:cs="Arial"/>
        <w:b/>
        <w:sz w:val="48"/>
      </w:rPr>
    </w:pPr>
    <w:r w:rsidRPr="0018465F">
      <w:rPr>
        <w:rFonts w:ascii="Arial" w:hAnsi="Arial" w:cs="Arial"/>
        <w:b/>
        <w:sz w:val="48"/>
      </w:rPr>
      <w:t>FR</w:t>
    </w:r>
    <w:r w:rsidRPr="0018465F">
      <w:rPr>
        <w:rFonts w:ascii="Arial" w:hAnsi="Arial" w:cs="Arial"/>
        <w:b/>
        <w:sz w:val="48"/>
      </w:rPr>
      <w:tab/>
    </w:r>
    <w:r w:rsidRPr="0018465F">
      <w:rPr>
        <w:rFonts w:ascii="Arial" w:hAnsi="Arial" w:cs="Arial"/>
        <w:b/>
        <w:sz w:val="48"/>
      </w:rPr>
      <w:tab/>
    </w:r>
    <w:r w:rsidRPr="0018465F">
      <w:tab/>
    </w:r>
    <w:proofErr w:type="spellStart"/>
    <w:r w:rsidRPr="0018465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5F" w:rsidRPr="0018465F" w:rsidRDefault="0018465F" w:rsidP="0018465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B8" w:rsidRDefault="000713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332916"/>
      <w:docPartObj>
        <w:docPartGallery w:val="Page Numbers (Bottom of Page)"/>
        <w:docPartUnique/>
      </w:docPartObj>
    </w:sdtPr>
    <w:sdtEndPr>
      <w:rPr>
        <w:noProof/>
      </w:rPr>
    </w:sdtEndPr>
    <w:sdtContent>
      <w:p w:rsidR="000713B8" w:rsidRDefault="0018465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713B8" w:rsidRDefault="000713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B8" w:rsidRDefault="00071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B8" w:rsidRDefault="0018465F">
      <w:pPr>
        <w:spacing w:after="0" w:line="240" w:lineRule="auto"/>
      </w:pPr>
      <w:r>
        <w:separator/>
      </w:r>
    </w:p>
  </w:footnote>
  <w:footnote w:type="continuationSeparator" w:id="0">
    <w:p w:rsidR="000713B8" w:rsidRDefault="0018465F">
      <w:pPr>
        <w:spacing w:after="0" w:line="240" w:lineRule="auto"/>
      </w:pPr>
      <w:r>
        <w:continuationSeparator/>
      </w:r>
    </w:p>
  </w:footnote>
  <w:footnote w:id="1">
    <w:p w:rsidR="000713B8" w:rsidRDefault="0018465F">
      <w:pPr>
        <w:pStyle w:val="FootnoteText"/>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https://ec.europa.eu/commission/priorities/deeper-and-fairer-economic-and</w:t>
        </w:r>
        <w:r>
          <w:rPr>
            <w:rStyle w:val="Hyperlink"/>
            <w:rFonts w:ascii="Times New Roman" w:hAnsi="Times New Roman"/>
          </w:rPr>
          <w:t>-monetary-union/european-pillar-social-rights/european-pillar-social-rights-20-principles_fr</w:t>
        </w:r>
      </w:hyperlink>
    </w:p>
  </w:footnote>
  <w:footnote w:id="2">
    <w:p w:rsidR="000713B8" w:rsidRDefault="0018465F">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8 mars 2016, la Commission a présenté une première ébauche du socle européen des droits sociaux et lancé une consultation publique. Elle a reçu plus de 16 500</w:t>
      </w:r>
      <w:r>
        <w:rPr>
          <w:rFonts w:ascii="Times New Roman" w:hAnsi="Times New Roman"/>
        </w:rPr>
        <w:t> réponses en ligne et près de 200 documents de synthèse. La consultation s’est conclue le 23 janvier 2017 par une conférence de clôture intitulée «Aller de l’avant ensemble». Dans le cadre de la consultation, le Parlement européen a adopté une résolution s</w:t>
      </w:r>
      <w:r>
        <w:rPr>
          <w:rFonts w:ascii="Times New Roman" w:hAnsi="Times New Roman"/>
        </w:rPr>
        <w:t xml:space="preserve">ur le socle le 19 janvier 2017 [2016/2095(INI)]. Le Comité économique et social européen a adopté un avis le 25 janvier 2017 (SOC/542-01902-00-01-ac) et le Comité des régions a adopté un avis le 11 octobre 2016 (CDR 2868/2016). </w:t>
      </w:r>
    </w:p>
  </w:footnote>
  <w:footnote w:id="3">
    <w:p w:rsidR="000713B8" w:rsidRDefault="0018465F">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http://www.socialsummit17.se/</w:t>
        </w:r>
      </w:hyperlink>
    </w:p>
  </w:footnote>
  <w:footnote w:id="4">
    <w:p w:rsidR="000713B8" w:rsidRDefault="0018465F">
      <w:pPr>
        <w:pStyle w:val="Default"/>
        <w:jc w:val="both"/>
      </w:pPr>
      <w:r>
        <w:rPr>
          <w:rStyle w:val="FootnoteReference"/>
          <w:sz w:val="20"/>
        </w:rPr>
        <w:footnoteRef/>
      </w:r>
      <w:r>
        <w:rPr>
          <w:sz w:val="20"/>
        </w:rPr>
        <w:t xml:space="preserve"> </w:t>
      </w:r>
      <w:r>
        <w:rPr>
          <w:color w:val="auto"/>
          <w:sz w:val="20"/>
        </w:rPr>
        <w:t>Le Conseil européen du 14 décembre 2017 a souligné ce qui suit: «</w:t>
      </w:r>
      <w:r>
        <w:rPr>
          <w:i/>
          <w:color w:val="auto"/>
          <w:sz w:val="20"/>
        </w:rPr>
        <w:t>Le sommet social de Göteborg a rappelé la nécessité de placer les citoyens au centre de nos préoccupations, de continuer à développer la dimension sociale de l’Union sur la base d’un engagement commun et de compétences établies, et de promouvoir la converg</w:t>
      </w:r>
      <w:r>
        <w:rPr>
          <w:i/>
          <w:color w:val="auto"/>
          <w:sz w:val="20"/>
        </w:rPr>
        <w:t>ence par des efforts à tous les niveaux, y compris de la part des partenaires sociaux. Il convient, dans un premier temps, d’avancer pour ce qui est: de mettre en œuvre le socle européen des droits sociaux au niveau de l’Union et des États membres, en tena</w:t>
      </w:r>
      <w:r>
        <w:rPr>
          <w:i/>
          <w:color w:val="auto"/>
          <w:sz w:val="20"/>
        </w:rPr>
        <w:t xml:space="preserve">nt dûment compte de leurs compétences respectives; </w:t>
      </w:r>
      <w:r>
        <w:rPr>
          <w:i/>
          <w:color w:val="auto"/>
          <w:sz w:val="20"/>
          <w:szCs w:val="20"/>
        </w:rPr>
        <w:br/>
      </w:r>
      <w:r>
        <w:rPr>
          <w:i/>
          <w:color w:val="auto"/>
          <w:sz w:val="20"/>
        </w:rPr>
        <w:t xml:space="preserve">la Commission est invitée à proposer un suivi approprié (...).» </w:t>
      </w:r>
    </w:p>
  </w:footnote>
  <w:footnote w:id="5">
    <w:p w:rsidR="000713B8" w:rsidRDefault="0018465F">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2025.</w:t>
      </w:r>
    </w:p>
  </w:footnote>
  <w:footnote w:id="6">
    <w:p w:rsidR="000713B8" w:rsidRDefault="0018465F">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206.</w:t>
      </w:r>
    </w:p>
  </w:footnote>
  <w:footnote w:id="7">
    <w:p w:rsidR="000713B8" w:rsidRDefault="0018465F">
      <w:pPr>
        <w:pStyle w:val="FootnoteText"/>
      </w:pPr>
      <w:r>
        <w:rPr>
          <w:rStyle w:val="FootnoteReference"/>
        </w:rPr>
        <w:footnoteRef/>
      </w:r>
      <w:r>
        <w:t xml:space="preserve"> </w:t>
      </w:r>
      <w:r>
        <w:rPr>
          <w:rFonts w:ascii="Times New Roman" w:hAnsi="Times New Roman"/>
        </w:rPr>
        <w:t>COM(2017) 240.</w:t>
      </w:r>
    </w:p>
  </w:footnote>
  <w:footnote w:id="8">
    <w:p w:rsidR="000713B8" w:rsidRDefault="0018465F">
      <w:pPr>
        <w:pStyle w:val="FootnoteText"/>
        <w:jc w:val="both"/>
      </w:pPr>
      <w:r>
        <w:rPr>
          <w:rStyle w:val="FootnoteReference"/>
          <w:rFonts w:ascii="Times New Roman" w:hAnsi="Times New Roman"/>
        </w:rPr>
        <w:footnoteRef/>
      </w:r>
      <w:r>
        <w:rPr>
          <w:rFonts w:ascii="Times New Roman" w:hAnsi="Times New Roman"/>
        </w:rPr>
        <w:t xml:space="preserve"> Dans la déclaration de Rome du 25 mars 2017, les dirigeants de l’UE ont indiqué: «</w:t>
      </w:r>
      <w:r>
        <w:rPr>
          <w:rFonts w:ascii="Times New Roman" w:hAnsi="Times New Roman"/>
          <w:i/>
        </w:rPr>
        <w:t xml:space="preserve">En </w:t>
      </w:r>
      <w:r>
        <w:rPr>
          <w:rFonts w:ascii="Times New Roman" w:hAnsi="Times New Roman"/>
          <w:i/>
        </w:rPr>
        <w:t>ces temps de changement, et conscients des préoccupations de nos citoyens, nous affirmons notre attachement au programme de Rome, et nous nous engageons à œuvrer à la réalisation [...] [d’]une Europe sociale: une Union qui, en s’appuyant sur une croissance</w:t>
      </w:r>
      <w:r>
        <w:rPr>
          <w:rFonts w:ascii="Times New Roman" w:hAnsi="Times New Roman"/>
          <w:i/>
        </w:rPr>
        <w:t xml:space="preserve"> durable, favorise le progrès économique et social ainsi que la cohésion et la convergence, tout en veillant à l’intégrité du marché intérieur; une Union qui prenne en compte la diversité des systèmes nationaux et le rôle essentiel des partenaires sociaux;</w:t>
      </w:r>
      <w:r>
        <w:rPr>
          <w:rFonts w:ascii="Times New Roman" w:hAnsi="Times New Roman"/>
          <w:i/>
        </w:rPr>
        <w:t xml:space="preserve"> une Union qui promeuve l’égalité entre les femmes et les hommes et qui œuvre en faveur de droits et de l’égalité des chances pour tous; une Union qui lutte contre le chômage, les discriminations, l’exclusion sociale et la pauvreté; une Union où les jeunes</w:t>
      </w:r>
      <w:r>
        <w:rPr>
          <w:rFonts w:ascii="Times New Roman" w:hAnsi="Times New Roman"/>
          <w:i/>
        </w:rPr>
        <w:t xml:space="preserve"> bénéficient du meilleur niveau d’éducation et de formation et peuvent étudier et trouver un emploi sur tout le continent; une Union qui préserve notre patrimoine culturel et favorise la diversité culturelle.</w:t>
      </w:r>
      <w:r>
        <w:rPr>
          <w:rFonts w:ascii="Times New Roman" w:hAnsi="Times New Roman"/>
        </w:rPr>
        <w:t>»</w:t>
      </w:r>
    </w:p>
  </w:footnote>
  <w:footnote w:id="9">
    <w:p w:rsidR="000713B8" w:rsidRDefault="0018465F">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proofErr w:type="gramStart"/>
      <w:r>
        <w:rPr>
          <w:rFonts w:ascii="Times New Roman" w:hAnsi="Times New Roman"/>
          <w:lang w:val="en-GB"/>
        </w:rPr>
        <w:t>SWD(</w:t>
      </w:r>
      <w:proofErr w:type="gramEnd"/>
      <w:r>
        <w:rPr>
          <w:rFonts w:ascii="Times New Roman" w:hAnsi="Times New Roman"/>
          <w:lang w:val="en-GB"/>
        </w:rPr>
        <w:t xml:space="preserve">2018) 67. </w:t>
      </w:r>
    </w:p>
  </w:footnote>
  <w:footnote w:id="10">
    <w:p w:rsidR="000713B8" w:rsidRDefault="0018465F">
      <w:pPr>
        <w:pStyle w:val="FootnoteText"/>
        <w:rPr>
          <w:lang w:val="en-GB"/>
        </w:rPr>
      </w:pPr>
      <w:r>
        <w:rPr>
          <w:rStyle w:val="FootnoteReference"/>
        </w:rPr>
        <w:footnoteRef/>
      </w:r>
      <w:r>
        <w:rPr>
          <w:lang w:val="en-GB"/>
        </w:rPr>
        <w:t xml:space="preserve">  </w:t>
      </w:r>
      <w:hyperlink r:id="rId3">
        <w:r>
          <w:rPr>
            <w:rStyle w:val="Hyperlink"/>
            <w:rFonts w:ascii="Times New Roman" w:hAnsi="Times New Roman"/>
            <w:lang w:val="en-GB"/>
          </w:rPr>
          <w:t>https://ec.europa.eu/commission/sites/betapolitical/files/social_dimension_of_europe_overview_of_initiatives_en.pdf</w:t>
        </w:r>
      </w:hyperlink>
      <w:r>
        <w:rPr>
          <w:rFonts w:ascii="Times New Roman" w:hAnsi="Times New Roman"/>
          <w:highlight w:val="yellow"/>
          <w:lang w:val="en-GB"/>
        </w:rPr>
        <w:t xml:space="preserve"> </w:t>
      </w:r>
    </w:p>
  </w:footnote>
  <w:footnote w:id="11">
    <w:p w:rsidR="000713B8" w:rsidRDefault="0018465F">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673. </w:t>
      </w:r>
    </w:p>
  </w:footnote>
  <w:footnote w:id="12">
    <w:p w:rsidR="000713B8" w:rsidRDefault="0018465F">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Cf. Examen</w:t>
      </w:r>
      <w:r>
        <w:rPr>
          <w:rFonts w:ascii="Times New Roman" w:hAnsi="Times New Roman"/>
        </w:rPr>
        <w:t xml:space="preserve"> annuel de la croissance 2018 [COM(2017) 690 final] et la communication sur l’évaluation des progrès accomplis dans les réformes structurelles, la prévention et la correction des déséquilibres macroéconomiques, et les résultats des bilans approfondis [COM(</w:t>
      </w:r>
      <w:r>
        <w:rPr>
          <w:rFonts w:ascii="Times New Roman" w:hAnsi="Times New Roman"/>
        </w:rPr>
        <w:t xml:space="preserve">2017) 90]. </w:t>
      </w:r>
    </w:p>
  </w:footnote>
  <w:footnote w:id="13">
    <w:p w:rsidR="000713B8" w:rsidRDefault="0018465F">
      <w:pPr>
        <w:jc w:val="both"/>
        <w:rPr>
          <w:color w:val="1F497D"/>
          <w:sz w:val="20"/>
          <w:szCs w:val="20"/>
        </w:rPr>
      </w:pPr>
      <w:r>
        <w:rPr>
          <w:rStyle w:val="FootnoteReference"/>
        </w:rPr>
        <w:footnoteRef/>
      </w:r>
      <w:r>
        <w:t xml:space="preserve"> </w:t>
      </w:r>
      <w:r>
        <w:rPr>
          <w:rFonts w:ascii="Times New Roman" w:hAnsi="Times New Roman"/>
          <w:sz w:val="20"/>
        </w:rPr>
        <w:t>Le FEIS a déjà soutenu de tels projets pour un montant total escompté des investissements de plus de 10,5 milliards d’EUR.</w:t>
      </w:r>
      <w:r>
        <w:t xml:space="preserve"> </w:t>
      </w:r>
      <w:r>
        <w:rPr>
          <w:rFonts w:ascii="Times New Roman" w:hAnsi="Times New Roman"/>
          <w:sz w:val="20"/>
        </w:rPr>
        <w:t>Au titre du volet «Infrastructures et innovation» du FEIS, 18 projets d’infrastructures sociales ont déjà été approuvés et devraient mobiliser un total de plus de 6,1 milliards d’EUR en investissements. Il s’agit notamment de la construction, l’extension o</w:t>
      </w:r>
      <w:r>
        <w:rPr>
          <w:rFonts w:ascii="Times New Roman" w:hAnsi="Times New Roman"/>
          <w:sz w:val="20"/>
        </w:rPr>
        <w:t>u la rénovation d’écoles et d’universités, de cliniques et d’hôpitaux, et de logements sociaux financièrement abordables dans les collectivités. Au titre du volet «Petites et moyennes entreprises» du FEIS, le montant total escompté des investissements mobi</w:t>
      </w:r>
      <w:r>
        <w:rPr>
          <w:rFonts w:ascii="Times New Roman" w:hAnsi="Times New Roman"/>
          <w:sz w:val="20"/>
        </w:rPr>
        <w:t xml:space="preserve">lisés dans le secteur social est de 4,5 milliards d’EUR. Récemment, le FEIS a doublé la «force de frappe» du programme européen pour l’emploi et l’innovation sociale s’agissant de la microfinance et de l’entrepreneuriat social. </w:t>
      </w:r>
    </w:p>
    <w:p w:rsidR="000713B8" w:rsidRDefault="000713B8">
      <w:pPr>
        <w:pStyle w:val="FootnoteText"/>
        <w:jc w:val="both"/>
        <w:rPr>
          <w:rFonts w:ascii="Times New Roman" w:hAnsi="Times New Roman" w:cs="Times New Roman"/>
        </w:rPr>
      </w:pPr>
    </w:p>
  </w:footnote>
  <w:footnote w:id="14">
    <w:p w:rsidR="000713B8" w:rsidRDefault="0018465F">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Quelques exemples en son</w:t>
      </w:r>
      <w:r>
        <w:rPr>
          <w:rFonts w:ascii="Times New Roman" w:hAnsi="Times New Roman"/>
        </w:rPr>
        <w:t>t la directive sur la lutte contre l’évasion fiscale, la directive sur l’échange automatique d’informations sur les décisions fiscales et les accords préalables en matière de prix de transfert, la directive sur la déclaration pays par pays concernant les m</w:t>
      </w:r>
      <w:r>
        <w:rPr>
          <w:rFonts w:ascii="Times New Roman" w:hAnsi="Times New Roman"/>
        </w:rPr>
        <w:t>ultinationales et la proposition de relancer l’assiette commune consolidée pour l’impôt sur les sociétés.</w:t>
      </w:r>
    </w:p>
  </w:footnote>
  <w:footnote w:id="15">
    <w:p w:rsidR="000713B8" w:rsidRDefault="0018465F">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https://ec.</w:t>
        </w:r>
        <w:r>
          <w:rPr>
            <w:rStyle w:val="Hyperlink"/>
            <w:rFonts w:ascii="Times New Roman" w:hAnsi="Times New Roman"/>
          </w:rPr>
          <w:t>europa.eu/commission/publications/five-presidents-report-completing-europes-economic-and-monetary-union_fr</w:t>
        </w:r>
      </w:hyperlink>
    </w:p>
  </w:footnote>
  <w:footnote w:id="16">
    <w:p w:rsidR="000713B8" w:rsidRDefault="0018465F">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6 décembre 2017, la Commission a présenté une communication intitulée «De nouvelles étapes en vue de l’achèvement de l’Union économique et monét</w:t>
      </w:r>
      <w:r>
        <w:rPr>
          <w:rFonts w:ascii="Times New Roman" w:hAnsi="Times New Roman"/>
        </w:rPr>
        <w:t>aire européenne: feuille de route» [COM(2017) 821].</w:t>
      </w:r>
    </w:p>
  </w:footnote>
  <w:footnote w:id="17">
    <w:p w:rsidR="000713B8" w:rsidRDefault="0018465F">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98 </w:t>
      </w:r>
      <w:proofErr w:type="gramStart"/>
      <w:r>
        <w:rPr>
          <w:rFonts w:ascii="Times New Roman" w:hAnsi="Times New Roman"/>
        </w:rPr>
        <w:t>final</w:t>
      </w:r>
      <w:proofErr w:type="gramEnd"/>
      <w:r>
        <w:rPr>
          <w:rFonts w:ascii="Times New Roman" w:hAnsi="Times New Roman"/>
        </w:rPr>
        <w:t>.</w:t>
      </w:r>
    </w:p>
  </w:footnote>
  <w:footnote w:id="18">
    <w:p w:rsidR="000713B8" w:rsidRDefault="0018465F">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Dans sa communication, la Commission insiste sur cette idée: «</w:t>
      </w:r>
      <w:r>
        <w:rPr>
          <w:rFonts w:ascii="Times New Roman" w:hAnsi="Times New Roman"/>
          <w:i/>
        </w:rPr>
        <w:t>Le prochain cadre financier pluriannuel devrait permettre de mieux faire correspondre les fonds disponibles avec nos p</w:t>
      </w:r>
      <w:r>
        <w:rPr>
          <w:rFonts w:ascii="Times New Roman" w:hAnsi="Times New Roman"/>
          <w:i/>
        </w:rPr>
        <w:t>riorités politiques. Il devrait s’inspirer des solutions qui fonctionnent aujourd’hui tout en anticipant les enjeux de demain. Conformément à la Déclaration de Rome, le budget devrait permettre une Europe sûre et sécurisée. Une Europe prospère et soucieuse</w:t>
      </w:r>
      <w:r>
        <w:rPr>
          <w:rFonts w:ascii="Times New Roman" w:hAnsi="Times New Roman"/>
          <w:i/>
        </w:rPr>
        <w:t xml:space="preserve"> du développement durable. Une Europe sociale. Et une Europe plus forte sur la scène mondiale.</w:t>
      </w:r>
      <w:r>
        <w:rPr>
          <w:rFonts w:ascii="Times New Roman" w:hAnsi="Times New Roman"/>
        </w:rPr>
        <w:t>» Avant d'ajouter: «</w:t>
      </w:r>
      <w:r>
        <w:rPr>
          <w:rFonts w:ascii="Times New Roman" w:hAnsi="Times New Roman"/>
          <w:i/>
        </w:rPr>
        <w:t xml:space="preserve">Le budget de l’UE devra permettre d’honorer les promesses formulées par les dirigeants lors du sommet social de Göteborg. Cela signifie qu’il </w:t>
      </w:r>
      <w:r>
        <w:rPr>
          <w:rFonts w:ascii="Times New Roman" w:hAnsi="Times New Roman"/>
          <w:i/>
        </w:rPr>
        <w:t>faudra encore développer la dimension sociale de l’Union, notamment en mettant intégralement en œuvre le socle européen des droits sociaux et en soutenant les jeunes et la mobilité des citoyens européens.</w:t>
      </w:r>
      <w:r>
        <w:rPr>
          <w:rFonts w:ascii="Times New Roman" w:hAnsi="Times New Roman"/>
        </w:rPr>
        <w:t>»</w:t>
      </w:r>
    </w:p>
  </w:footnote>
  <w:footnote w:id="19">
    <w:p w:rsidR="000713B8" w:rsidRDefault="0018465F">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 nombre des actions récentes des partenaires sociaux figure l'accord-cadre autonome qu'ils ont conclu le 8 mars 2017 sur le vieillissement actif et l’approche intergénérationnelle. Un autre exemple d'accord entre partenaires sociaux, qui a été consacré </w:t>
      </w:r>
      <w:r>
        <w:rPr>
          <w:rFonts w:ascii="Times New Roman" w:hAnsi="Times New Roman"/>
        </w:rPr>
        <w:t>par le droit de l'Union, est la directive (UE) 2018/131 du Conseil du 23 janvier 2018 portant mise en œuvre de l'accord conclu par les Associations des armateurs de la Communauté européenne (ECSA) et la Fédération européenne des travailleurs des transports</w:t>
      </w:r>
      <w:r>
        <w:rPr>
          <w:rFonts w:ascii="Times New Roman" w:hAnsi="Times New Roman"/>
        </w:rPr>
        <w:t xml:space="preserve"> (ETF) en vue de modifier la directive 2009/13/CE conformément aux amendements de 2014 à la convention du travail maritime, 2006, tels qu'approuvés par la Conférence internationale du travail le 11 juin 2014.</w:t>
      </w:r>
    </w:p>
    <w:p w:rsidR="000713B8" w:rsidRDefault="000713B8">
      <w:pPr>
        <w:pStyle w:val="FootnoteText"/>
        <w:jc w:val="both"/>
        <w:rPr>
          <w:rFonts w:ascii="Times New Roman" w:hAnsi="Times New Roman" w:cs="Times New Roman"/>
        </w:rPr>
      </w:pPr>
    </w:p>
  </w:footnote>
  <w:footnote w:id="20">
    <w:p w:rsidR="000713B8" w:rsidRDefault="0018465F">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dernières prévisions économiques de la C</w:t>
      </w:r>
      <w:r>
        <w:rPr>
          <w:rFonts w:ascii="Times New Roman" w:hAnsi="Times New Roman"/>
        </w:rPr>
        <w:t xml:space="preserve">ommission européenne de l'hiver 2018 et le rapport trimestriel sur l’évolution économique et sociale peuvent être </w:t>
      </w:r>
      <w:proofErr w:type="gramStart"/>
      <w:r>
        <w:rPr>
          <w:rFonts w:ascii="Times New Roman" w:hAnsi="Times New Roman"/>
        </w:rPr>
        <w:t>consultés</w:t>
      </w:r>
      <w:proofErr w:type="gramEnd"/>
      <w:r>
        <w:rPr>
          <w:rFonts w:ascii="Times New Roman" w:hAnsi="Times New Roman"/>
        </w:rPr>
        <w:t xml:space="preserve"> respectivement aux adresses suivantes: </w:t>
      </w:r>
    </w:p>
    <w:p w:rsidR="000713B8" w:rsidRDefault="0018465F">
      <w:pPr>
        <w:pStyle w:val="FootnoteText"/>
        <w:jc w:val="both"/>
      </w:pPr>
      <w:hyperlink r:id="rId5">
        <w:r>
          <w:rPr>
            <w:rStyle w:val="Hyperlink"/>
            <w:rFonts w:ascii="Times New Roman" w:hAnsi="Times New Roman"/>
          </w:rPr>
          <w:t>https://ec.europa.eu/info/business-economy-euro/economic-performance-and-forecasts/economic-forecasts/winter-2018-economic-forecast_en</w:t>
        </w:r>
      </w:hyperlink>
      <w:r>
        <w:rPr>
          <w:rFonts w:ascii="Times New Roman" w:hAnsi="Times New Roman"/>
        </w:rPr>
        <w:t xml:space="preserve"> et: </w:t>
      </w:r>
      <w:hyperlink r:id="rId6">
        <w:r>
          <w:rPr>
            <w:rStyle w:val="Hyperlink"/>
            <w:rFonts w:ascii="Times New Roman" w:hAnsi="Times New Roman"/>
          </w:rPr>
          <w:t>http://ec.europa.eu/social/main.jsp?catId=738&amp;langId=fr&amp;pubId=8063</w:t>
        </w:r>
      </w:hyperlink>
      <w:r>
        <w:t xml:space="preserve">. </w:t>
      </w:r>
    </w:p>
  </w:footnote>
  <w:footnote w:id="21">
    <w:p w:rsidR="000713B8" w:rsidRDefault="0018465F">
      <w:pPr>
        <w:pStyle w:val="FootnoteText"/>
        <w:jc w:val="both"/>
      </w:pPr>
      <w:r>
        <w:rPr>
          <w:rStyle w:val="FootnoteReference"/>
        </w:rPr>
        <w:footnoteRef/>
      </w:r>
      <w:r>
        <w:t xml:space="preserve"> </w:t>
      </w:r>
      <w:r>
        <w:rPr>
          <w:rFonts w:ascii="Times New Roman" w:hAnsi="Times New Roman"/>
        </w:rPr>
        <w:t>La plupart de ces nouveaux emplois peuvent être considérés comme étant «de bonne qualité»: 78 % des emplois créés depuis le troisième trimestre de 2014 so</w:t>
      </w:r>
      <w:r>
        <w:rPr>
          <w:rFonts w:ascii="Times New Roman" w:hAnsi="Times New Roman"/>
        </w:rPr>
        <w:t>nt permanents et 88 % sont des emplois à plein temps.</w:t>
      </w:r>
    </w:p>
  </w:footnote>
  <w:footnote w:id="22">
    <w:p w:rsidR="000713B8" w:rsidRDefault="0018465F">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Communication sur l'évaluation des progrès accomplis dans les réformes structurelles, la prévention et la correction des déséquilibres macroéconomiques, et les résultats des bilans approfondis [COM(20</w:t>
      </w:r>
      <w:r>
        <w:rPr>
          <w:rFonts w:ascii="Times New Roman" w:hAnsi="Times New Roman"/>
        </w:rPr>
        <w:t>18) 120].</w:t>
      </w:r>
    </w:p>
  </w:footnote>
  <w:footnote w:id="23">
    <w:p w:rsidR="000713B8" w:rsidRDefault="0018465F">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Centre européen pour le développement de la formation professionnelle (</w:t>
      </w:r>
      <w:proofErr w:type="spellStart"/>
      <w:r>
        <w:rPr>
          <w:rFonts w:ascii="Times New Roman" w:hAnsi="Times New Roman"/>
        </w:rPr>
        <w:t>Cedefop</w:t>
      </w:r>
      <w:proofErr w:type="spellEnd"/>
      <w:r>
        <w:rPr>
          <w:rFonts w:ascii="Times New Roman" w:hAnsi="Times New Roman"/>
        </w:rPr>
        <w:t>), la Fondation européenne pour l’amélioration des conditions de vie et de travail (</w:t>
      </w:r>
      <w:proofErr w:type="spellStart"/>
      <w:r>
        <w:rPr>
          <w:rFonts w:ascii="Times New Roman" w:hAnsi="Times New Roman"/>
        </w:rPr>
        <w:t>Eurofound</w:t>
      </w:r>
      <w:proofErr w:type="spellEnd"/>
      <w:r>
        <w:rPr>
          <w:rFonts w:ascii="Times New Roman" w:hAnsi="Times New Roman"/>
        </w:rPr>
        <w:t>), l'Agence européenne pour la sécurité et la santé au travail (EU OSH</w:t>
      </w:r>
      <w:r>
        <w:rPr>
          <w:rFonts w:ascii="Times New Roman" w:hAnsi="Times New Roman"/>
        </w:rPr>
        <w:t>A); la Fondation européenne pour la formation (ETF).</w:t>
      </w:r>
    </w:p>
  </w:footnote>
  <w:footnote w:id="24">
    <w:p w:rsidR="000713B8" w:rsidRDefault="0018465F">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821 </w:t>
      </w:r>
      <w:proofErr w:type="gramStart"/>
      <w:r>
        <w:rPr>
          <w:rFonts w:ascii="Times New Roman" w:hAnsi="Times New Roman"/>
        </w:rPr>
        <w:t>final</w:t>
      </w:r>
      <w:proofErr w:type="gramEnd"/>
      <w:r>
        <w:rPr>
          <w:rFonts w:ascii="Times New Roman" w:hAnsi="Times New Roman"/>
        </w:rPr>
        <w:t>.</w:t>
      </w:r>
    </w:p>
  </w:footnote>
  <w:footnote w:id="25">
    <w:p w:rsidR="000713B8" w:rsidRDefault="0018465F">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Depuis 2015, le service d'appui à la réforme structurelle a mis en œuvre près de 500 projets d’assistance technique. Dans le domaine social, des projets de ce type ont consisté, </w:t>
      </w:r>
      <w:r>
        <w:rPr>
          <w:rFonts w:ascii="Times New Roman" w:hAnsi="Times New Roman"/>
        </w:rPr>
        <w:t>par exemple, à: i) soutenir la mise en œuvre d’un revenu minimum garanti; ii) soutenir la conception et la mise en œuvre de politiques d’intégration pour les migrants et les réfugiés; iii) améliorer les systèmes d’évaluation du handicap et les services aux</w:t>
      </w:r>
      <w:r>
        <w:rPr>
          <w:rFonts w:ascii="Times New Roman" w:hAnsi="Times New Roman"/>
        </w:rPr>
        <w:t xml:space="preserve"> personnes handicapées; iv) améliorer la conception et la mise en œuvre de politiques actives en faveur du marché du travail; v) soutenir la réforme de l’enseignement spécial.</w:t>
      </w:r>
    </w:p>
  </w:footnote>
  <w:footnote w:id="26">
    <w:p w:rsidR="000713B8" w:rsidRDefault="0018465F">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de plus amples informations sur le tableau de bord social, voir </w:t>
      </w:r>
    </w:p>
    <w:p w:rsidR="000713B8" w:rsidRDefault="0018465F">
      <w:pPr>
        <w:pStyle w:val="FootnoteText"/>
        <w:rPr>
          <w:rFonts w:ascii="Times New Roman" w:hAnsi="Times New Roman" w:cs="Times New Roman"/>
        </w:rPr>
      </w:pPr>
      <w:hyperlink r:id="rId7">
        <w:r>
          <w:rPr>
            <w:rStyle w:val="Hyperlink"/>
            <w:rFonts w:ascii="Times New Roman" w:hAnsi="Times New Roman"/>
          </w:rPr>
          <w:t>https://composite-indicators.jrc.ec.europa.eu/social-scoreboard/#</w:t>
        </w:r>
      </w:hyperlink>
    </w:p>
    <w:p w:rsidR="000713B8" w:rsidRDefault="000713B8">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5F" w:rsidRPr="0018465F" w:rsidRDefault="0018465F" w:rsidP="001846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5F" w:rsidRPr="0018465F" w:rsidRDefault="0018465F" w:rsidP="0018465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5F" w:rsidRPr="0018465F" w:rsidRDefault="0018465F" w:rsidP="0018465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B8" w:rsidRDefault="000713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B8" w:rsidRDefault="000713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B8" w:rsidRDefault="000713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3F62"/>
    <w:multiLevelType w:val="hybridMultilevel"/>
    <w:tmpl w:val="993E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E3A69"/>
    <w:multiLevelType w:val="hybridMultilevel"/>
    <w:tmpl w:val="1430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617D6E"/>
    <w:multiLevelType w:val="hybridMultilevel"/>
    <w:tmpl w:val="77FC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914F19"/>
    <w:multiLevelType w:val="hybridMultilevel"/>
    <w:tmpl w:val="72A8139C"/>
    <w:lvl w:ilvl="0" w:tplc="2A126B5A">
      <w:start w:val="1"/>
      <w:numFmt w:val="bullet"/>
      <w:lvlText w:val="‣"/>
      <w:lvlJc w:val="left"/>
      <w:pPr>
        <w:ind w:left="360" w:hanging="360"/>
      </w:pPr>
      <w:rPr>
        <w:rFonts w:ascii="EC Square Sans Pro" w:hAnsi="EC Square Sans Pro" w:hint="default"/>
        <w:color w:val="E2274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7903118"/>
    <w:multiLevelType w:val="hybridMultilevel"/>
    <w:tmpl w:val="302E9DBA"/>
    <w:lvl w:ilvl="0" w:tplc="2A126B5A">
      <w:start w:val="1"/>
      <w:numFmt w:val="bullet"/>
      <w:lvlText w:val="‣"/>
      <w:lvlJc w:val="left"/>
      <w:pPr>
        <w:ind w:left="720" w:hanging="360"/>
      </w:pPr>
      <w:rPr>
        <w:rFonts w:ascii="EC Square Sans Pro" w:hAnsi="EC Square Sans Pro" w:hint="default"/>
        <w:color w:val="E227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89430D"/>
    <w:multiLevelType w:val="hybridMultilevel"/>
    <w:tmpl w:val="1E807D58"/>
    <w:lvl w:ilvl="0" w:tplc="2A126B5A">
      <w:start w:val="1"/>
      <w:numFmt w:val="bullet"/>
      <w:lvlText w:val="‣"/>
      <w:lvlJc w:val="left"/>
      <w:pPr>
        <w:ind w:left="720" w:hanging="360"/>
      </w:pPr>
      <w:rPr>
        <w:rFonts w:ascii="EC Square Sans Pro" w:hAnsi="EC Square Sans Pro" w:hint="default"/>
        <w:color w:val="E22748"/>
      </w:rPr>
    </w:lvl>
    <w:lvl w:ilvl="1" w:tplc="A3FEDCF2">
      <w:numFmt w:val="bullet"/>
      <w:lvlText w:val="-"/>
      <w:lvlJc w:val="left"/>
      <w:pPr>
        <w:ind w:left="1440" w:hanging="360"/>
      </w:pPr>
      <w:rPr>
        <w:rFonts w:ascii="Times New Roman" w:eastAsiaTheme="minorHAnsi" w:hAnsi="Times New Roman"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4A0F60"/>
    <w:multiLevelType w:val="hybridMultilevel"/>
    <w:tmpl w:val="21A04A20"/>
    <w:lvl w:ilvl="0" w:tplc="2A126B5A">
      <w:start w:val="1"/>
      <w:numFmt w:val="bullet"/>
      <w:lvlText w:val="‣"/>
      <w:lvlJc w:val="left"/>
      <w:pPr>
        <w:ind w:left="720" w:hanging="360"/>
      </w:pPr>
      <w:rPr>
        <w:rFonts w:ascii="EC Square Sans Pro" w:hAnsi="EC Square Sans Pro" w:hint="default"/>
        <w:color w:val="E227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8A5E5A"/>
    <w:multiLevelType w:val="hybridMultilevel"/>
    <w:tmpl w:val="C3E840EC"/>
    <w:lvl w:ilvl="0" w:tplc="2A126B5A">
      <w:start w:val="1"/>
      <w:numFmt w:val="bullet"/>
      <w:lvlText w:val="‣"/>
      <w:lvlJc w:val="left"/>
      <w:pPr>
        <w:ind w:left="720" w:hanging="360"/>
      </w:pPr>
      <w:rPr>
        <w:rFonts w:ascii="EC Square Sans Pro" w:hAnsi="EC Square Sans Pro" w:hint="default"/>
        <w:color w:val="E227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0B1E16"/>
    <w:multiLevelType w:val="hybridMultilevel"/>
    <w:tmpl w:val="E428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7D4905"/>
    <w:multiLevelType w:val="hybridMultilevel"/>
    <w:tmpl w:val="00AAF6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992A86"/>
    <w:multiLevelType w:val="hybridMultilevel"/>
    <w:tmpl w:val="16702792"/>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5"/>
  </w:num>
  <w:num w:numId="6">
    <w:abstractNumId w:val="1"/>
  </w:num>
  <w:num w:numId="7">
    <w:abstractNumId w:val="9"/>
  </w:num>
  <w:num w:numId="8">
    <w:abstractNumId w:val="10"/>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A538905-7725-439C-B927-E1A1E745A035"/>
    <w:docVar w:name="LW_COVERPAGE_TYPE" w:val="1"/>
    <w:docVar w:name="LW_CROSSREFERENCE" w:val="{SWD(2018) 67 final}"/>
    <w:docVar w:name="LW_DocType" w:val="NORMAL"/>
    <w:docVar w:name="LW_EMISSION" w:val="13.3.2018"/>
    <w:docVar w:name="LW_EMISSION_ISODATE" w:val="2018-03-13"/>
    <w:docVar w:name="LW_EMISSION_LOCATION" w:val="BRX"/>
    <w:docVar w:name="LW_EMISSION_PREFIX" w:val="Strasbourg, le"/>
    <w:docVar w:name="LW_EMISSION_SUFFIX" w:val="&lt;EMPTY&gt;"/>
    <w:docVar w:name="LW_ID_DOCTYPE_NONLW" w:val="CP-01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ivi de la mise en \u339?uvre du socle européen des droits sociaux"/>
    <w:docVar w:name="LW_TYPE.DOC.CP" w:val="COMMUNICATION DE LA COMMISSION AU PARLEMENT EUROPÉEN, AU CONSEIL ET AU COMITÉ ÉCONOMIQUE ET SOCIAL EUROPÉEN"/>
    <w:docVar w:name="LW_TYPE.DOC.CP.USERTEXT" w:val="&lt;EMPTY&gt;"/>
  </w:docVars>
  <w:rsids>
    <w:rsidRoot w:val="000713B8"/>
    <w:rsid w:val="000713B8"/>
    <w:rsid w:val="001846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ZCom">
    <w:name w:val="Z_Com"/>
    <w:basedOn w:val="Normal"/>
    <w:next w:val="Normal"/>
    <w:uiPriority w:val="99"/>
    <w:pPr>
      <w:widowControl w:val="0"/>
      <w:autoSpaceDE w:val="0"/>
      <w:autoSpaceDN w:val="0"/>
      <w:spacing w:after="0" w:line="240" w:lineRule="auto"/>
      <w:ind w:right="85"/>
      <w:jc w:val="both"/>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ZCom">
    <w:name w:val="Z_Com"/>
    <w:basedOn w:val="Normal"/>
    <w:next w:val="Normal"/>
    <w:uiPriority w:val="99"/>
    <w:pPr>
      <w:widowControl w:val="0"/>
      <w:autoSpaceDE w:val="0"/>
      <w:autoSpaceDN w:val="0"/>
      <w:spacing w:after="0" w:line="240" w:lineRule="auto"/>
      <w:ind w:right="85"/>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109682">
      <w:bodyDiv w:val="1"/>
      <w:marLeft w:val="0"/>
      <w:marRight w:val="0"/>
      <w:marTop w:val="0"/>
      <w:marBottom w:val="0"/>
      <w:divBdr>
        <w:top w:val="none" w:sz="0" w:space="0" w:color="auto"/>
        <w:left w:val="none" w:sz="0" w:space="0" w:color="auto"/>
        <w:bottom w:val="none" w:sz="0" w:space="0" w:color="auto"/>
        <w:right w:val="none" w:sz="0" w:space="0" w:color="auto"/>
      </w:divBdr>
    </w:div>
    <w:div w:id="609121662">
      <w:bodyDiv w:val="1"/>
      <w:marLeft w:val="0"/>
      <w:marRight w:val="0"/>
      <w:marTop w:val="0"/>
      <w:marBottom w:val="0"/>
      <w:divBdr>
        <w:top w:val="none" w:sz="0" w:space="0" w:color="auto"/>
        <w:left w:val="none" w:sz="0" w:space="0" w:color="auto"/>
        <w:bottom w:val="none" w:sz="0" w:space="0" w:color="auto"/>
        <w:right w:val="none" w:sz="0" w:space="0" w:color="auto"/>
      </w:divBdr>
    </w:div>
    <w:div w:id="1059980000">
      <w:bodyDiv w:val="1"/>
      <w:marLeft w:val="0"/>
      <w:marRight w:val="0"/>
      <w:marTop w:val="0"/>
      <w:marBottom w:val="0"/>
      <w:divBdr>
        <w:top w:val="none" w:sz="0" w:space="0" w:color="auto"/>
        <w:left w:val="none" w:sz="0" w:space="0" w:color="auto"/>
        <w:bottom w:val="none" w:sz="0" w:space="0" w:color="auto"/>
        <w:right w:val="none" w:sz="0" w:space="0" w:color="auto"/>
      </w:divBdr>
    </w:div>
    <w:div w:id="13564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sites/betapolitical/files/social_dimension_of_europe_overview_of_initiatives_en.pdf" TargetMode="External"/><Relationship Id="rId7" Type="http://schemas.openxmlformats.org/officeDocument/2006/relationships/hyperlink" Target="https://composite-indicators.jrc.ec.europa.eu/social-scoreboard/" TargetMode="External"/><Relationship Id="rId2" Type="http://schemas.openxmlformats.org/officeDocument/2006/relationships/hyperlink" Target="http://www.socialsummit17.se/" TargetMode="External"/><Relationship Id="rId1" Type="http://schemas.openxmlformats.org/officeDocument/2006/relationships/hyperlink" Target="https://ec.europa.eu/commission/priorities/deeper-and-fairer-economic-and-monetary-union/european-pillar-social-rights/european-pillar-social-rights-20-principles_fr" TargetMode="External"/><Relationship Id="rId6" Type="http://schemas.openxmlformats.org/officeDocument/2006/relationships/hyperlink" Target="http://ec.europa.eu/social/main.jsp?catId=738&amp;langId=fr&amp;pubId=8063" TargetMode="External"/><Relationship Id="rId5" Type="http://schemas.openxmlformats.org/officeDocument/2006/relationships/hyperlink" Target="https://ec.europa.eu/info/business-economy-euro/economic-performance-and-forecasts/economic-forecasts/winter-2018-economic-forecast_en" TargetMode="External"/><Relationship Id="rId4" Type="http://schemas.openxmlformats.org/officeDocument/2006/relationships/hyperlink" Target="https://ec.europa.eu/commission/publications/five-presidents-report-completing-europes-economic-and-monetary-union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F8E6-1AA5-4DD9-811E-135A3D13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4861</Words>
  <Characters>26687</Characters>
  <Application>Microsoft Office Word</Application>
  <DocSecurity>0</DocSecurity>
  <Lines>410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2018-03-12T11:54:00Z</dcterms:created>
  <dcterms:modified xsi:type="dcterms:W3CDTF">2018-03-12T17:15:00Z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