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AB" w:rsidRDefault="00DE59E8" w:rsidP="00DE59E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0778DE6-89AA-4780-B1AD-323960068B28" style="width:450.15pt;height:539.7pt">
            <v:imagedata r:id="rId12" o:title=""/>
          </v:shape>
        </w:pict>
      </w:r>
    </w:p>
    <w:bookmarkEnd w:id="0"/>
    <w:p w:rsidR="00F642AB" w:rsidRDefault="00F642AB">
      <w:pPr>
        <w:rPr>
          <w:noProof/>
        </w:rPr>
        <w:sectPr w:rsidR="00F642AB" w:rsidSect="00DE59E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642AB" w:rsidRDefault="00F642AB">
      <w:pPr>
        <w:rPr>
          <w:noProof/>
        </w:rPr>
      </w:pPr>
      <w:bookmarkStart w:id="1" w:name="_GoBack"/>
      <w:bookmarkEnd w:id="1"/>
    </w:p>
    <w:tbl>
      <w:tblPr>
        <w:tblStyle w:val="TableGrid"/>
        <w:tblW w:w="10188" w:type="dxa"/>
        <w:tblInd w:w="-459" w:type="dxa"/>
        <w:tblLook w:val="01E0" w:firstRow="1" w:lastRow="1" w:firstColumn="1" w:lastColumn="1" w:noHBand="0" w:noVBand="0"/>
      </w:tblPr>
      <w:tblGrid>
        <w:gridCol w:w="10188"/>
      </w:tblGrid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F642AB" w:rsidRDefault="00214B1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 w:rsidR="00F642AB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F642AB" w:rsidRDefault="00214B12">
            <w:pPr>
              <w:spacing w:before="120" w:after="120"/>
              <w:jc w:val="both"/>
              <w:rPr>
                <w:rFonts w:ascii="Tahoma" w:hAnsi="Tahoma" w:cs="Tahoma"/>
                <w:noProof/>
                <w:color w:val="EBE9EA" w:themeColor="background1"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EBE9EA" w:themeColor="background1"/>
                <w:sz w:val="20"/>
              </w:rPr>
              <w:t xml:space="preserve">Оценка на въздействието във връзка с инициативата за намаляване на пречките пред трансграничното разпространение на инвестиционни фондове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F642AB" w:rsidRDefault="00214B1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F642AB" w:rsidRDefault="00214B1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F642AB">
            <w:pPr>
              <w:jc w:val="both"/>
              <w:rPr>
                <w:noProof/>
              </w:rPr>
            </w:pPr>
          </w:p>
          <w:p w:rsidR="00F642AB" w:rsidRDefault="00214B12"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С оглед създаването на единен пазар на инвестиционни фондове европейското законодателство позволява на управителите на активи да използват паспортен режим, когато предлагат своите </w:t>
            </w:r>
            <w:r>
              <w:rPr>
                <w:rFonts w:ascii="Arial" w:hAnsi="Arial"/>
                <w:noProof/>
                <w:sz w:val="20"/>
              </w:rPr>
              <w:t>инвестиционни фондове в рамките на ЕС. Трансграничното разпространение на инвестиционни фондове от ЕС расте, но въпреки това пазарите, на които тези фондове се предлагат в ЕС, продължават да са организирани предимно на национално равнище: 70 % от всички уп</w:t>
            </w:r>
            <w:r>
              <w:rPr>
                <w:rFonts w:ascii="Arial" w:hAnsi="Arial"/>
                <w:noProof/>
                <w:sz w:val="20"/>
              </w:rPr>
              <w:t>равлявани активи са в инвестиционни фондове, регистрирани за продажба само на вътрешния им пазар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1"/>
            </w:r>
            <w:r>
              <w:rPr>
                <w:rFonts w:ascii="Arial" w:hAnsi="Arial"/>
                <w:noProof/>
                <w:sz w:val="20"/>
              </w:rPr>
              <w:t xml:space="preserve">. Едва 37 % от ПКИПЦК и около 3 % от АИФ са регистрирани за продажба в повече от три държави членки. </w:t>
            </w:r>
          </w:p>
          <w:p w:rsidR="00F642AB" w:rsidRDefault="00214B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Освен това, въпреки че пазарът на ЕС е по-малък от този </w:t>
            </w:r>
            <w:r>
              <w:rPr>
                <w:rFonts w:ascii="Arial" w:hAnsi="Arial"/>
                <w:noProof/>
                <w:sz w:val="20"/>
              </w:rPr>
              <w:t>на САЩ, в ЕС има значително повече фондове, което означава, че средният размер на фондовете в ЕС е значително по-малък. Това влияе неблагоприятно върху икономиите от мащаба, които могат да бъдат реализирани от управителите на активи в ЕС, както и върху пла</w:t>
            </w:r>
            <w:r>
              <w:rPr>
                <w:rFonts w:ascii="Arial" w:hAnsi="Arial"/>
                <w:noProof/>
                <w:sz w:val="20"/>
              </w:rPr>
              <w:t>щаните от инвеститорите такси. Оценката показа, че регулаторните пречки представляват сериозен фактор, възпиращ трансграничното разпространение. Тези пречки обхващат националните изисквания по отношение на предлагането, регулаторните такси, административни</w:t>
            </w:r>
            <w:r>
              <w:rPr>
                <w:rFonts w:ascii="Arial" w:hAnsi="Arial"/>
                <w:noProof/>
                <w:sz w:val="20"/>
              </w:rPr>
              <w:t>те изисквания и изискванията за уведомяване.</w:t>
            </w:r>
          </w:p>
          <w:p w:rsidR="00F642AB" w:rsidRDefault="00F642A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214B1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има за цел да намали регулаторните пречки пред трансграничното разпространение чрез премахване на обременяващите изисквания и ненужнат</w:t>
            </w:r>
            <w:r>
              <w:rPr>
                <w:rFonts w:ascii="Arial" w:hAnsi="Arial"/>
                <w:noProof/>
                <w:sz w:val="20"/>
              </w:rPr>
              <w:t xml:space="preserve">а сложност и подобряване на прозрачността на националните изисквания, като в същото време се гарантира защитата на инвеститорите. </w:t>
            </w:r>
          </w:p>
          <w:p w:rsidR="00F642AB" w:rsidRDefault="00214B12">
            <w:pPr>
              <w:pStyle w:val="ListBullet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rFonts w:ascii="Arial" w:hAnsi="Arial"/>
                <w:noProof/>
                <w:sz w:val="20"/>
              </w:rPr>
              <w:t>Премахването на недостатъците във функционирането на единния пазар на инвестиционни фондове следва да намали разходите за тра</w:t>
            </w:r>
            <w:r>
              <w:rPr>
                <w:rFonts w:ascii="Arial" w:hAnsi="Arial"/>
                <w:noProof/>
                <w:sz w:val="20"/>
              </w:rPr>
              <w:t>нсгранично разпространение. По този начин ще се ускори растежът на трансграничното разпространение в ЕС, намали разпокъсаността на пазара, повиши конкуренцията и в крайна сметка ще бъдат осигурени повече инвестиционни възможности на инвеститорите в ЕС.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</w:t>
            </w:r>
            <w:r>
              <w:rPr>
                <w:rFonts w:ascii="Tahoma" w:hAnsi="Tahoma"/>
                <w:b/>
                <w:noProof/>
                <w:sz w:val="20"/>
              </w:rPr>
              <w:t>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214B12">
            <w:pPr>
              <w:pStyle w:val="ListDash1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rFonts w:ascii="Arial" w:hAnsi="Arial"/>
                <w:noProof/>
                <w:sz w:val="20"/>
              </w:rPr>
              <w:t xml:space="preserve">Изпълнението на национално равнище на директивите относно ПКИПЦК и ЛУАИФ доведе до различно тълкуване на правилата, приложими съгласно тези две директиви за използването на паспортния режим при </w:t>
            </w:r>
            <w:r>
              <w:rPr>
                <w:rFonts w:ascii="Arial" w:hAnsi="Arial"/>
                <w:noProof/>
                <w:sz w:val="20"/>
              </w:rPr>
              <w:t>предлагането на ценни книжа. Въпреки че държавите членки имат възможност да отстранят този проблем чрез (доброволно) изменение на националното законодателство или практики, уеднаквяването и правната сигурност във връзка с използването на паспортния режим м</w:t>
            </w:r>
            <w:r>
              <w:rPr>
                <w:rFonts w:ascii="Arial" w:hAnsi="Arial"/>
                <w:noProof/>
                <w:sz w:val="20"/>
              </w:rPr>
              <w:t>оже да бъде по-добре осигурено чрез предприемане на действия на равнище ЕС.  Предишните усилия за сближаване на националните (надзорни) практики в тази област чрез ЕОЦКП не доведоха до справяне с установения проблем. Поради тази причина оставащите пречки п</w:t>
            </w:r>
            <w:r>
              <w:rPr>
                <w:rFonts w:ascii="Arial" w:hAnsi="Arial"/>
                <w:noProof/>
                <w:sz w:val="20"/>
              </w:rPr>
              <w:t>ред трансграничното разпространение на инвестиционни фондове в ЕС могат да бъдат най-ефикасно премахнати на равнище ЕС.</w:t>
            </w:r>
          </w:p>
        </w:tc>
      </w:tr>
    </w:tbl>
    <w:p w:rsidR="00F642AB" w:rsidRDefault="00F642AB">
      <w:pPr>
        <w:rPr>
          <w:noProof/>
        </w:rPr>
      </w:pPr>
    </w:p>
    <w:tbl>
      <w:tblPr>
        <w:tblStyle w:val="TableGrid"/>
        <w:tblW w:w="10188" w:type="dxa"/>
        <w:tblInd w:w="-459" w:type="dxa"/>
        <w:tblLook w:val="01E0" w:firstRow="1" w:lastRow="1" w:firstColumn="1" w:lastColumn="1" w:noHBand="0" w:noVBand="0"/>
      </w:tblPr>
      <w:tblGrid>
        <w:gridCol w:w="10188"/>
      </w:tblGrid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F642AB" w:rsidRDefault="00214B1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F642A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F642AB" w:rsidRDefault="00214B12"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Разгледани бяха варианти на политика, които имат за цел преодоляване на ненужната сложност и правната несигурност на съществуващите правила за трансгранично разпространение на фондове, повишаване на прозрачността на тези правила и гарантиране на защитата н</w:t>
            </w:r>
            <w:r>
              <w:rPr>
                <w:rFonts w:ascii="Arial" w:hAnsi="Arial"/>
                <w:noProof/>
                <w:sz w:val="20"/>
              </w:rPr>
              <w:t xml:space="preserve">а инвеститорите. Предвид </w:t>
            </w:r>
            <w:r>
              <w:rPr>
                <w:rFonts w:ascii="Arial" w:hAnsi="Arial"/>
                <w:noProof/>
                <w:sz w:val="20"/>
              </w:rPr>
              <w:lastRenderedPageBreak/>
              <w:t xml:space="preserve">техническия и подробен характер на съответната нормативна уредба бяха изготвени конкретни варианти на политика за всеки фактор, стоящ в основата на проблема. Разгледани бяха както законодателни, така и незаконодателни варианти. За </w:t>
            </w:r>
            <w:r>
              <w:rPr>
                <w:rFonts w:ascii="Arial" w:hAnsi="Arial"/>
                <w:noProof/>
                <w:sz w:val="20"/>
              </w:rPr>
              <w:t>някои фактори бе предпочетен вариант за повишаване на прозрачността на национално и/или европейско равнище, докато за други като най-добро решение бе посочена по-голямата хармонизация. Бяха избрани следните варианти на политиката:</w:t>
            </w:r>
          </w:p>
          <w:p w:rsidR="00F642AB" w:rsidRDefault="00214B12">
            <w:pPr>
              <w:pStyle w:val="ListParagraph"/>
              <w:numPr>
                <w:ilvl w:val="0"/>
                <w:numId w:val="9"/>
              </w:numPr>
              <w:spacing w:after="120"/>
              <w:ind w:left="284" w:hanging="28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Що се отнася до липсата н</w:t>
            </w:r>
            <w:r>
              <w:rPr>
                <w:rFonts w:ascii="Arial" w:hAnsi="Arial"/>
                <w:noProof/>
                <w:sz w:val="20"/>
              </w:rPr>
              <w:t>а прозрачност по отношение на националните изисквания, да се повиши прозрачността на национално равнище и на равнище ЕС по отношение на националните изисквания за пазарното предлагане и регулаторните такси.</w:t>
            </w:r>
          </w:p>
          <w:p w:rsidR="00F642AB" w:rsidRDefault="00214B12">
            <w:pPr>
              <w:pStyle w:val="ListParagraph"/>
              <w:numPr>
                <w:ilvl w:val="0"/>
                <w:numId w:val="9"/>
              </w:numPr>
              <w:spacing w:after="120"/>
              <w:ind w:left="284" w:hanging="28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Що се отнася до различните национални изисквания </w:t>
            </w:r>
            <w:r>
              <w:rPr>
                <w:rFonts w:ascii="Arial" w:hAnsi="Arial"/>
                <w:noProof/>
                <w:sz w:val="20"/>
              </w:rPr>
              <w:t>за пазарното предлагане, да се въведе хармонизирано определение за предварително предлагане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2"/>
            </w:r>
            <w:r>
              <w:rPr>
                <w:rFonts w:ascii="Arial" w:hAnsi="Arial"/>
                <w:noProof/>
                <w:sz w:val="20"/>
              </w:rPr>
              <w:t xml:space="preserve">, а процесът на проверка на маркетинговите документи да се формулира по-ясно. </w:t>
            </w:r>
          </w:p>
          <w:p w:rsidR="00F642AB" w:rsidRDefault="00214B12">
            <w:pPr>
              <w:pStyle w:val="ListParagraph"/>
              <w:numPr>
                <w:ilvl w:val="0"/>
                <w:numId w:val="9"/>
              </w:numPr>
              <w:spacing w:after="120"/>
              <w:ind w:left="284" w:hanging="28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Що се отнася до различните регулаторни такси, да се въведат основни принципи за пости</w:t>
            </w:r>
            <w:r>
              <w:rPr>
                <w:rFonts w:ascii="Arial" w:hAnsi="Arial"/>
                <w:noProof/>
                <w:sz w:val="20"/>
              </w:rPr>
              <w:t>гане на по-голяма съгласуваност при определянето на регулаторните такси.</w:t>
            </w:r>
          </w:p>
          <w:p w:rsidR="00F642AB" w:rsidRDefault="00214B12">
            <w:pPr>
              <w:pStyle w:val="ListParagraph"/>
              <w:numPr>
                <w:ilvl w:val="0"/>
                <w:numId w:val="9"/>
              </w:numPr>
              <w:spacing w:after="120"/>
              <w:ind w:left="284" w:hanging="28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Що се отнася до административните изисквания, механизмите в подкрепа на местните инвеститори (чрез местно присъствие или по електронен път) следва да се избират от управителите на акт</w:t>
            </w:r>
            <w:r>
              <w:rPr>
                <w:rFonts w:ascii="Arial" w:hAnsi="Arial"/>
                <w:noProof/>
                <w:sz w:val="20"/>
              </w:rPr>
              <w:t>иви, като се гарантира защитата на инвеститорите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3"/>
            </w:r>
            <w:r>
              <w:rPr>
                <w:rFonts w:ascii="Arial" w:hAnsi="Arial"/>
                <w:noProof/>
                <w:sz w:val="20"/>
              </w:rPr>
              <w:t>.</w:t>
            </w:r>
          </w:p>
          <w:p w:rsidR="00F642AB" w:rsidRDefault="00214B12">
            <w:pPr>
              <w:pStyle w:val="ListParagraph"/>
              <w:numPr>
                <w:ilvl w:val="0"/>
                <w:numId w:val="9"/>
              </w:numPr>
              <w:spacing w:after="120"/>
              <w:ind w:left="284" w:hanging="284"/>
              <w:rPr>
                <w:noProof/>
              </w:rPr>
            </w:pPr>
            <w:r>
              <w:rPr>
                <w:rFonts w:ascii="Arial" w:hAnsi="Arial"/>
                <w:noProof/>
                <w:sz w:val="20"/>
              </w:rPr>
              <w:t>Що се отнася до изискванията за уведомяване, да се въведе допълнителна хармонизация на процедурите и изискванията за актуализиране на уведомленията и отмяна на уведомлението за използване на паспорт за пре</w:t>
            </w:r>
            <w:r>
              <w:rPr>
                <w:rFonts w:ascii="Arial" w:hAnsi="Arial"/>
                <w:noProof/>
                <w:sz w:val="20"/>
              </w:rPr>
              <w:t xml:space="preserve">длагане на ценни книжа. </w:t>
            </w:r>
          </w:p>
        </w:tc>
      </w:tr>
      <w:tr w:rsidR="00F642AB">
        <w:tc>
          <w:tcPr>
            <w:tcW w:w="10188" w:type="dxa"/>
            <w:shd w:val="clear" w:color="auto" w:fill="CCCCCC"/>
          </w:tcPr>
          <w:p w:rsidR="00F642AB" w:rsidRDefault="00214B12"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lastRenderedPageBreak/>
              <w:t>Кой подкрепя отделните варианти?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</w:tr>
      <w:tr w:rsidR="00F642AB">
        <w:tc>
          <w:tcPr>
            <w:tcW w:w="10188" w:type="dxa"/>
            <w:shd w:val="clear" w:color="auto" w:fill="auto"/>
          </w:tcPr>
          <w:p w:rsidR="00F642AB" w:rsidRDefault="00214B12">
            <w:pPr>
              <w:pStyle w:val="ListDash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Управителите на активи изказаха категорична подкрепа за намаляване на регулаторните пречки. Те обаче са разделени по въпроса дали това може да се постигне най-добре чрез законодателни или </w:t>
            </w:r>
            <w:r>
              <w:rPr>
                <w:rFonts w:ascii="Arial" w:hAnsi="Arial"/>
                <w:noProof/>
                <w:sz w:val="20"/>
              </w:rPr>
              <w:t>незаконодателни действия. Асоциациите на инвеститорите също подкрепиха премахването на регулаторните пречки и увеличаването на възможностите за избор на инвеститорите, при условие обаче че е гарантирана защитата на инвеститорите. Националните компетентни о</w:t>
            </w:r>
            <w:r>
              <w:rPr>
                <w:rFonts w:ascii="Arial" w:hAnsi="Arial"/>
                <w:noProof/>
                <w:sz w:val="20"/>
              </w:rPr>
              <w:t>ргани и държавите членки също подкрепят намаляването на регулаторните пречки пред трансграничното разпространение на инвестиционни фондове. Повечето компетентни органи все пак биха предпочели незаконодателни мерки. Освен това те подчертаха колко е важно да</w:t>
            </w:r>
            <w:r>
              <w:rPr>
                <w:rFonts w:ascii="Arial" w:hAnsi="Arial"/>
                <w:noProof/>
                <w:sz w:val="20"/>
              </w:rPr>
              <w:t xml:space="preserve"> запазят способността си да гарантират защитата на инвеститорите, включително в юрисдикциите на приемащите държави.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F642AB" w:rsidRDefault="00214B1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предпочетения вариант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предпочетения вариант (ако има такъв; в противен случай — от основните вариант</w:t>
            </w:r>
            <w:r>
              <w:rPr>
                <w:rFonts w:ascii="Tahoma" w:hAnsi="Tahoma"/>
                <w:b/>
                <w:noProof/>
                <w:sz w:val="20"/>
              </w:rPr>
              <w:t>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214B12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Предпочетените варианти ще доведат до осезаеми ползи както за управителите на активи, така и и инвеститорите:</w:t>
            </w:r>
          </w:p>
          <w:p w:rsidR="00F642AB" w:rsidRDefault="00214B12">
            <w:pPr>
              <w:pStyle w:val="ListParagraph"/>
              <w:numPr>
                <w:ilvl w:val="0"/>
                <w:numId w:val="10"/>
              </w:numPr>
              <w:spacing w:after="120"/>
              <w:ind w:left="284" w:hanging="28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Предпочетените варианти ще намалят значително разходите за постигане на съответствие, като хармонизират допълнително и увеличават степента </w:t>
            </w:r>
            <w:r>
              <w:rPr>
                <w:rFonts w:ascii="Arial" w:hAnsi="Arial"/>
                <w:noProof/>
                <w:sz w:val="20"/>
              </w:rPr>
              <w:t>на прозрачност на националните изисквания. Предпочетените варианти се очаква да спестят на съществуващите трансгранични фондове разходи в размер на поне 306 милиона евро годишно. Освен това може да се очаква, че все повече управители на активи ще предпочет</w:t>
            </w:r>
            <w:r>
              <w:rPr>
                <w:rFonts w:ascii="Arial" w:hAnsi="Arial"/>
                <w:noProof/>
                <w:sz w:val="20"/>
              </w:rPr>
              <w:t>ат да разпространяват своите фондове през граница или да увеличат трансграничните си дейности.</w:t>
            </w:r>
          </w:p>
          <w:p w:rsidR="00F642AB" w:rsidRDefault="00214B12">
            <w:pPr>
              <w:pStyle w:val="ListParagraph"/>
              <w:numPr>
                <w:ilvl w:val="0"/>
                <w:numId w:val="10"/>
              </w:numPr>
              <w:spacing w:after="120"/>
              <w:ind w:left="284" w:hanging="284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Предпочетените варианти гарантират защитата на инвеститорите и в крайна сметка ще осигурят повече инвестиционни възможности. Това ще бъде от полза най-вече за ин</w:t>
            </w:r>
            <w:r>
              <w:rPr>
                <w:rFonts w:ascii="Arial" w:hAnsi="Arial"/>
                <w:noProof/>
                <w:sz w:val="20"/>
              </w:rPr>
              <w:t xml:space="preserve">веститорите от държави членки, на чиито пазари понастоящем изборът е ограничен и преобладават предимно национални продукти.  </w:t>
            </w:r>
          </w:p>
        </w:tc>
      </w:tr>
    </w:tbl>
    <w:p w:rsidR="00F642AB" w:rsidRDefault="00F642AB">
      <w:pPr>
        <w:widowControl w:val="0"/>
        <w:rPr>
          <w:noProof/>
        </w:rPr>
      </w:pPr>
    </w:p>
    <w:tbl>
      <w:tblPr>
        <w:tblStyle w:val="TableGrid"/>
        <w:tblW w:w="10188" w:type="dxa"/>
        <w:tblInd w:w="-459" w:type="dxa"/>
        <w:tblLook w:val="01E0" w:firstRow="1" w:lastRow="1" w:firstColumn="1" w:lastColumn="1" w:noHBand="0" w:noVBand="0"/>
      </w:tblPr>
      <w:tblGrid>
        <w:gridCol w:w="10188"/>
      </w:tblGrid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предпочетения вариант (ако има такъв,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F642AB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highlight w:val="yellow"/>
              </w:rPr>
            </w:pPr>
          </w:p>
          <w:p w:rsidR="00F642AB" w:rsidRDefault="00214B12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Предпочетените </w:t>
            </w:r>
            <w:r>
              <w:rPr>
                <w:rFonts w:ascii="Arial" w:hAnsi="Arial"/>
                <w:noProof/>
                <w:sz w:val="20"/>
              </w:rPr>
              <w:t>варианти не биха оказали значително отрицателно икономическо, социално или екологично въздействие. Предпочетените варианти са свързани с ограничени разходи по изпълнението им. Тези разходи засягат националните компетентни органи и ЕОЦКП. Например, на ЕОЦКП</w:t>
            </w:r>
            <w:r>
              <w:rPr>
                <w:rFonts w:ascii="Arial" w:hAnsi="Arial"/>
                <w:noProof/>
                <w:sz w:val="20"/>
              </w:rPr>
              <w:t xml:space="preserve"> ще бъде възложено да създаде база данни за трансграничните уведомления и калкулатор за регулаторните такси. Националните компетентни органи и ЕОЦКП обаче ще извлекат ползи от тази база данни, тъй като тя ще им позволи да анализират по-задълбочено трансгра</w:t>
            </w:r>
            <w:r>
              <w:rPr>
                <w:rFonts w:ascii="Arial" w:hAnsi="Arial"/>
                <w:noProof/>
                <w:sz w:val="20"/>
              </w:rPr>
              <w:t>ничното разпространение на инвестиционни фондове.</w:t>
            </w:r>
          </w:p>
          <w:p w:rsidR="00F642AB" w:rsidRDefault="00F642AB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214B12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Намаляването на регулаторните пречки ще намали разходите за трансграничното разпространение на инвестиционни фондове. Това намаляване </w:t>
            </w:r>
            <w:r>
              <w:rPr>
                <w:rFonts w:ascii="Arial" w:hAnsi="Arial"/>
                <w:noProof/>
                <w:sz w:val="20"/>
              </w:rPr>
              <w:t xml:space="preserve">на разходите ще бъде от полза най-вече за управителите на малки фондове, тъй като свързаните с регулаторните пречки разходи имат по-голямо въздействие върху тях. </w:t>
            </w:r>
          </w:p>
          <w:p w:rsidR="00F642AB" w:rsidRDefault="00214B12">
            <w:pPr>
              <w:spacing w:after="12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Въпреки че предложените варианти на политиката няма да имат пряко въздействие върху малките и</w:t>
            </w:r>
            <w:r>
              <w:rPr>
                <w:rFonts w:ascii="Arial" w:hAnsi="Arial"/>
                <w:noProof/>
                <w:sz w:val="20"/>
              </w:rPr>
              <w:t xml:space="preserve"> средните предприятия (МСП), последните ще извлекат косвени ползи от инициативата, тъй като по-голямото трансгранично разпространение на инвестиционни фондове ще увеличи възможностите за финансиране на МСП, предлагани от тези инвестиционни фондове, конкрет</w:t>
            </w:r>
            <w:r>
              <w:rPr>
                <w:rFonts w:ascii="Arial" w:hAnsi="Arial"/>
                <w:noProof/>
                <w:sz w:val="20"/>
              </w:rPr>
              <w:t xml:space="preserve">но от фондовете за рисков капитал. 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 националните бюджети и администрации?</w:t>
            </w:r>
          </w:p>
        </w:tc>
      </w:tr>
      <w:tr w:rsidR="00F642AB">
        <w:tc>
          <w:tcPr>
            <w:tcW w:w="10188" w:type="dxa"/>
            <w:shd w:val="clear" w:color="auto" w:fill="auto"/>
          </w:tcPr>
          <w:p w:rsidR="00F642AB" w:rsidRDefault="00214B12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Разходите по прилагане на национално равнище ще бъдат незначителни. </w:t>
            </w:r>
          </w:p>
          <w:p w:rsidR="00F642AB" w:rsidRDefault="00F642A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F642A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F642AB" w:rsidRDefault="00214B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Няма други значителни въздействия. </w:t>
            </w:r>
          </w:p>
          <w:p w:rsidR="00F642AB" w:rsidRDefault="00F642A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F642AB" w:rsidRDefault="00214B1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F642AB" w:rsidRDefault="00214B1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 w:rsidR="00F642AB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F642AB" w:rsidRDefault="00214B12">
            <w:pPr>
              <w:rPr>
                <w:noProof/>
              </w:rPr>
            </w:pPr>
            <w:r>
              <w:rPr>
                <w:rFonts w:ascii="Arial" w:hAnsi="Arial"/>
                <w:noProof/>
                <w:sz w:val="20"/>
              </w:rPr>
              <w:t>Не по-рано от пет години след датата на транспониране на директивите, които са част от настоящата законодателна инициатива (директивите относно ПКИПЦК</w:t>
            </w:r>
            <w:r>
              <w:rPr>
                <w:rFonts w:ascii="Arial" w:hAnsi="Arial"/>
                <w:noProof/>
                <w:sz w:val="20"/>
              </w:rPr>
              <w:t xml:space="preserve"> и ЛУАИФ), Комисията ще извърши оценка на прилагането на директивата и регламента. За целта Комисията ще използва обществени консултации и разисквания с ЕОЦКП и компетентните органи.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20"/>
              </w:rPr>
              <w:t>Оценката ще бъде извършена в съответствие с насоките на Комисията за по-д</w:t>
            </w:r>
            <w:r>
              <w:rPr>
                <w:rFonts w:ascii="Arial" w:hAnsi="Arial"/>
                <w:noProof/>
                <w:sz w:val="20"/>
              </w:rPr>
              <w:t>обро регулиране.</w:t>
            </w:r>
            <w:r>
              <w:rPr>
                <w:noProof/>
              </w:rPr>
              <w:t xml:space="preserve"> </w:t>
            </w:r>
          </w:p>
          <w:p w:rsidR="00F642AB" w:rsidRDefault="00F642AB">
            <w:pPr>
              <w:spacing w:before="120" w:after="12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:rsidR="00F642AB" w:rsidRDefault="00F642AB">
      <w:pPr>
        <w:rPr>
          <w:noProof/>
        </w:rPr>
      </w:pPr>
    </w:p>
    <w:sectPr w:rsidR="00F642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AB" w:rsidRDefault="00214B12">
      <w:r>
        <w:separator/>
      </w:r>
    </w:p>
  </w:endnote>
  <w:endnote w:type="continuationSeparator" w:id="0">
    <w:p w:rsidR="00F642AB" w:rsidRDefault="0021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E8" w:rsidRPr="00DE59E8" w:rsidRDefault="00DE59E8" w:rsidP="00DE5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E8" w:rsidRPr="00DE59E8" w:rsidRDefault="00DE59E8" w:rsidP="00DE59E8">
    <w:pPr>
      <w:pStyle w:val="FooterCoverPage"/>
      <w:rPr>
        <w:rFonts w:ascii="Arial" w:hAnsi="Arial" w:cs="Arial"/>
        <w:b/>
        <w:sz w:val="48"/>
      </w:rPr>
    </w:pPr>
    <w:r w:rsidRPr="00DE59E8">
      <w:rPr>
        <w:rFonts w:ascii="Arial" w:hAnsi="Arial" w:cs="Arial"/>
        <w:b/>
        <w:sz w:val="48"/>
      </w:rPr>
      <w:t>BG</w:t>
    </w:r>
    <w:r w:rsidRPr="00DE59E8">
      <w:rPr>
        <w:rFonts w:ascii="Arial" w:hAnsi="Arial" w:cs="Arial"/>
        <w:b/>
        <w:sz w:val="48"/>
      </w:rPr>
      <w:tab/>
    </w:r>
    <w:r w:rsidRPr="00DE59E8">
      <w:rPr>
        <w:rFonts w:ascii="Arial" w:hAnsi="Arial" w:cs="Arial"/>
        <w:b/>
        <w:sz w:val="48"/>
      </w:rPr>
      <w:tab/>
    </w:r>
    <w:r w:rsidRPr="00DE59E8">
      <w:tab/>
    </w:r>
    <w:r w:rsidRPr="00DE59E8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E8" w:rsidRPr="00DE59E8" w:rsidRDefault="00DE59E8" w:rsidP="00DE59E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B" w:rsidRDefault="00F642A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2AB" w:rsidRDefault="00214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B" w:rsidRDefault="00F64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AB" w:rsidRDefault="00214B12">
      <w:r>
        <w:separator/>
      </w:r>
    </w:p>
  </w:footnote>
  <w:footnote w:type="continuationSeparator" w:id="0">
    <w:p w:rsidR="00F642AB" w:rsidRDefault="00214B12">
      <w:r>
        <w:continuationSeparator/>
      </w:r>
    </w:p>
  </w:footnote>
  <w:footnote w:id="1">
    <w:p w:rsidR="00F642AB" w:rsidRDefault="00214B12">
      <w:pPr>
        <w:pStyle w:val="FootnoteText"/>
      </w:pPr>
      <w:r>
        <w:rPr>
          <w:rStyle w:val="FootnoteReference"/>
        </w:rPr>
        <w:footnoteRef/>
      </w:r>
      <w:r>
        <w:t xml:space="preserve"> Тук спадат случаите, в които управител на фонд установява фонд в друга държава членка, след което го предлага само на пазара, където е установен (т нар „round-tripping“).</w:t>
      </w:r>
    </w:p>
  </w:footnote>
  <w:footnote w:id="2">
    <w:p w:rsidR="00F642AB" w:rsidRDefault="00214B12">
      <w:pPr>
        <w:pStyle w:val="FootnoteText"/>
      </w:pPr>
      <w:r>
        <w:rPr>
          <w:rStyle w:val="FootnoteReference"/>
        </w:rPr>
        <w:footnoteRef/>
      </w:r>
      <w:r>
        <w:t xml:space="preserve"> Това се отнася само до Директивата за ЛУАИФ.</w:t>
      </w:r>
    </w:p>
  </w:footnote>
  <w:footnote w:id="3">
    <w:p w:rsidR="00F642AB" w:rsidRDefault="00214B12">
      <w:pPr>
        <w:pStyle w:val="FootnoteText"/>
      </w:pPr>
      <w:r>
        <w:rPr>
          <w:rStyle w:val="FootnoteReference"/>
        </w:rPr>
        <w:footnoteRef/>
      </w:r>
      <w:r>
        <w:t xml:space="preserve"> Това се отнася само до Директивата за ПКИПЦК.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E8" w:rsidRPr="00DE59E8" w:rsidRDefault="00DE59E8" w:rsidP="00DE5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E8" w:rsidRPr="00DE59E8" w:rsidRDefault="00DE59E8" w:rsidP="00DE59E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E8" w:rsidRPr="00DE59E8" w:rsidRDefault="00DE59E8" w:rsidP="00DE59E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B" w:rsidRDefault="00F642A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B" w:rsidRDefault="00F642A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B" w:rsidRDefault="00F642AB"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FF4"/>
    <w:multiLevelType w:val="hybridMultilevel"/>
    <w:tmpl w:val="2610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B29"/>
    <w:multiLevelType w:val="hybridMultilevel"/>
    <w:tmpl w:val="708893C6"/>
    <w:lvl w:ilvl="0" w:tplc="B184A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83A61"/>
    <w:multiLevelType w:val="hybridMultilevel"/>
    <w:tmpl w:val="A53EB6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11566"/>
    <w:multiLevelType w:val="hybridMultilevel"/>
    <w:tmpl w:val="7602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96EE4"/>
    <w:multiLevelType w:val="hybridMultilevel"/>
    <w:tmpl w:val="051A2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256999"/>
    <w:multiLevelType w:val="hybridMultilevel"/>
    <w:tmpl w:val="A1A0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B7901"/>
    <w:multiLevelType w:val="hybridMultilevel"/>
    <w:tmpl w:val="EBD4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8042C"/>
    <w:multiLevelType w:val="singleLevel"/>
    <w:tmpl w:val="CCF20C06"/>
    <w:name w:val="0.7464259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8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9">
    <w:nsid w:val="7AD33DC8"/>
    <w:multiLevelType w:val="hybridMultilevel"/>
    <w:tmpl w:val="FB6C0CF0"/>
    <w:lvl w:ilvl="0" w:tplc="B6B60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10778DE6-89AA-4780-B1AD-323960068B28"/>
    <w:docVar w:name="LW_COVERPAGE_TYPE" w:val="1"/>
    <w:docVar w:name="LW_CROSSREFERENCE" w:val="{COM(2018) 92 final}_x000a_{COM(2018) 110 final}_x000d__x000a_{SWD(2018) 54 final}"/>
    <w:docVar w:name="LW_DocType" w:val="NORMAL"/>
    <w:docVar w:name="LW_EMISSION" w:val="12.3.2018"/>
    <w:docVar w:name="LW_EMISSION_ISODATE" w:val="2018-03-12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8?\u1077?\u1076?\u1083?\u1086?\u1078?\u1077?\u1085?\u1080?\u1077? \u1079?\u1072?_x000b_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_x000b_ \u1079?\u1072? \u1080?\u1079?\u1084?\u1077?\u1085?\u1077?\u1085?\u1080?\u1077? \u1085?\u1072? \u1044?\u1080?\u1088?\u1077?\u1082?\u1090?\u1080?\u1074?\u1072? 2009/65/\u1045?\u1054? \u1085?\u1072? \u1045?\u1074?\u1088?\u1086?\u1087?\u1077?\u1081?\u1089?\u1082?\u1080?\u1103? \u1087?\u1072?\u1088?\u1083?\u1072?\u1084?\u1077?\u1085?\u1090? \u1080? \u1085?\u1072? \u1057?\u1098?\u1074?\u1077?\u1090?\u1072? \u1080? \u1044?\u1080?\u1088?\u1077?\u1082?\u1090?\u1080?\u1074?\u1072? 2011/61/\u1045?\u1057? \u1085?\u1072? \u1045?\u1074?\u1088?\u1086?\u1087?\u1077?\u1081?\u1089?\u1082?\u1080?\u1103? \u1087?\u1072?\u1088?\u1083?\u1072?\u1084?\u1077?\u1085?\u1090? \u1080? \u1085?\u1072? \u1057?\u1098?\u1074?\u1077?\u1090?\u1072? \u1087?\u1086? \u1086?\u1090?\u1085?\u1086?\u1096?\u1077?\u1085?\u1080?\u1077? \u1085?\u1072? \u1090?\u1088?\u1072?\u1085?\u1089?\u1075?\u1088?\u1072?\u1085?\u1080?\u1095?\u1085?\u1086?\u1090?\u1086? \u1088?\u1072?\u1079?\u1087?\u1088?\u1086?\u1089?\u1090?\u1088?\u1072?\u1085?\u1077?\u1085?\u1080?\u1077? \u1085?\u1072? \u1082?\u1086?\u1083?\u1077?\u1082?\u1090?\u1080?\u1074?\u1085?\u1080? \u1080?\u1085?\u1074?\u1077?\u1089?\u1090?\u1080?\u1094?\u1080?\u1086?\u1085?\u1085?\u1080? \u1092?\u1086?\u1085?\u1076?\u1086?\u1074?\u1077?"/>
    <w:docVar w:name="LW_PART_NBR" w:val="1"/>
    <w:docVar w:name="LW_PART_NBR_TOTAL" w:val="1"/>
    <w:docVar w:name="LW_REF.INST.NEW" w:val="SWD"/>
    <w:docVar w:name="LW_REF.INST.NEW_ADOPTED" w:val="final"/>
    <w:docVar w:name="LW_REF.INST.NEW_TEXT" w:val="(2018) 5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58?\u1088?\u1072?\u1085?\u1089?\u1075?\u1088?\u1072?\u1085?\u1080?\u1095?\u1085?\u1086? \u1088?\u1072?\u1079?\u1087?\u1088?\u1086?\u1089?\u1090?\u1088?\u1072?\u1085?\u1077?\u1085?\u1080?\u1077? \u1085?\u1072? \u1082?\u1086?\u1083?\u1077?\u1082?\u1090?\u1080?\u1074?\u1085?\u1080? \u1080?\u1085?\u1074?\u1077?\u1089?\u1090?\u1080?\u1094?\u1080?\u1086?\u1085?\u1085?\u1080? \u1092?\u1086?\u1085?\u1076?\u1086?\u1074?\u1077?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\u1079?\u1072? \u1091?\u1083?\u1077?\u1089?\u1085?\u1103?\u1074?\u1072?\u1085?\u1077? \u1085?\u1072? \u1090?\u1088?\u1072?\u1085?\u1089?\u1075?\u1088?\u1072?\u1085?\u1080?\u1095?\u1085?\u1086?\u1090?\u1086? \u1088?\u1072?\u1079?\u1087?\u1088?\u1086?\u1089?\u1090?\u1088?\u1072?\u1085?\u1077?\u1085?\u1080?\u1077? \u1085?\u1072? \u1082?\u1086?\u1083?\u1077?\u1082?\u1090?\u1080?\u1074?\u1085?\u1080? \u1080?\u1085?\u1074?\u1077?\u1089?\u1090?\u1080?\u1094?\u1080?\u1086?\u1085?\u1085?\u1080? \u1092?\u1086?\u1085?\u1076?\u1086?\u1074?\u1077?, \u1082?\u1072?\u1082?\u1090?\u1086? \u1080? \u1079?\u1072? \u1080?\u1079?\u1084?\u1077?\u1085?\u1077?\u1085?\u1080?\u1077? \u1085?\u1072? \u1088?\u1077?\u1075?\u1083?\u1072?\u1084?\u1077?\u1085?\u1090?\u1080? (\u1045?\u1057?) \u8470? 345/2013 \u1080? (\u1045?\u1057?) \u8470? 346/2013"/>
  </w:docVars>
  <w:rsids>
    <w:rsidRoot w:val="00F642AB"/>
    <w:rsid w:val="00214B12"/>
    <w:rsid w:val="00DE59E8"/>
    <w:rsid w:val="00F6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Reference,Footnote text,Schriftart: 9 pt,Schriftart: 10 pt,Schriftart: 8 pt,Podrozdział,o,WB-Fußnotentext,Fußnote,fn,Footnote Text Char2,Footnote Text Char Char1,Footnote Text Char1 Char Char,Char,Footnote Text Char Char Char Char,Char3,ft"/>
    <w:basedOn w:val="Normal"/>
    <w:link w:val="FootnoteTextChar"/>
    <w:uiPriority w:val="99"/>
    <w:qFormat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aliases w:val="Reference Char,Footnote text Char,Schriftart: 9 pt Char,Schriftart: 10 pt Char,Schriftart: 8 pt Char,Podrozdział Char,o Char,WB-Fußnotentext Char,Fußnote Char,fn Char,Footnote Text Char2 Char,Footnote Text Char Char1 Char,Char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BVI fnr,Footnote Reference Superscript,SUPERS,Footnote symbol,Footnote,note TESI,fr"/>
    <w:link w:val="16Point"/>
    <w:uiPriority w:val="99"/>
    <w:qFormat/>
    <w:rPr>
      <w:vertAlign w:val="superscript"/>
    </w:rPr>
  </w:style>
  <w:style w:type="paragraph" w:customStyle="1" w:styleId="16Point">
    <w:name w:val="16 Point"/>
    <w:aliases w:val="Superscript 6 Point,Times 10 Point,Exposant 3 Point,Footnote reference number,Odwołanie przypisu,number,Ref,de nota al pie,footnote ref,2001+ Fußnotenzeichen, Exposant 3 Point"/>
    <w:basedOn w:val="Normal"/>
    <w:link w:val="FootnoteReference"/>
    <w:uiPriority w:val="99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Hyperlink">
    <w:name w:val="Hyperlink"/>
    <w:uiPriority w:val="99"/>
    <w:rPr>
      <w:rFonts w:cs="Times New Roman"/>
      <w:color w:val="0000FF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pPr>
      <w:ind w:left="720"/>
      <w:jc w:val="both"/>
    </w:pPr>
  </w:style>
  <w:style w:type="paragraph" w:styleId="ListBullet">
    <w:name w:val="List Bullet"/>
    <w:basedOn w:val="Normal"/>
    <w:pPr>
      <w:numPr>
        <w:numId w:val="3"/>
      </w:numPr>
      <w:spacing w:before="120" w:after="120"/>
      <w:jc w:val="both"/>
    </w:pPr>
  </w:style>
  <w:style w:type="paragraph" w:customStyle="1" w:styleId="ListDash1">
    <w:name w:val="List Dash 1"/>
    <w:basedOn w:val="Normal"/>
    <w:pPr>
      <w:numPr>
        <w:numId w:val="6"/>
      </w:numPr>
      <w:spacing w:before="120" w:after="12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Reference,Footnote text,Schriftart: 9 pt,Schriftart: 10 pt,Schriftart: 8 pt,Podrozdział,o,WB-Fußnotentext,Fußnote,fn,Footnote Text Char2,Footnote Text Char Char1,Footnote Text Char1 Char Char,Char,Footnote Text Char Char Char Char,Char3,ft"/>
    <w:basedOn w:val="Normal"/>
    <w:link w:val="FootnoteTextChar"/>
    <w:uiPriority w:val="99"/>
    <w:qFormat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aliases w:val="Reference Char,Footnote text Char,Schriftart: 9 pt Char,Schriftart: 10 pt Char,Schriftart: 8 pt Char,Podrozdział Char,o Char,WB-Fußnotentext Char,Fußnote Char,fn Char,Footnote Text Char2 Char,Footnote Text Char Char1 Char,Char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BVI fnr,Footnote Reference Superscript,SUPERS,Footnote symbol,Footnote,note TESI,fr"/>
    <w:link w:val="16Point"/>
    <w:uiPriority w:val="99"/>
    <w:qFormat/>
    <w:rPr>
      <w:vertAlign w:val="superscript"/>
    </w:rPr>
  </w:style>
  <w:style w:type="paragraph" w:customStyle="1" w:styleId="16Point">
    <w:name w:val="16 Point"/>
    <w:aliases w:val="Superscript 6 Point,Times 10 Point,Exposant 3 Point,Footnote reference number,Odwołanie przypisu,number,Ref,de nota al pie,footnote ref,2001+ Fußnotenzeichen, Exposant 3 Point"/>
    <w:basedOn w:val="Normal"/>
    <w:link w:val="FootnoteReference"/>
    <w:uiPriority w:val="99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Hyperlink">
    <w:name w:val="Hyperlink"/>
    <w:uiPriority w:val="99"/>
    <w:rPr>
      <w:rFonts w:cs="Times New Roman"/>
      <w:color w:val="0000FF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pPr>
      <w:ind w:left="720"/>
      <w:jc w:val="both"/>
    </w:pPr>
  </w:style>
  <w:style w:type="paragraph" w:styleId="ListBullet">
    <w:name w:val="List Bullet"/>
    <w:basedOn w:val="Normal"/>
    <w:pPr>
      <w:numPr>
        <w:numId w:val="3"/>
      </w:numPr>
      <w:spacing w:before="120" w:after="120"/>
      <w:jc w:val="both"/>
    </w:pPr>
  </w:style>
  <w:style w:type="paragraph" w:customStyle="1" w:styleId="ListDash1">
    <w:name w:val="List Dash 1"/>
    <w:basedOn w:val="Normal"/>
    <w:pPr>
      <w:numPr>
        <w:numId w:val="6"/>
      </w:numPr>
      <w:spacing w:before="120" w:after="12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370F79735E2304FB3EE3550DB93E366" ma:contentTypeVersion="0" ma:contentTypeDescription="Create a new document in this library." ma:contentTypeScope="" ma:versionID="1c442c361d9b226c4d9c2de27993a467">
  <xsd:schema xmlns:xsd="http://www.w3.org/2001/XMLSchema" xmlns:xs="http://www.w3.org/2001/XMLSchema" xmlns:p="http://schemas.microsoft.com/office/2006/metadata/properties" xmlns:ns2="http://schemas.microsoft.com/sharepoint/v3/fields" xmlns:ns3="c429c46a-7e15-44c9-a838-73f00aaab325" targetNamespace="http://schemas.microsoft.com/office/2006/metadata/properties" ma:root="true" ma:fieldsID="d8e9caf9e2292584252f5696d7f9863b" ns2:_="" ns3:_="">
    <xsd:import namespace="http://schemas.microsoft.com/sharepoint/v3/fields"/>
    <xsd:import namespace="c429c46a-7e15-44c9-a838-73f00aaab325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c46a-7e15-44c9-a838-73f00aaab325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29c46a-7e15-44c9-a838-73f00aaab325" xsi:nil="true"/>
    <_Status xmlns="http://schemas.microsoft.com/sharepoint/v3/fields">Not Started</_Status>
    <EC_Collab_DocumentLanguage xmlns="c429c46a-7e15-44c9-a838-73f00aaab325">EN</EC_Collab_DocumentLanguage>
    <EC_Collab_Status xmlns="c429c46a-7e15-44c9-a838-73f00aaab325">Not Started</EC_Collab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F570-9AA1-45E5-BBA5-7EE1616F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429c46a-7e15-44c9-a838-73f00aaa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228E3-FEEC-429F-8C93-CFCC37DE565D}">
  <ds:schemaRefs>
    <ds:schemaRef ds:uri="http://schemas.microsoft.com/sharepoint/v3/field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c429c46a-7e15-44c9-a838-73f00aaab3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387B5-48BC-4C41-9FF1-100BA03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1227</Words>
  <Characters>7790</Characters>
  <Application>Microsoft Office Word</Application>
  <DocSecurity>0</DocSecurity>
  <Lines>131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25</cp:revision>
  <cp:lastPrinted>2017-11-14T13:19:00Z</cp:lastPrinted>
  <dcterms:created xsi:type="dcterms:W3CDTF">2018-02-23T15:16:00Z</dcterms:created>
  <dcterms:modified xsi:type="dcterms:W3CDTF">2018-03-15T08:20:00Z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0x010100258AA79CEB83498886A3A0868112325000F370F79735E2304FB3EE3550DB93E366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