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AD" w:rsidRDefault="00B12A62" w:rsidP="00B12A6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7D836D5-169B-4B34-A779-D5B49B937922" style="width:451.25pt;height:389.3pt">
            <v:imagedata r:id="rId7" o:title=""/>
          </v:shape>
        </w:pict>
      </w:r>
    </w:p>
    <w:bookmarkEnd w:id="0"/>
    <w:p w:rsidR="001D3EAD" w:rsidRDefault="001D3EAD">
      <w:pPr>
        <w:rPr>
          <w:noProof/>
        </w:rPr>
        <w:sectPr w:rsidR="001D3EAD" w:rsidSect="00B12A62">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1D3EAD" w:rsidRDefault="00B12A62">
      <w:pPr>
        <w:keepNext/>
        <w:tabs>
          <w:tab w:val="left" w:pos="480"/>
        </w:tabs>
        <w:spacing w:after="120" w:line="240" w:lineRule="auto"/>
        <w:ind w:left="480"/>
        <w:jc w:val="center"/>
        <w:outlineLvl w:val="0"/>
        <w:rPr>
          <w:rFonts w:ascii="Times New Roman" w:eastAsia="Times New Roman" w:hAnsi="Times New Roman" w:cs="Times New Roman"/>
          <w:b/>
          <w:smallCaps/>
          <w:noProof/>
          <w:sz w:val="24"/>
          <w:szCs w:val="24"/>
          <w:lang w:val="en-GB" w:eastAsia="en-GB"/>
        </w:rPr>
      </w:pPr>
      <w:bookmarkStart w:id="1" w:name="_GoBack"/>
      <w:bookmarkEnd w:id="1"/>
      <w:r>
        <w:rPr>
          <w:rFonts w:ascii="Times New Roman" w:eastAsia="Times New Roman" w:hAnsi="Times New Roman" w:cs="Times New Roman"/>
          <w:b/>
          <w:smallCaps/>
          <w:noProof/>
          <w:sz w:val="24"/>
          <w:szCs w:val="24"/>
          <w:lang w:val="en-GB" w:eastAsia="en-GB"/>
        </w:rPr>
        <w:lastRenderedPageBreak/>
        <w:t>Stakeholder consultation – Synopsis report</w:t>
      </w:r>
    </w:p>
    <w:p w:rsidR="001D3EAD" w:rsidRDefault="001D3EAD">
      <w:pPr>
        <w:spacing w:after="120" w:line="240" w:lineRule="auto"/>
        <w:jc w:val="both"/>
        <w:rPr>
          <w:rFonts w:ascii="Times New Roman" w:eastAsia="Times New Roman" w:hAnsi="Times New Roman" w:cs="Times New Roman"/>
          <w:b/>
          <w:noProof/>
          <w:sz w:val="24"/>
          <w:szCs w:val="24"/>
          <w:u w:val="single"/>
          <w:lang w:val="en-GB" w:eastAsia="en-GB"/>
        </w:rPr>
      </w:pPr>
    </w:p>
    <w:p w:rsidR="001D3EAD" w:rsidRDefault="00B12A62">
      <w:pPr>
        <w:spacing w:after="120" w:line="240" w:lineRule="auto"/>
        <w:jc w:val="both"/>
        <w:rPr>
          <w:rFonts w:ascii="Times New Roman" w:eastAsia="Times New Roman" w:hAnsi="Times New Roman" w:cs="Times New Roman"/>
          <w:b/>
          <w:noProof/>
          <w:sz w:val="24"/>
          <w:szCs w:val="24"/>
          <w:u w:val="single"/>
          <w:lang w:val="en-GB" w:eastAsia="en-GB"/>
        </w:rPr>
      </w:pPr>
      <w:r>
        <w:rPr>
          <w:rFonts w:ascii="Times New Roman" w:eastAsia="Times New Roman" w:hAnsi="Times New Roman" w:cs="Times New Roman"/>
          <w:b/>
          <w:noProof/>
          <w:sz w:val="24"/>
          <w:szCs w:val="24"/>
          <w:u w:val="single"/>
          <w:lang w:val="en-GB" w:eastAsia="en-GB"/>
        </w:rPr>
        <w:t>Context - the European Pillar of Social Rights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On 8 March 2016, the European Commission adopted a </w:t>
      </w:r>
      <w:r>
        <w:rPr>
          <w:rFonts w:ascii="Times New Roman" w:eastAsia="Times New Roman" w:hAnsi="Times New Roman" w:cs="Times New Roman"/>
          <w:noProof/>
          <w:sz w:val="24"/>
          <w:szCs w:val="24"/>
          <w:lang w:val="en-GB" w:eastAsia="en-GB"/>
        </w:rPr>
        <w:t>Communication putting forward a first, preliminary outline of what should become the European Pillar of Social Rights</w:t>
      </w:r>
      <w:r>
        <w:rPr>
          <w:rFonts w:ascii="Times New Roman" w:eastAsia="Times New Roman" w:hAnsi="Times New Roman" w:cs="Times New Roman"/>
          <w:noProof/>
          <w:sz w:val="24"/>
          <w:szCs w:val="24"/>
          <w:vertAlign w:val="superscript"/>
          <w:lang w:val="en-GB" w:eastAsia="en-GB"/>
        </w:rPr>
        <w:footnoteReference w:id="1"/>
      </w:r>
      <w:r>
        <w:rPr>
          <w:rFonts w:ascii="Times New Roman" w:eastAsia="Times New Roman" w:hAnsi="Times New Roman" w:cs="Times New Roman"/>
          <w:noProof/>
          <w:sz w:val="24"/>
          <w:szCs w:val="24"/>
          <w:lang w:val="en-GB" w:eastAsia="en-GB"/>
        </w:rPr>
        <w:t>. The Communication set out the rationale behind the initiative and its role, scope and nature</w:t>
      </w:r>
      <w:r>
        <w:rPr>
          <w:rFonts w:ascii="Times New Roman" w:eastAsia="Times New Roman" w:hAnsi="Times New Roman" w:cs="Times New Roman"/>
          <w:noProof/>
          <w:sz w:val="24"/>
          <w:szCs w:val="24"/>
          <w:vertAlign w:val="superscript"/>
          <w:lang w:val="en-GB" w:eastAsia="en-GB"/>
        </w:rPr>
        <w:footnoteReference w:id="2"/>
      </w:r>
      <w:r>
        <w:rPr>
          <w:rFonts w:ascii="Times New Roman" w:eastAsia="Times New Roman" w:hAnsi="Times New Roman" w:cs="Times New Roman"/>
          <w:noProof/>
          <w:sz w:val="24"/>
          <w:szCs w:val="24"/>
          <w:lang w:val="en-GB" w:eastAsia="en-GB"/>
        </w:rPr>
        <w:t>.</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On this basis, the Commission launched </w:t>
      </w:r>
      <w:r>
        <w:rPr>
          <w:rFonts w:ascii="Times New Roman" w:eastAsia="Times New Roman" w:hAnsi="Times New Roman" w:cs="Times New Roman"/>
          <w:noProof/>
          <w:sz w:val="24"/>
          <w:szCs w:val="24"/>
          <w:lang w:val="en-GB" w:eastAsia="en-GB"/>
        </w:rPr>
        <w:t>from March until 31 December 2016 a broad public consultation to gather feedback on the proposed outline to feed into its final proposal. The consultation aimed at discussing existing social rights, the changing realities of the world of work and societies</w:t>
      </w:r>
      <w:r>
        <w:rPr>
          <w:rFonts w:ascii="Times New Roman" w:eastAsia="Times New Roman" w:hAnsi="Times New Roman" w:cs="Times New Roman"/>
          <w:noProof/>
          <w:sz w:val="24"/>
          <w:szCs w:val="24"/>
          <w:lang w:val="en-GB" w:eastAsia="en-GB"/>
        </w:rPr>
        <w:t>, and the role of the Pillar as part of the social dimension of the Economic and Monetary Union. A European conference took place on 23 January 2017 to wrap up this consultation process</w:t>
      </w:r>
      <w:r>
        <w:rPr>
          <w:rFonts w:ascii="Times New Roman" w:eastAsia="Times New Roman" w:hAnsi="Times New Roman" w:cs="Times New Roman"/>
          <w:noProof/>
          <w:sz w:val="24"/>
          <w:szCs w:val="24"/>
          <w:vertAlign w:val="superscript"/>
          <w:lang w:val="en-GB" w:eastAsia="en-GB"/>
        </w:rPr>
        <w:footnoteReference w:id="3"/>
      </w:r>
      <w:r>
        <w:rPr>
          <w:rFonts w:ascii="Times New Roman" w:eastAsia="Times New Roman" w:hAnsi="Times New Roman" w:cs="Times New Roman"/>
          <w:noProof/>
          <w:sz w:val="24"/>
          <w:szCs w:val="24"/>
          <w:lang w:val="en-GB" w:eastAsia="en-GB"/>
        </w:rPr>
        <w:t>. How to ensure social protection for people in all forms of employmen</w:t>
      </w:r>
      <w:r>
        <w:rPr>
          <w:rFonts w:ascii="Times New Roman" w:eastAsia="Times New Roman" w:hAnsi="Times New Roman" w:cs="Times New Roman"/>
          <w:noProof/>
          <w:sz w:val="24"/>
          <w:szCs w:val="24"/>
          <w:lang w:val="en-GB" w:eastAsia="en-GB"/>
        </w:rPr>
        <w:t>t was a central topic in the consultation process.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Stakeholder stated that "adequate and sustainable social protection should cover all people regardless of their employment status, with due consideration for the most vulnerable, based on an integrated app</w:t>
      </w:r>
      <w:r>
        <w:rPr>
          <w:rFonts w:ascii="Times New Roman" w:eastAsia="Times New Roman" w:hAnsi="Times New Roman" w:cs="Times New Roman"/>
          <w:noProof/>
          <w:sz w:val="24"/>
          <w:szCs w:val="24"/>
          <w:lang w:val="en-GB" w:eastAsia="en-GB"/>
        </w:rPr>
        <w:t xml:space="preserve">roach of benefit and service delivery, including accessible and sustainable healthcare that takes into account the national circumstances, and quality long-term care based in particular on homecare and community-based services, as well as adequate housing </w:t>
      </w:r>
      <w:r>
        <w:rPr>
          <w:rFonts w:ascii="Times New Roman" w:eastAsia="Times New Roman" w:hAnsi="Times New Roman" w:cs="Times New Roman"/>
          <w:noProof/>
          <w:sz w:val="24"/>
          <w:szCs w:val="24"/>
          <w:lang w:val="en-GB" w:eastAsia="en-GB"/>
        </w:rPr>
        <w:t>and support to the homeless towards their social reintegration. Adequate unemployment benefits of reasonable duration</w:t>
      </w:r>
      <w:r>
        <w:rPr>
          <w:rFonts w:ascii="Calibri" w:eastAsia="Calibri" w:hAnsi="Calibri" w:cs="Times New Roman"/>
          <w:noProof/>
          <w:lang w:val="en-GB" w:eastAsia="en-GB"/>
        </w:rPr>
        <w:t xml:space="preserve"> </w:t>
      </w:r>
      <w:r>
        <w:rPr>
          <w:rFonts w:ascii="Times New Roman" w:eastAsia="Times New Roman" w:hAnsi="Times New Roman" w:cs="Times New Roman"/>
          <w:noProof/>
          <w:sz w:val="24"/>
          <w:szCs w:val="24"/>
          <w:lang w:val="en-GB" w:eastAsia="en-GB"/>
        </w:rPr>
        <w:t>as well as adequate minimum income schemes should provide a resilient social protection floor capable to labour market reintegration. Pens</w:t>
      </w:r>
      <w:r>
        <w:rPr>
          <w:rFonts w:ascii="Times New Roman" w:eastAsia="Times New Roman" w:hAnsi="Times New Roman" w:cs="Times New Roman"/>
          <w:noProof/>
          <w:sz w:val="24"/>
          <w:szCs w:val="24"/>
          <w:lang w:val="en-GB" w:eastAsia="en-GB"/>
        </w:rPr>
        <w:t>ion systems should provide adequate protection against old-age poverty while assuring sustainability with a view to protect the future generation and provide the necessary resources for a childhood without poverty."</w:t>
      </w:r>
      <w:r>
        <w:rPr>
          <w:rFonts w:ascii="Times New Roman" w:eastAsia="Times New Roman" w:hAnsi="Times New Roman" w:cs="Times New Roman"/>
          <w:noProof/>
          <w:sz w:val="24"/>
          <w:szCs w:val="24"/>
          <w:vertAlign w:val="superscript"/>
          <w:lang w:val="en-GB" w:eastAsia="en-GB"/>
        </w:rPr>
        <w:footnoteReference w:id="4"/>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Other EU institutions also contributed </w:t>
      </w:r>
      <w:r>
        <w:rPr>
          <w:rFonts w:ascii="Times New Roman" w:eastAsia="Times New Roman" w:hAnsi="Times New Roman" w:cs="Times New Roman"/>
          <w:noProof/>
          <w:sz w:val="24"/>
          <w:szCs w:val="24"/>
          <w:lang w:val="en-GB" w:eastAsia="en-GB"/>
        </w:rPr>
        <w:t>to the relevant debate. Whereas the European Economic and Social Committee</w:t>
      </w:r>
      <w:r>
        <w:rPr>
          <w:rFonts w:ascii="Times New Roman" w:eastAsia="Times New Roman" w:hAnsi="Times New Roman" w:cs="Times New Roman"/>
          <w:noProof/>
          <w:sz w:val="24"/>
          <w:szCs w:val="24"/>
          <w:vertAlign w:val="superscript"/>
          <w:lang w:val="en-GB" w:eastAsia="en-GB"/>
        </w:rPr>
        <w:footnoteReference w:id="5"/>
      </w:r>
      <w:r>
        <w:rPr>
          <w:rFonts w:ascii="Times New Roman" w:eastAsia="Times New Roman" w:hAnsi="Times New Roman" w:cs="Times New Roman"/>
          <w:noProof/>
          <w:sz w:val="24"/>
          <w:szCs w:val="24"/>
          <w:lang w:val="en-GB" w:eastAsia="en-GB"/>
        </w:rPr>
        <w:t>, ("considers it imperative that the debate launched by the European Commission on developing a European Pillar of Social Rights also encompass the situation of workers engaged in t</w:t>
      </w:r>
      <w:r>
        <w:rPr>
          <w:rFonts w:ascii="Times New Roman" w:eastAsia="Times New Roman" w:hAnsi="Times New Roman" w:cs="Times New Roman"/>
          <w:noProof/>
          <w:sz w:val="24"/>
          <w:szCs w:val="24"/>
          <w:lang w:val="en-GB" w:eastAsia="en-GB"/>
        </w:rPr>
        <w:t>he new forms of employment and, above all, look at how to recognise their status and ensure they have adequate access to social security and social protection systems") and the Committee of Regions</w:t>
      </w:r>
      <w:r>
        <w:rPr>
          <w:rFonts w:ascii="Times New Roman" w:eastAsia="Times New Roman" w:hAnsi="Times New Roman" w:cs="Times New Roman"/>
          <w:noProof/>
          <w:sz w:val="24"/>
          <w:szCs w:val="24"/>
          <w:vertAlign w:val="superscript"/>
          <w:lang w:val="en-GB" w:eastAsia="en-GB"/>
        </w:rPr>
        <w:footnoteReference w:id="6"/>
      </w:r>
      <w:r>
        <w:rPr>
          <w:rFonts w:ascii="Times New Roman" w:eastAsia="Times New Roman" w:hAnsi="Times New Roman" w:cs="Times New Roman"/>
          <w:noProof/>
          <w:sz w:val="24"/>
          <w:szCs w:val="24"/>
          <w:lang w:val="en-GB" w:eastAsia="en-GB"/>
        </w:rPr>
        <w:t xml:space="preserve"> ("believes that the new employment forms or the introduct</w:t>
      </w:r>
      <w:r>
        <w:rPr>
          <w:rFonts w:ascii="Times New Roman" w:eastAsia="Times New Roman" w:hAnsi="Times New Roman" w:cs="Times New Roman"/>
          <w:noProof/>
          <w:sz w:val="24"/>
          <w:szCs w:val="24"/>
          <w:lang w:val="en-GB" w:eastAsia="en-GB"/>
        </w:rPr>
        <w:t>ion of new common EU minimum standards must always allow for appropriate standards of social protection") brought relevant elements into the debate, the European Parliament</w:t>
      </w:r>
      <w:r>
        <w:rPr>
          <w:rFonts w:ascii="Times New Roman" w:eastAsia="Times New Roman" w:hAnsi="Times New Roman" w:cs="Times New Roman"/>
          <w:noProof/>
          <w:sz w:val="24"/>
          <w:szCs w:val="24"/>
          <w:vertAlign w:val="superscript"/>
          <w:lang w:val="en-GB" w:eastAsia="en-GB"/>
        </w:rPr>
        <w:footnoteReference w:id="7"/>
      </w:r>
      <w:r>
        <w:rPr>
          <w:rFonts w:ascii="Times New Roman" w:eastAsia="Times New Roman" w:hAnsi="Times New Roman" w:cs="Times New Roman"/>
          <w:noProof/>
          <w:sz w:val="24"/>
          <w:szCs w:val="24"/>
          <w:lang w:val="en-GB" w:eastAsia="en-GB"/>
        </w:rPr>
        <w:t xml:space="preserve"> went further and called for a "recommendation enabling all people in all employmen</w:t>
      </w:r>
      <w:r>
        <w:rPr>
          <w:rFonts w:ascii="Times New Roman" w:eastAsia="Times New Roman" w:hAnsi="Times New Roman" w:cs="Times New Roman"/>
          <w:noProof/>
          <w:sz w:val="24"/>
          <w:szCs w:val="24"/>
          <w:lang w:val="en-GB" w:eastAsia="en-GB"/>
        </w:rPr>
        <w:t>t forms and self-employment".</w:t>
      </w:r>
    </w:p>
    <w:p w:rsidR="001D3EAD" w:rsidRDefault="001D3EAD">
      <w:pPr>
        <w:spacing w:after="120" w:line="240" w:lineRule="auto"/>
        <w:jc w:val="both"/>
        <w:rPr>
          <w:rFonts w:ascii="Times New Roman" w:eastAsia="Times New Roman" w:hAnsi="Times New Roman" w:cs="Times New Roman"/>
          <w:noProof/>
          <w:sz w:val="24"/>
          <w:szCs w:val="24"/>
          <w:lang w:val="en-GB" w:eastAsia="en-GB"/>
        </w:rPr>
      </w:pPr>
    </w:p>
    <w:p w:rsidR="001D3EAD" w:rsidRDefault="001D3EAD">
      <w:pPr>
        <w:spacing w:after="120" w:line="240" w:lineRule="auto"/>
        <w:jc w:val="both"/>
        <w:rPr>
          <w:rFonts w:ascii="Times New Roman" w:eastAsia="Times New Roman" w:hAnsi="Times New Roman" w:cs="Times New Roman"/>
          <w:noProof/>
          <w:sz w:val="24"/>
          <w:szCs w:val="24"/>
          <w:lang w:val="en-GB" w:eastAsia="en-GB"/>
        </w:rPr>
      </w:pPr>
    </w:p>
    <w:p w:rsidR="001D3EAD" w:rsidRDefault="001D3EAD">
      <w:pPr>
        <w:spacing w:after="120" w:line="240" w:lineRule="auto"/>
        <w:jc w:val="both"/>
        <w:rPr>
          <w:rFonts w:ascii="Times New Roman" w:eastAsia="Times New Roman" w:hAnsi="Times New Roman" w:cs="Times New Roman"/>
          <w:noProof/>
          <w:sz w:val="24"/>
          <w:szCs w:val="24"/>
          <w:lang w:val="en-GB" w:eastAsia="en-GB"/>
        </w:rPr>
      </w:pPr>
    </w:p>
    <w:p w:rsidR="001D3EAD" w:rsidRDefault="00B12A62">
      <w:pPr>
        <w:spacing w:after="120" w:line="240" w:lineRule="auto"/>
        <w:jc w:val="both"/>
        <w:rPr>
          <w:rFonts w:ascii="Times New Roman" w:eastAsia="Times New Roman" w:hAnsi="Times New Roman" w:cs="Times New Roman"/>
          <w:b/>
          <w:noProof/>
          <w:sz w:val="24"/>
          <w:szCs w:val="24"/>
          <w:u w:val="single"/>
          <w:lang w:val="en-GB" w:eastAsia="en-GB"/>
        </w:rPr>
      </w:pPr>
      <w:r>
        <w:rPr>
          <w:rFonts w:ascii="Times New Roman" w:eastAsia="Times New Roman" w:hAnsi="Times New Roman" w:cs="Times New Roman"/>
          <w:b/>
          <w:noProof/>
          <w:sz w:val="24"/>
          <w:szCs w:val="24"/>
          <w:u w:val="single"/>
          <w:lang w:val="en-GB" w:eastAsia="en-GB"/>
        </w:rPr>
        <w:lastRenderedPageBreak/>
        <w:t>The access to social protection initiative</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Several stakeholders' consultations have been performed to inform this initiative. This includes a two-stage consultation procedure of European social partners as stipulated in </w:t>
      </w:r>
      <w:r>
        <w:rPr>
          <w:rFonts w:ascii="Times New Roman" w:eastAsia="Times New Roman" w:hAnsi="Times New Roman" w:cs="Times New Roman"/>
          <w:noProof/>
          <w:sz w:val="24"/>
          <w:szCs w:val="24"/>
          <w:lang w:val="en-GB" w:eastAsia="en-GB"/>
        </w:rPr>
        <w:t>Article 154 TFEU and an Open Public Consultation.</w:t>
      </w:r>
    </w:p>
    <w:p w:rsidR="001D3EAD" w:rsidRDefault="00B12A62">
      <w:pPr>
        <w:keepNext/>
        <w:spacing w:after="120" w:line="240" w:lineRule="auto"/>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1. Results of the inception impact assessment</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Commission received nine items of feedback to the inception impact assessment from individuals/entities in the Netherlands (6), Belgium, Germany and the UK.</w:t>
      </w:r>
      <w:r>
        <w:rPr>
          <w:rFonts w:ascii="Times New Roman" w:eastAsia="Times New Roman" w:hAnsi="Times New Roman" w:cs="Times New Roman"/>
          <w:noProof/>
          <w:sz w:val="24"/>
          <w:szCs w:val="24"/>
          <w:lang w:val="en-GB" w:eastAsia="en-GB"/>
        </w:rPr>
        <w:t xml:space="preserve"> The feedback from people/associations in the Netherlands stress subsidiarity and that self-employed would like to be responsible for their decisions they take, including for insuring risks. The contribution from a business organisation in the UK considers</w:t>
      </w:r>
      <w:r>
        <w:rPr>
          <w:rFonts w:ascii="Times New Roman" w:eastAsia="Times New Roman" w:hAnsi="Times New Roman" w:cs="Times New Roman"/>
          <w:noProof/>
          <w:sz w:val="24"/>
          <w:szCs w:val="24"/>
          <w:lang w:val="en-GB" w:eastAsia="en-GB"/>
        </w:rPr>
        <w:t xml:space="preserve"> voluntary schemes easier to implement across Member States in the short- to medium-term (2-5 years), but require implementation at the national level and could be difficult for governments to agree. The feedback of EuroHealthNet focus on the great role So</w:t>
      </w:r>
      <w:r>
        <w:rPr>
          <w:rFonts w:ascii="Times New Roman" w:eastAsia="Times New Roman" w:hAnsi="Times New Roman" w:cs="Times New Roman"/>
          <w:noProof/>
          <w:sz w:val="24"/>
          <w:szCs w:val="24"/>
          <w:lang w:val="en-GB" w:eastAsia="en-GB"/>
        </w:rPr>
        <w:t>cial Protection has in the goal of reducing health inequalities and the umbrella associations of the German Social Insurance (DSV) supports the discussion on access to social protection and to make social protection systems future-proof in a changing world</w:t>
      </w:r>
      <w:r>
        <w:rPr>
          <w:rFonts w:ascii="Times New Roman" w:eastAsia="Times New Roman" w:hAnsi="Times New Roman" w:cs="Times New Roman"/>
          <w:noProof/>
          <w:sz w:val="24"/>
          <w:szCs w:val="24"/>
          <w:lang w:val="en-GB" w:eastAsia="en-GB"/>
        </w:rPr>
        <w:t xml:space="preserve"> of work.</w:t>
      </w:r>
    </w:p>
    <w:p w:rsidR="001D3EAD" w:rsidRDefault="00B12A62">
      <w:pPr>
        <w:keepNext/>
        <w:spacing w:after="120" w:line="240" w:lineRule="auto"/>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 Results of the first phase Social Partners consultation</w:t>
      </w:r>
    </w:p>
    <w:p w:rsidR="001D3EAD" w:rsidRDefault="00B12A62">
      <w:pPr>
        <w:spacing w:after="120" w:line="240"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first phase of social partner consultation was launched on 29 April and closed on 23 June 2017.</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trade unions that replied to the consultation were the European Trade Union </w:t>
      </w:r>
      <w:r>
        <w:rPr>
          <w:rFonts w:ascii="Times New Roman" w:eastAsia="Times New Roman" w:hAnsi="Times New Roman" w:cs="Times New Roman"/>
          <w:noProof/>
          <w:sz w:val="24"/>
          <w:szCs w:val="24"/>
          <w:lang w:val="en-GB" w:eastAsia="en-GB"/>
        </w:rPr>
        <w:t>Confederation (ETUC), Eurocadres and the European Confederation of Executives and Managerial Staff (CEC), the European Confederation of Independent Trade Unions (CESI), the European Arts and Entertainment Alliance (EAEA) and the European Federation of Jour</w:t>
      </w:r>
      <w:r>
        <w:rPr>
          <w:rFonts w:ascii="Times New Roman" w:eastAsia="Times New Roman" w:hAnsi="Times New Roman" w:cs="Times New Roman"/>
          <w:noProof/>
          <w:sz w:val="24"/>
          <w:szCs w:val="24"/>
          <w:lang w:val="en-GB" w:eastAsia="en-GB"/>
        </w:rPr>
        <w:t>nalists (EFJ). It should be noted that ETUC's reply also took into account the view of 10 ETUC sectorial trade union organisations.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On the side of the employers, replies to the consultation were sent by BusinessEurope, the European Centre of Employers and </w:t>
      </w:r>
      <w:r>
        <w:rPr>
          <w:rFonts w:ascii="Times New Roman" w:eastAsia="Times New Roman" w:hAnsi="Times New Roman" w:cs="Times New Roman"/>
          <w:noProof/>
          <w:sz w:val="24"/>
          <w:szCs w:val="24"/>
          <w:lang w:val="en-GB" w:eastAsia="en-GB"/>
        </w:rPr>
        <w:t>Enterprises providing Public Services (CEEP), EuroCommerce, the European Association of craft, small and medium-sized enterprises (UEAPME), the Council of European Employers of the Metal, Engineering and Technology-Based Industries (CEEMET), the Council of</w:t>
      </w:r>
      <w:r>
        <w:rPr>
          <w:rFonts w:ascii="Times New Roman" w:eastAsia="Times New Roman" w:hAnsi="Times New Roman" w:cs="Times New Roman"/>
          <w:noProof/>
          <w:sz w:val="24"/>
          <w:szCs w:val="24"/>
          <w:lang w:val="en-GB" w:eastAsia="en-GB"/>
        </w:rPr>
        <w:t xml:space="preserve"> European Municipalities and Regions (CEMR), the European Chemical Employers Group (ECEG), the Hotels, Restaurants and Cafés in Europe (HOTREC), the Retail, Wholesale and International Trade Representation to the EU (EuroCommerce), the Employers' Group of </w:t>
      </w:r>
      <w:r>
        <w:rPr>
          <w:rFonts w:ascii="Times New Roman" w:eastAsia="Times New Roman" w:hAnsi="Times New Roman" w:cs="Times New Roman"/>
          <w:noProof/>
          <w:sz w:val="24"/>
          <w:szCs w:val="24"/>
          <w:lang w:val="en-GB" w:eastAsia="en-GB"/>
        </w:rPr>
        <w:t xml:space="preserve">the Committee of Agricultural Organisations in the European Union (GEOPA-COPA) and the World Employment Confederation (WEC). </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Identification of issues related to access to social protection</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social partners agreed, largely, that there are problems relat</w:t>
      </w:r>
      <w:r>
        <w:rPr>
          <w:rFonts w:ascii="Times New Roman" w:eastAsia="Times New Roman" w:hAnsi="Times New Roman" w:cs="Times New Roman"/>
          <w:noProof/>
          <w:sz w:val="24"/>
          <w:szCs w:val="24"/>
          <w:lang w:val="en-GB" w:eastAsia="en-GB"/>
        </w:rPr>
        <w:t>ed to access to social protection for workers in non-standard forms of employment and for the self-employed.</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However, employers stressed that grouping very different types of employment forms together under the heading of 'non-standard' is not appropriate </w:t>
      </w:r>
      <w:r>
        <w:rPr>
          <w:rFonts w:ascii="Times New Roman" w:eastAsia="Times New Roman" w:hAnsi="Times New Roman" w:cs="Times New Roman"/>
          <w:noProof/>
          <w:sz w:val="24"/>
          <w:szCs w:val="24"/>
          <w:lang w:val="en-GB" w:eastAsia="en-GB"/>
        </w:rPr>
        <w:t>as it ignores the diversity between these different forms and the need and desires of those working under them, also in terms of access to social protection (BusinessEurope). WEC highlighted in addition the heterogeneity within the self-employed. UEAPME ca</w:t>
      </w:r>
      <w:r>
        <w:rPr>
          <w:rFonts w:ascii="Times New Roman" w:eastAsia="Times New Roman" w:hAnsi="Times New Roman" w:cs="Times New Roman"/>
          <w:noProof/>
          <w:sz w:val="24"/>
          <w:szCs w:val="24"/>
          <w:lang w:val="en-GB" w:eastAsia="en-GB"/>
        </w:rPr>
        <w:t>lled for a solid mapping exercise of the national policies, the availability and offer of tailored social protection schemes, and the take-</w:t>
      </w:r>
      <w:r>
        <w:rPr>
          <w:rFonts w:ascii="Times New Roman" w:eastAsia="Times New Roman" w:hAnsi="Times New Roman" w:cs="Times New Roman"/>
          <w:noProof/>
          <w:sz w:val="24"/>
          <w:szCs w:val="24"/>
          <w:lang w:val="en-GB" w:eastAsia="en-GB"/>
        </w:rPr>
        <w:lastRenderedPageBreak/>
        <w:t>up broken down by different groups. CEEP highlight the different labour market and social models, which explain diffe</w:t>
      </w:r>
      <w:r>
        <w:rPr>
          <w:rFonts w:ascii="Times New Roman" w:eastAsia="Times New Roman" w:hAnsi="Times New Roman" w:cs="Times New Roman"/>
          <w:noProof/>
          <w:sz w:val="24"/>
          <w:szCs w:val="24"/>
          <w:lang w:val="en-GB" w:eastAsia="en-GB"/>
        </w:rPr>
        <w:t>rent levels of protection.</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other hand, trade unions found that the identification of issues goes in the right direction, but could, nevertheless be improved upon by specifying that new forms of work entail poor job quality and insecure conditions, w</w:t>
      </w:r>
      <w:r>
        <w:rPr>
          <w:rFonts w:ascii="Times New Roman" w:eastAsia="Times New Roman" w:hAnsi="Times New Roman" w:cs="Times New Roman"/>
          <w:noProof/>
          <w:sz w:val="24"/>
          <w:szCs w:val="24"/>
          <w:lang w:val="en-GB" w:eastAsia="en-GB"/>
        </w:rPr>
        <w:t>hich lead more to a lack of protection against life risks than to real job opportunities (ETUC, Eurocadres). The issues could be extended to a right to collective bargaining, fair remuneration for all and the right to freedom of association for all workers</w:t>
      </w:r>
      <w:r>
        <w:rPr>
          <w:rFonts w:ascii="Times New Roman" w:eastAsia="Times New Roman" w:hAnsi="Times New Roman" w:cs="Times New Roman"/>
          <w:noProof/>
          <w:sz w:val="24"/>
          <w:szCs w:val="24"/>
          <w:lang w:val="en-GB" w:eastAsia="en-GB"/>
        </w:rPr>
        <w:t xml:space="preserve"> (EFJ). Trade unions further underlined that consistency should be ensured with proposals about information on the social security system in the Written Statement Directive. (ETUC, Eurocadres).</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Most relevant branches of social protection and employment ser</w:t>
      </w:r>
      <w:r>
        <w:rPr>
          <w:rFonts w:ascii="Times New Roman" w:eastAsia="Times New Roman" w:hAnsi="Times New Roman" w:cs="Times New Roman"/>
          <w:b/>
          <w:noProof/>
          <w:sz w:val="24"/>
          <w:szCs w:val="24"/>
          <w:lang w:val="en-GB" w:eastAsia="en-GB"/>
        </w:rPr>
        <w:t>vices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Trade unions consider all branches to be equally important and promote an integrated and holistic approach to social protection, notwithstanding the points above about the distinctions between the policy fields, including all branches covered by the </w:t>
      </w:r>
      <w:r>
        <w:rPr>
          <w:rFonts w:ascii="Times New Roman" w:eastAsia="Times New Roman" w:hAnsi="Times New Roman" w:cs="Times New Roman"/>
          <w:noProof/>
          <w:sz w:val="24"/>
          <w:szCs w:val="24"/>
          <w:lang w:val="en-GB" w:eastAsia="en-GB"/>
        </w:rPr>
        <w:t>ILO convention 102 (and the Regulation on social security coordination). If a prioritisation has to be made, CEC would favour those who are not universal. Access to related employment services should be granted to all.</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picture at the employers' side is</w:t>
      </w:r>
      <w:r>
        <w:rPr>
          <w:rFonts w:ascii="Times New Roman" w:eastAsia="Times New Roman" w:hAnsi="Times New Roman" w:cs="Times New Roman"/>
          <w:noProof/>
          <w:sz w:val="24"/>
          <w:szCs w:val="24"/>
          <w:lang w:val="en-GB" w:eastAsia="en-GB"/>
        </w:rPr>
        <w:t xml:space="preserve"> mixed. BusinessEurope considers that the question pre-supposes that there will be an EU initiative in this field (which the organization is not in favour of). EuroCommerce questions the feasibility of the classification of social protection strands, while</w:t>
      </w:r>
      <w:r>
        <w:rPr>
          <w:rFonts w:ascii="Times New Roman" w:eastAsia="Times New Roman" w:hAnsi="Times New Roman" w:cs="Times New Roman"/>
          <w:noProof/>
          <w:sz w:val="24"/>
          <w:szCs w:val="24"/>
          <w:lang w:val="en-GB" w:eastAsia="en-GB"/>
        </w:rPr>
        <w:t xml:space="preserve"> COPA prioritises accident at work and occupational diseases. HOTREC refers to social protection as a national level competence, but stresses that skills, education and training should be easily accessible to all citizens.</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Personal scope of an EU initiativ</w:t>
      </w:r>
      <w:r>
        <w:rPr>
          <w:rFonts w:ascii="Times New Roman" w:eastAsia="Times New Roman" w:hAnsi="Times New Roman" w:cs="Times New Roman"/>
          <w:b/>
          <w:noProof/>
          <w:sz w:val="24"/>
          <w:szCs w:val="24"/>
          <w:lang w:val="en-GB" w:eastAsia="en-GB"/>
        </w:rPr>
        <w:t>e</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general, trade unions are in favour to have a wide personal scope and to include all workers in non-standard forms of employment as well as the self-employed in an EU initiative. However, some call in the first place for the definition of principles t</w:t>
      </w:r>
      <w:r>
        <w:rPr>
          <w:rFonts w:ascii="Times New Roman" w:eastAsia="Times New Roman" w:hAnsi="Times New Roman" w:cs="Times New Roman"/>
          <w:noProof/>
          <w:sz w:val="24"/>
          <w:szCs w:val="24"/>
          <w:lang w:val="en-GB" w:eastAsia="en-GB"/>
        </w:rPr>
        <w:t>o set a common understanding at EU-level of the legal nature of the different forms of employment (CEC, CESI).</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Employers are rather reluctant to reply the question on the personal scope of the EU initiative because they are not in favour of an EU initiativ</w:t>
      </w:r>
      <w:r>
        <w:rPr>
          <w:rFonts w:ascii="Times New Roman" w:eastAsia="Times New Roman" w:hAnsi="Times New Roman" w:cs="Times New Roman"/>
          <w:noProof/>
          <w:sz w:val="24"/>
          <w:szCs w:val="24"/>
          <w:lang w:val="en-GB" w:eastAsia="en-GB"/>
        </w:rPr>
        <w:t>e (BusinessEurope) or they refer to the principle of subsidiarity (HOTREC) or they consider that the personal scope would depend on the nature of the respective initiative (EuroCommerce). CEMR emphasizes on the need for more clarity in the definition of th</w:t>
      </w:r>
      <w:r>
        <w:rPr>
          <w:rFonts w:ascii="Times New Roman" w:eastAsia="Times New Roman" w:hAnsi="Times New Roman" w:cs="Times New Roman"/>
          <w:noProof/>
          <w:sz w:val="24"/>
          <w:szCs w:val="24"/>
          <w:lang w:val="en-GB" w:eastAsia="en-GB"/>
        </w:rPr>
        <w:t>e legal nature of the different forms of employment whereas COPA would include all workers in non-standard employment in an EU legal initiative but would include the self-employed only in a recommendation.</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EU legislation and EU level instruments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BusinessEu</w:t>
      </w:r>
      <w:r>
        <w:rPr>
          <w:rFonts w:ascii="Times New Roman" w:eastAsia="Times New Roman" w:hAnsi="Times New Roman" w:cs="Times New Roman"/>
          <w:noProof/>
          <w:sz w:val="24"/>
          <w:szCs w:val="24"/>
          <w:lang w:val="en-GB" w:eastAsia="en-GB"/>
        </w:rPr>
        <w:t xml:space="preserve">rope, UEAPME and EuroCommerce do not consider that changes to EU legislation in this field are needed or appropriate. The open method of coordination and the European Semester process, including benchmarks, would be the right tools for mutual learning and </w:t>
      </w:r>
      <w:r>
        <w:rPr>
          <w:rFonts w:ascii="Times New Roman" w:eastAsia="Times New Roman" w:hAnsi="Times New Roman" w:cs="Times New Roman"/>
          <w:noProof/>
          <w:sz w:val="24"/>
          <w:szCs w:val="24"/>
          <w:lang w:val="en-GB" w:eastAsia="en-GB"/>
        </w:rPr>
        <w:t>exchanges of good practice. The aim should be to improve national policy responses by learning from relevant other national practices. Other employers' organisations draw the attention to sectorial social dialogue (COPA), Member State competences and the p</w:t>
      </w:r>
      <w:r>
        <w:rPr>
          <w:rFonts w:ascii="Times New Roman" w:eastAsia="Times New Roman" w:hAnsi="Times New Roman" w:cs="Times New Roman"/>
          <w:noProof/>
          <w:sz w:val="24"/>
          <w:szCs w:val="24"/>
          <w:lang w:val="en-GB" w:eastAsia="en-GB"/>
        </w:rPr>
        <w:t xml:space="preserve">rinciples of subsidiarity and proportionality (CEEMET, ECEG, EuroCommerce, WEC and CEEP). </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trade union side considers that improvements should be made to EU legislation. ETUC and CESI see the need for better enforcement of existing legislation, especia</w:t>
      </w:r>
      <w:r>
        <w:rPr>
          <w:rFonts w:ascii="Times New Roman" w:eastAsia="Times New Roman" w:hAnsi="Times New Roman" w:cs="Times New Roman"/>
          <w:noProof/>
          <w:sz w:val="24"/>
          <w:szCs w:val="24"/>
          <w:lang w:val="en-GB" w:eastAsia="en-GB"/>
        </w:rPr>
        <w:t>lly at national level. CEC mentions that the need for reducing the administrative burden that can be associated with the provision of information concerning an individual's employment situation and ensuring an effective transferability of all entitlements.</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Willingness to enter into negotiations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All of the trade unions have indicated their willingness to enter into negotiations. However, in the event that the EU social partners do not agree to negotiate, or in case negotiations do not lead to a successful ou</w:t>
      </w:r>
      <w:r>
        <w:rPr>
          <w:rFonts w:ascii="Times New Roman" w:eastAsia="Times New Roman" w:hAnsi="Times New Roman" w:cs="Times New Roman"/>
          <w:noProof/>
          <w:sz w:val="24"/>
          <w:szCs w:val="24"/>
          <w:lang w:val="en-GB" w:eastAsia="en-GB"/>
        </w:rPr>
        <w:t>tcome, trade unions urge the Commission to come up with a legislative proposal.</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Employers are not considering initiating a dialogue under Article 155 TFEU because they do not see the need for EU level action, apart from peer learning and exchange of </w:t>
      </w:r>
      <w:r>
        <w:rPr>
          <w:rFonts w:ascii="Times New Roman" w:eastAsia="Times New Roman" w:hAnsi="Times New Roman" w:cs="Times New Roman"/>
          <w:noProof/>
          <w:sz w:val="24"/>
          <w:szCs w:val="24"/>
          <w:lang w:val="en-GB" w:eastAsia="en-GB"/>
        </w:rPr>
        <w:t>practices (BusinessEurope) or because subsidiarity prevails in this topic (HOTREC, UAPME) and it can be better dealt with by national governments (EuroCommerce) or in sectorial social dialogue (COPA). CEEP underlines that valid indicators have to be define</w:t>
      </w:r>
      <w:r>
        <w:rPr>
          <w:rFonts w:ascii="Times New Roman" w:eastAsia="Times New Roman" w:hAnsi="Times New Roman" w:cs="Times New Roman"/>
          <w:noProof/>
          <w:sz w:val="24"/>
          <w:szCs w:val="24"/>
          <w:lang w:val="en-GB" w:eastAsia="en-GB"/>
        </w:rPr>
        <w:t>d in the first place.</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Scope of the consultation</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ETUC missed clear proposals on the creation of quality jobs – with agreed indicators to track them, including for access to social protection. Therefore, ETUC considered the identified key aspects of insuffic</w:t>
      </w:r>
      <w:r>
        <w:rPr>
          <w:rFonts w:ascii="Times New Roman" w:eastAsia="Times New Roman" w:hAnsi="Times New Roman" w:cs="Times New Roman"/>
          <w:noProof/>
          <w:sz w:val="24"/>
          <w:szCs w:val="24"/>
          <w:lang w:val="en-GB" w:eastAsia="en-GB"/>
        </w:rPr>
        <w:t>ient access (gap in access to social protection, lack of transferability of rights as well as lack of transparency about their social protection entitlements) as important challenges to be tackled, but would put the emphasis on challenging divergent social</w:t>
      </w:r>
      <w:r>
        <w:rPr>
          <w:rFonts w:ascii="Times New Roman" w:eastAsia="Times New Roman" w:hAnsi="Times New Roman" w:cs="Times New Roman"/>
          <w:noProof/>
          <w:sz w:val="24"/>
          <w:szCs w:val="24"/>
          <w:lang w:val="en-GB" w:eastAsia="en-GB"/>
        </w:rPr>
        <w:t xml:space="preserve"> rights of people with respect to social protection and employment services.</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Additional consultation of social partners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DG Employment and Social Affairs has conducted bilateral meetings with all 16 social partners who submitted a contribution to the first </w:t>
      </w:r>
      <w:r>
        <w:rPr>
          <w:rFonts w:ascii="Times New Roman" w:eastAsia="Times New Roman" w:hAnsi="Times New Roman" w:cs="Times New Roman"/>
          <w:noProof/>
          <w:sz w:val="24"/>
          <w:szCs w:val="24"/>
          <w:lang w:val="en-GB" w:eastAsia="en-GB"/>
        </w:rPr>
        <w:t xml:space="preserve">phase social partner consultation. These meetings took place between 14 July and 5 September. The purpose of the bilateral meetings was to focus on technical clarifications and gathering additional information where ever possible. The information received </w:t>
      </w:r>
      <w:r>
        <w:rPr>
          <w:rFonts w:ascii="Times New Roman" w:eastAsia="Times New Roman" w:hAnsi="Times New Roman" w:cs="Times New Roman"/>
          <w:noProof/>
          <w:sz w:val="24"/>
          <w:szCs w:val="24"/>
          <w:lang w:val="en-GB" w:eastAsia="en-GB"/>
        </w:rPr>
        <w:t xml:space="preserve">is presented in the relevant chapters of this document. </w:t>
      </w:r>
    </w:p>
    <w:p w:rsidR="001D3EAD" w:rsidRDefault="001D3EAD">
      <w:pPr>
        <w:spacing w:after="120" w:line="240" w:lineRule="auto"/>
        <w:jc w:val="both"/>
        <w:rPr>
          <w:rFonts w:ascii="Calibri" w:eastAsia="Calibri" w:hAnsi="Calibri" w:cs="Times New Roman"/>
          <w:noProof/>
          <w:lang w:val="en-GB" w:eastAsia="en-GB"/>
        </w:rPr>
      </w:pPr>
      <w:bookmarkStart w:id="2" w:name="_Toc500495879"/>
    </w:p>
    <w:p w:rsidR="001D3EAD" w:rsidRDefault="00B12A62">
      <w:pPr>
        <w:keepNext/>
        <w:spacing w:after="120" w:line="240" w:lineRule="auto"/>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3. Results of the second phase Social Partners consultation</w:t>
      </w:r>
      <w:bookmarkEnd w:id="2"/>
    </w:p>
    <w:p w:rsidR="001D3EAD" w:rsidRDefault="00B12A62">
      <w:pPr>
        <w:spacing w:after="120" w:line="240"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second phase of social partner consultation was launched on 20 November and closed on 5 January 2018.</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trade unions that replied to</w:t>
      </w:r>
      <w:r>
        <w:rPr>
          <w:rFonts w:ascii="Times New Roman" w:eastAsia="Times New Roman" w:hAnsi="Times New Roman" w:cs="Times New Roman"/>
          <w:noProof/>
          <w:sz w:val="24"/>
          <w:szCs w:val="24"/>
          <w:lang w:val="en-GB" w:eastAsia="en-GB"/>
        </w:rPr>
        <w:t xml:space="preserve"> the consultation were the European Trade Union Confederation (ETUC), Eurocadres and the European Confederation of Executives and Managerial Staff (CEC), the European Confederation of Independent Trade Unions (CESI), the European Arts and Entertainment All</w:t>
      </w:r>
      <w:r>
        <w:rPr>
          <w:rFonts w:ascii="Times New Roman" w:eastAsia="Times New Roman" w:hAnsi="Times New Roman" w:cs="Times New Roman"/>
          <w:noProof/>
          <w:sz w:val="24"/>
          <w:szCs w:val="24"/>
          <w:lang w:val="en-GB" w:eastAsia="en-GB"/>
        </w:rPr>
        <w:t xml:space="preserve">iance (EAEA) and UNI global union europa and the World Employment Confederation (WEC). </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side of the employers, replies to the consultation were sent by BusinessEurope</w:t>
      </w:r>
      <w:r>
        <w:rPr>
          <w:rFonts w:ascii="Times New Roman" w:eastAsia="Times New Roman" w:hAnsi="Times New Roman" w:cs="Times New Roman"/>
          <w:noProof/>
          <w:sz w:val="24"/>
          <w:szCs w:val="24"/>
          <w:shd w:val="clear" w:color="000000" w:fill="FFFFFF" w:themeFill="background1"/>
          <w:lang w:val="en-GB" w:eastAsia="en-GB"/>
        </w:rPr>
        <w:t>, the European Centre of Employers and Enterprises providing Public Services (CEEP)</w:t>
      </w:r>
      <w:r>
        <w:rPr>
          <w:rFonts w:ascii="Times New Roman" w:eastAsia="Times New Roman" w:hAnsi="Times New Roman" w:cs="Times New Roman"/>
          <w:noProof/>
          <w:sz w:val="24"/>
          <w:szCs w:val="24"/>
          <w:shd w:val="clear" w:color="000000" w:fill="FFFFFF" w:themeFill="background1"/>
          <w:lang w:val="en-GB" w:eastAsia="en-GB"/>
        </w:rPr>
        <w:t xml:space="preserve">, </w:t>
      </w:r>
      <w:r>
        <w:rPr>
          <w:rFonts w:ascii="Times New Roman" w:eastAsia="Times New Roman" w:hAnsi="Times New Roman" w:cs="Times New Roman"/>
          <w:noProof/>
          <w:sz w:val="24"/>
          <w:szCs w:val="24"/>
          <w:lang w:val="en-GB" w:eastAsia="en-GB"/>
        </w:rPr>
        <w:t>EuroCommerce, the European Association of craft, small and medium-sized enterprises (UEAPME), the Council of European Employers of the Metal, Engineering and Technology-Based Industries (CEEMET), the European Chemical Employers Group (ECEG), and the Hotels</w:t>
      </w:r>
      <w:r>
        <w:rPr>
          <w:rFonts w:ascii="Times New Roman" w:eastAsia="Times New Roman" w:hAnsi="Times New Roman" w:cs="Times New Roman"/>
          <w:noProof/>
          <w:sz w:val="24"/>
          <w:szCs w:val="24"/>
          <w:lang w:val="en-GB" w:eastAsia="en-GB"/>
        </w:rPr>
        <w:t xml:space="preserve">, Restaurants and Cafés in Europe (HOTREC). </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The objectives of coverage, transferability and transparency</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Trade unions share the initiative's objectives of coverage, transferability and transparency. Formal and effective coverage is of utmost importance fo</w:t>
      </w:r>
      <w:r>
        <w:rPr>
          <w:rFonts w:ascii="Times New Roman" w:eastAsia="Times New Roman" w:hAnsi="Times New Roman" w:cs="Times New Roman"/>
          <w:noProof/>
          <w:sz w:val="24"/>
          <w:szCs w:val="24"/>
          <w:lang w:val="en-GB" w:eastAsia="en-GB"/>
        </w:rPr>
        <w:t xml:space="preserve">r ETUC and access to </w:t>
      </w:r>
      <w:r>
        <w:rPr>
          <w:rFonts w:ascii="Times New Roman" w:eastAsia="Times New Roman" w:hAnsi="Times New Roman" w:cs="Times New Roman"/>
          <w:i/>
          <w:noProof/>
          <w:sz w:val="24"/>
          <w:szCs w:val="24"/>
          <w:lang w:val="en-GB" w:eastAsia="en-GB"/>
        </w:rPr>
        <w:t>adequate</w:t>
      </w:r>
      <w:r>
        <w:rPr>
          <w:rFonts w:ascii="Times New Roman" w:eastAsia="Times New Roman" w:hAnsi="Times New Roman" w:cs="Times New Roman"/>
          <w:noProof/>
          <w:sz w:val="24"/>
          <w:szCs w:val="24"/>
          <w:lang w:val="en-GB" w:eastAsia="en-GB"/>
        </w:rPr>
        <w:t xml:space="preserve"> social protection should be added. Contributions and benefits (for self-employed and non-standard workers) should be as equal as possible to those for standard work contracts (CESI). Tying social protection rights to individua</w:t>
      </w:r>
      <w:r>
        <w:rPr>
          <w:rFonts w:ascii="Times New Roman" w:eastAsia="Times New Roman" w:hAnsi="Times New Roman" w:cs="Times New Roman"/>
          <w:noProof/>
          <w:sz w:val="24"/>
          <w:szCs w:val="24"/>
          <w:lang w:val="en-GB" w:eastAsia="en-GB"/>
        </w:rPr>
        <w:t>ls should not lead to an individualisation of social protection and the collective dimension must remain (EAEA). Full transferability and accumulation of these rights, benefits and entitlements should be ensured, no matter the form or duration of employmen</w:t>
      </w:r>
      <w:r>
        <w:rPr>
          <w:rFonts w:ascii="Times New Roman" w:eastAsia="Times New Roman" w:hAnsi="Times New Roman" w:cs="Times New Roman"/>
          <w:noProof/>
          <w:sz w:val="24"/>
          <w:szCs w:val="24"/>
          <w:lang w:val="en-GB" w:eastAsia="en-GB"/>
        </w:rPr>
        <w:t xml:space="preserve">t (UNI Europa). The importance of access to training and employment services was also highlighted (Eurocadres). All trade unions agree with the need for higher transparency. </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picture at the employers' side is rather mixed. Most employers' organisations</w:t>
      </w:r>
      <w:r>
        <w:rPr>
          <w:rFonts w:ascii="Times New Roman" w:eastAsia="Times New Roman" w:hAnsi="Times New Roman" w:cs="Times New Roman"/>
          <w:noProof/>
          <w:sz w:val="24"/>
          <w:szCs w:val="24"/>
          <w:lang w:val="en-GB" w:eastAsia="en-GB"/>
        </w:rPr>
        <w:t xml:space="preserve"> agree with the three objectives to a large extent but highlight the Member States' competence in this field (BusinessEurope, EuroCommerce, CEEMET, CEEP and UAPME).</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ECEG does not share the view that non-standard workers and self-employed have limited acces</w:t>
      </w:r>
      <w:r>
        <w:rPr>
          <w:rFonts w:ascii="Times New Roman" w:eastAsia="Times New Roman" w:hAnsi="Times New Roman" w:cs="Times New Roman"/>
          <w:noProof/>
          <w:sz w:val="24"/>
          <w:szCs w:val="24"/>
          <w:lang w:val="en-GB" w:eastAsia="en-GB"/>
        </w:rPr>
        <w:t>s to social protection and sees no need to explore a common definition of a worker at EU level.</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HOTREC agrees on the need of increased transparency but argues that the subsidiarity principle prevails and favours therefore a mapping of transferable systems </w:t>
      </w:r>
      <w:r>
        <w:rPr>
          <w:rFonts w:ascii="Times New Roman" w:eastAsia="Times New Roman" w:hAnsi="Times New Roman" w:cs="Times New Roman"/>
          <w:noProof/>
          <w:sz w:val="24"/>
          <w:szCs w:val="24"/>
          <w:lang w:val="en-GB" w:eastAsia="en-GB"/>
        </w:rPr>
        <w:t xml:space="preserve">at national level. </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The options of mandatory or voluntary formal coverage</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All trade unions favour mandatory formal coverage, equalised to those of standard workers (ETUC, EAEA) but national traditions should be taken into account (CEC).</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Employers expressed</w:t>
      </w:r>
      <w:r>
        <w:rPr>
          <w:rFonts w:ascii="Times New Roman" w:eastAsia="Times New Roman" w:hAnsi="Times New Roman" w:cs="Times New Roman"/>
          <w:noProof/>
          <w:sz w:val="24"/>
          <w:szCs w:val="24"/>
          <w:lang w:val="en-GB" w:eastAsia="en-GB"/>
        </w:rPr>
        <w:t xml:space="preserve"> different views on these options. ECEG agrees that social protection should be mandatory but employees should have the right to choose the form of coverage (public or private). BusinessEurope highlighted the freedom of choice for the self-employed. CEEP a</w:t>
      </w:r>
      <w:r>
        <w:rPr>
          <w:rFonts w:ascii="Times New Roman" w:eastAsia="Times New Roman" w:hAnsi="Times New Roman" w:cs="Times New Roman"/>
          <w:noProof/>
          <w:sz w:val="24"/>
          <w:szCs w:val="24"/>
          <w:lang w:val="en-GB" w:eastAsia="en-GB"/>
        </w:rPr>
        <w:t>nd EuroCommerce favour voluntary formal coverage in order to take into account the diversity of forms of employment of the heterogeneity within the self-employed. HOTREC, CEEMET and UAPME referred to subsidiarity that should prevail.</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The appropriate action</w:t>
      </w:r>
      <w:r>
        <w:rPr>
          <w:rFonts w:ascii="Times New Roman" w:eastAsia="Times New Roman" w:hAnsi="Times New Roman" w:cs="Times New Roman"/>
          <w:b/>
          <w:noProof/>
          <w:sz w:val="24"/>
          <w:szCs w:val="24"/>
          <w:lang w:val="en-GB" w:eastAsia="en-GB"/>
        </w:rPr>
        <w:t xml:space="preserve"> to ensure effective coverage </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Trade unions and employers have opposite views on the appropriate action. Trade unions favour extending and adapting existing schemes to people in all forms of employment (ETUC), by going as far as possible under the Treaties</w:t>
      </w:r>
      <w:r>
        <w:rPr>
          <w:rFonts w:ascii="Times New Roman" w:eastAsia="Times New Roman" w:hAnsi="Times New Roman" w:cs="Times New Roman"/>
          <w:noProof/>
          <w:sz w:val="24"/>
          <w:szCs w:val="24"/>
          <w:lang w:val="en-GB" w:eastAsia="en-GB"/>
        </w:rPr>
        <w:t xml:space="preserve"> (CESI). An EU directive with binding minimum principles and requirements is mentioned (Uni europa, eaea) but it should not undermine existing EU acquis, nor lower existing national standards, nor lead to downward harmonisation of rights.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On the other hand</w:t>
      </w:r>
      <w:r>
        <w:rPr>
          <w:rFonts w:ascii="Times New Roman" w:eastAsia="Times New Roman" w:hAnsi="Times New Roman" w:cs="Times New Roman"/>
          <w:noProof/>
          <w:sz w:val="24"/>
          <w:szCs w:val="24"/>
          <w:lang w:val="en-GB" w:eastAsia="en-GB"/>
        </w:rPr>
        <w:t>, employers' organisations are opposed to legally binding actions in this field as they argue that the subsidiarity principle prevails (ECEG, HOTREC) but would welcome the use of the OMC, the European Semester, an exchange of best practices, benchmarking a</w:t>
      </w:r>
      <w:r>
        <w:rPr>
          <w:rFonts w:ascii="Times New Roman" w:eastAsia="Times New Roman" w:hAnsi="Times New Roman" w:cs="Times New Roman"/>
          <w:noProof/>
          <w:sz w:val="24"/>
          <w:szCs w:val="24"/>
          <w:lang w:val="en-GB" w:eastAsia="en-GB"/>
        </w:rPr>
        <w:t>nd the social scoreboard (BusinessEurope). Some employers' organisations (CEEP and EuroCommerce) consider a Council Recommendation to be suitable.</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The minimum requirements appropriate to ensure transferability and transparency</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According to trade unions, la</w:t>
      </w:r>
      <w:r>
        <w:rPr>
          <w:rFonts w:ascii="Times New Roman" w:eastAsia="Times New Roman" w:hAnsi="Times New Roman" w:cs="Times New Roman"/>
          <w:noProof/>
          <w:sz w:val="24"/>
          <w:szCs w:val="24"/>
          <w:lang w:val="en-GB" w:eastAsia="en-GB"/>
        </w:rPr>
        <w:t>bour market trends call for a certain common minimum standard in the field of social protection (CESI). Full portability should be guaranteed by tying social protection entitlements to individuals through an equalised calculation and aggregation but withou</w:t>
      </w:r>
      <w:r>
        <w:rPr>
          <w:rFonts w:ascii="Times New Roman" w:eastAsia="Times New Roman" w:hAnsi="Times New Roman" w:cs="Times New Roman"/>
          <w:noProof/>
          <w:sz w:val="24"/>
          <w:szCs w:val="24"/>
          <w:lang w:val="en-GB" w:eastAsia="en-GB"/>
        </w:rPr>
        <w:t xml:space="preserve">t leading to an individualisation of social protection (ETUC). </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Some employers agree with the principle of transferability of rights but call for an impact assessment before creating legally binding realities (ECEG) or argue that subsidiarity prevails and </w:t>
      </w:r>
      <w:r>
        <w:rPr>
          <w:rFonts w:ascii="Times New Roman" w:eastAsia="Times New Roman" w:hAnsi="Times New Roman" w:cs="Times New Roman"/>
          <w:noProof/>
          <w:sz w:val="24"/>
          <w:szCs w:val="24"/>
          <w:lang w:val="en-GB" w:eastAsia="en-GB"/>
        </w:rPr>
        <w:t>that a mapping of existing transferable systems should be favoured (HOTREC).</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Others recommend the EU to limit itself to general provisions (UAPME) or would like to limit transferability to minimum social protection rights (EuroCommerce). The administrative</w:t>
      </w:r>
      <w:r>
        <w:rPr>
          <w:rFonts w:ascii="Times New Roman" w:eastAsia="Times New Roman" w:hAnsi="Times New Roman" w:cs="Times New Roman"/>
          <w:noProof/>
          <w:sz w:val="24"/>
          <w:szCs w:val="24"/>
          <w:lang w:val="en-GB" w:eastAsia="en-GB"/>
        </w:rPr>
        <w:t xml:space="preserve"> cost of transferability should be kept at a minimum and no additional costs for the new employer to take on the provision of the transferred rights should occur (CEEP).</w:t>
      </w:r>
    </w:p>
    <w:p w:rsidR="001D3EAD" w:rsidRDefault="00B12A62">
      <w:pPr>
        <w:spacing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Willingness to enter into negotiations</w:t>
      </w:r>
    </w:p>
    <w:p w:rsidR="001D3EAD" w:rsidRDefault="00B12A62">
      <w:pPr>
        <w:spacing w:after="120" w:line="240" w:lineRule="auto"/>
        <w:jc w:val="both"/>
        <w:rPr>
          <w:rFonts w:ascii="Times New Roman" w:eastAsia="Times New Roman" w:hAnsi="Times New Roman" w:cs="Times New Roman"/>
          <w:noProof/>
          <w:lang w:val="en-GB" w:eastAsia="en-GB"/>
        </w:rPr>
      </w:pPr>
      <w:r>
        <w:rPr>
          <w:rFonts w:ascii="Times New Roman" w:eastAsia="Times New Roman" w:hAnsi="Times New Roman" w:cs="Times New Roman"/>
          <w:noProof/>
          <w:sz w:val="24"/>
          <w:szCs w:val="24"/>
          <w:lang w:val="en-GB" w:eastAsia="en-GB"/>
        </w:rPr>
        <w:t xml:space="preserve">All of the trade unions have indicated their </w:t>
      </w:r>
      <w:r>
        <w:rPr>
          <w:rFonts w:ascii="Times New Roman" w:eastAsia="Times New Roman" w:hAnsi="Times New Roman" w:cs="Times New Roman"/>
          <w:noProof/>
          <w:sz w:val="24"/>
          <w:szCs w:val="24"/>
          <w:lang w:val="en-GB" w:eastAsia="en-GB"/>
        </w:rPr>
        <w:t xml:space="preserve">willingness to enter into negotiations. However, ETUC was convinced that the conditions for formal negotiations no longer exist and other trade unions urge the Commission to come up with a legislative proposal before the 2019 European elections. Employers </w:t>
      </w:r>
      <w:r>
        <w:rPr>
          <w:rFonts w:ascii="Times New Roman" w:eastAsia="Times New Roman" w:hAnsi="Times New Roman" w:cs="Times New Roman"/>
          <w:noProof/>
          <w:sz w:val="24"/>
          <w:szCs w:val="24"/>
          <w:lang w:val="en-GB" w:eastAsia="en-GB"/>
        </w:rPr>
        <w:t>are not considering initiating a dialogue under Article 155 TFEU because they do not see the need for EU level action.</w:t>
      </w:r>
    </w:p>
    <w:p w:rsidR="001D3EAD" w:rsidRDefault="00B12A62">
      <w:pPr>
        <w:spacing w:after="120" w:line="240" w:lineRule="auto"/>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 xml:space="preserve">4. Results of the public consultation </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open public consultation (OPC) was open from 20 November 2017 until 15 January 2018. 119 </w:t>
      </w:r>
      <w:r>
        <w:rPr>
          <w:rFonts w:ascii="Times New Roman" w:eastAsia="Times New Roman" w:hAnsi="Times New Roman" w:cs="Times New Roman"/>
          <w:noProof/>
          <w:sz w:val="24"/>
          <w:szCs w:val="24"/>
          <w:lang w:val="en-GB" w:eastAsia="en-GB"/>
        </w:rPr>
        <w:t>respondents replied to the OPC of which 62 organisations, 7 administrations, 37 citizens and 13 others (e.g. research institutes, networks). Most replies came from countries with well-developed social protection systems like Germany (18), Belgium (16), Fra</w:t>
      </w:r>
      <w:r>
        <w:rPr>
          <w:rFonts w:ascii="Times New Roman" w:eastAsia="Times New Roman" w:hAnsi="Times New Roman" w:cs="Times New Roman"/>
          <w:noProof/>
          <w:sz w:val="24"/>
          <w:szCs w:val="24"/>
          <w:lang w:val="en-GB" w:eastAsia="en-GB"/>
        </w:rPr>
        <w:t>nce (15) and Sweden (14).15 position papers were received, mainly from Germany (5), Belgium (4), France (2) and the UK (2), and covering regional and central governments, social protection providers, cooperatives, organisations of self-employed, a trade un</w:t>
      </w:r>
      <w:r>
        <w:rPr>
          <w:rFonts w:ascii="Times New Roman" w:eastAsia="Times New Roman" w:hAnsi="Times New Roman" w:cs="Times New Roman"/>
          <w:noProof/>
          <w:sz w:val="24"/>
          <w:szCs w:val="24"/>
          <w:lang w:val="en-GB" w:eastAsia="en-GB"/>
        </w:rPr>
        <w:t>ion, a n</w:t>
      </w:r>
      <w:r>
        <w:rPr>
          <w:rFonts w:ascii="Times New Roman" w:eastAsia="Times New Roman" w:hAnsi="Times New Roman" w:cs="Times New Roman"/>
          <w:noProof/>
          <w:lang w:val="en-GB" w:eastAsia="en-GB"/>
        </w:rPr>
        <w:t>on-governmental organisation</w:t>
      </w:r>
      <w:r>
        <w:rPr>
          <w:rFonts w:ascii="Times New Roman" w:eastAsia="Times New Roman" w:hAnsi="Times New Roman" w:cs="Times New Roman"/>
          <w:noProof/>
          <w:sz w:val="24"/>
          <w:szCs w:val="24"/>
          <w:lang w:val="en-GB" w:eastAsia="en-GB"/>
        </w:rPr>
        <w:t xml:space="preserve"> and a company. </w:t>
      </w:r>
    </w:p>
    <w:p w:rsidR="001D3EAD" w:rsidRDefault="00B12A62">
      <w:pPr>
        <w:spacing w:after="0"/>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Challenges</w:t>
      </w:r>
    </w:p>
    <w:p w:rsidR="001D3EAD" w:rsidRDefault="00B12A62">
      <w:pPr>
        <w:spacing w:after="0" w:line="240" w:lineRule="auto"/>
        <w:ind w:right="-142"/>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"Do you agree with the identification of the challenges outlined in the background document?"</w:t>
      </w:r>
    </w:p>
    <w:p w:rsidR="001D3EAD" w:rsidRDefault="001D3EAD">
      <w:pPr>
        <w:spacing w:after="0" w:line="240" w:lineRule="auto"/>
        <w:ind w:right="-142"/>
        <w:rPr>
          <w:rFonts w:ascii="Times New Roman" w:eastAsia="Times New Roman" w:hAnsi="Times New Roman" w:cs="Times New Roman"/>
          <w:noProof/>
          <w:sz w:val="24"/>
          <w:szCs w:val="24"/>
          <w:lang w:val="en-GB" w:eastAsia="en-GB"/>
        </w:rPr>
      </w:pPr>
    </w:p>
    <w:p w:rsidR="001D3EAD" w:rsidRDefault="00B12A62">
      <w:pPr>
        <w:spacing w:after="0" w:line="240" w:lineRule="auto"/>
        <w:ind w:right="-142"/>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Around 2/3 of the respondents agreed with the challenges identified by the Commission. The highes</w:t>
      </w:r>
      <w:r>
        <w:rPr>
          <w:rFonts w:ascii="Times New Roman" w:eastAsia="Times New Roman" w:hAnsi="Times New Roman" w:cs="Times New Roman"/>
          <w:noProof/>
          <w:sz w:val="24"/>
          <w:szCs w:val="24"/>
          <w:lang w:val="en-GB" w:eastAsia="en-GB"/>
        </w:rPr>
        <w:t>t agreement was on gaps in effective coverage, followed by regulatory complexity.</w:t>
      </w:r>
    </w:p>
    <w:p w:rsidR="001D3EAD" w:rsidRDefault="001D3EAD">
      <w:pPr>
        <w:spacing w:after="0" w:line="240" w:lineRule="auto"/>
        <w:ind w:right="-142"/>
        <w:rPr>
          <w:rFonts w:ascii="Times New Roman" w:eastAsia="Times New Roman" w:hAnsi="Times New Roman" w:cs="Times New Roman"/>
          <w:noProof/>
          <w:sz w:val="24"/>
          <w:szCs w:val="24"/>
          <w:lang w:val="en-GB" w:eastAsia="en-GB"/>
        </w:rPr>
      </w:pPr>
    </w:p>
    <w:tbl>
      <w:tblPr>
        <w:tblStyle w:val="TableGrid1"/>
        <w:tblW w:w="0" w:type="auto"/>
        <w:tblLayout w:type="fixed"/>
        <w:tblLook w:val="04A0" w:firstRow="1" w:lastRow="0" w:firstColumn="1" w:lastColumn="0" w:noHBand="0" w:noVBand="1"/>
      </w:tblPr>
      <w:tblGrid>
        <w:gridCol w:w="4643"/>
        <w:gridCol w:w="4643"/>
      </w:tblGrid>
      <w:tr w:rsidR="001D3EAD" w:rsidRPr="00B12A62">
        <w:tc>
          <w:tcPr>
            <w:tcW w:w="4643" w:type="dxa"/>
          </w:tcPr>
          <w:p w:rsidR="001D3EAD" w:rsidRDefault="001D3EAD">
            <w:pPr>
              <w:ind w:right="-142"/>
              <w:rPr>
                <w:rFonts w:ascii="Times New Roman" w:eastAsia="Times New Roman" w:hAnsi="Times New Roman"/>
                <w:noProof/>
                <w:sz w:val="24"/>
                <w:szCs w:val="24"/>
              </w:rPr>
            </w:pPr>
          </w:p>
        </w:tc>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I agree (replies out of 119 replies)</w:t>
            </w:r>
          </w:p>
        </w:tc>
      </w:tr>
      <w:tr w:rsidR="001D3EAD">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Gaps in formal coverage</w:t>
            </w:r>
          </w:p>
        </w:tc>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66</w:t>
            </w:r>
          </w:p>
        </w:tc>
      </w:tr>
      <w:tr w:rsidR="001D3EAD">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Gaps in effective coverage</w:t>
            </w:r>
          </w:p>
        </w:tc>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78</w:t>
            </w:r>
          </w:p>
        </w:tc>
      </w:tr>
      <w:tr w:rsidR="001D3EAD">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Insufficient transferability</w:t>
            </w:r>
          </w:p>
        </w:tc>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65</w:t>
            </w:r>
          </w:p>
        </w:tc>
      </w:tr>
      <w:tr w:rsidR="001D3EAD">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Insufficient transparency</w:t>
            </w:r>
          </w:p>
        </w:tc>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69</w:t>
            </w:r>
          </w:p>
        </w:tc>
      </w:tr>
      <w:tr w:rsidR="001D3EAD">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 xml:space="preserve">Regulatory </w:t>
            </w:r>
            <w:r>
              <w:rPr>
                <w:rFonts w:ascii="Times New Roman" w:eastAsia="Times New Roman" w:hAnsi="Times New Roman"/>
                <w:noProof/>
                <w:sz w:val="24"/>
                <w:szCs w:val="24"/>
              </w:rPr>
              <w:t>complexity</w:t>
            </w:r>
          </w:p>
        </w:tc>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75</w:t>
            </w:r>
          </w:p>
        </w:tc>
      </w:tr>
      <w:tr w:rsidR="001D3EAD">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There are other challenges</w:t>
            </w:r>
          </w:p>
        </w:tc>
        <w:tc>
          <w:tcPr>
            <w:tcW w:w="4643" w:type="dxa"/>
          </w:tcPr>
          <w:p w:rsidR="001D3EAD" w:rsidRDefault="00B12A62">
            <w:pPr>
              <w:ind w:right="-142"/>
              <w:rPr>
                <w:rFonts w:ascii="Times New Roman" w:eastAsia="Times New Roman" w:hAnsi="Times New Roman"/>
                <w:noProof/>
                <w:sz w:val="24"/>
                <w:szCs w:val="24"/>
              </w:rPr>
            </w:pPr>
            <w:r>
              <w:rPr>
                <w:rFonts w:ascii="Times New Roman" w:eastAsia="Times New Roman" w:hAnsi="Times New Roman"/>
                <w:noProof/>
                <w:sz w:val="24"/>
                <w:szCs w:val="24"/>
              </w:rPr>
              <w:t>62</w:t>
            </w:r>
          </w:p>
        </w:tc>
      </w:tr>
    </w:tbl>
    <w:p w:rsidR="001D3EAD" w:rsidRDefault="001D3EAD">
      <w:pPr>
        <w:spacing w:after="0" w:line="240" w:lineRule="auto"/>
        <w:ind w:right="-142"/>
        <w:rPr>
          <w:rFonts w:ascii="Times New Roman" w:eastAsia="Times New Roman" w:hAnsi="Times New Roman" w:cs="Times New Roman"/>
          <w:noProof/>
          <w:sz w:val="24"/>
          <w:szCs w:val="24"/>
          <w:lang w:val="en-GB" w:eastAsia="en-GB"/>
        </w:rPr>
      </w:pPr>
    </w:p>
    <w:p w:rsidR="001D3EAD" w:rsidRDefault="00B12A62">
      <w:pPr>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br w:type="page"/>
      </w:r>
    </w:p>
    <w:p w:rsidR="001D3EAD" w:rsidRDefault="001D3EAD">
      <w:pPr>
        <w:spacing w:after="120"/>
        <w:rPr>
          <w:rFonts w:ascii="Times New Roman" w:eastAsia="Times New Roman" w:hAnsi="Times New Roman" w:cs="Times New Roman"/>
          <w:b/>
          <w:noProof/>
          <w:sz w:val="24"/>
          <w:szCs w:val="24"/>
          <w:lang w:val="en-GB" w:eastAsia="en-GB"/>
        </w:rPr>
      </w:pPr>
    </w:p>
    <w:p w:rsidR="001D3EAD" w:rsidRDefault="00B12A62">
      <w:pPr>
        <w:spacing w:after="120"/>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Principles</w:t>
      </w:r>
    </w:p>
    <w:p w:rsidR="001D3EAD" w:rsidRDefault="00B12A62">
      <w:pPr>
        <w:spacing w:after="120" w:line="240"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"Do you think that the following general policy principles should be pursued by a possible EU initiative?"</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great majority of the respondents largely agreed that the principles should be pursu</w:t>
      </w:r>
      <w:r>
        <w:rPr>
          <w:rFonts w:ascii="Times New Roman" w:eastAsia="Times New Roman" w:hAnsi="Times New Roman" w:cs="Times New Roman"/>
          <w:noProof/>
          <w:sz w:val="24"/>
          <w:szCs w:val="24"/>
          <w:lang w:val="en-GB" w:eastAsia="en-GB"/>
        </w:rPr>
        <w:t>ed by a possible EU action include the provision of adequate social protection to all workers regardless of their employment relationship, tying rights to individuals as they work and making rights transferable, making information transparent and simplifyi</w:t>
      </w:r>
      <w:r>
        <w:rPr>
          <w:rFonts w:ascii="Times New Roman" w:eastAsia="Times New Roman" w:hAnsi="Times New Roman" w:cs="Times New Roman"/>
          <w:noProof/>
          <w:sz w:val="24"/>
          <w:szCs w:val="24"/>
          <w:lang w:val="en-GB" w:eastAsia="en-GB"/>
        </w:rPr>
        <w:t xml:space="preserve">ng administrative requirements. Only 14 respondents did agree with the option that 'no action was required' </w:t>
      </w:r>
    </w:p>
    <w:p w:rsidR="001D3EAD" w:rsidRDefault="001D3EAD">
      <w:pPr>
        <w:spacing w:after="120" w:line="240" w:lineRule="auto"/>
        <w:jc w:val="both"/>
        <w:rPr>
          <w:rFonts w:ascii="Times New Roman" w:eastAsia="Times New Roman" w:hAnsi="Times New Roman" w:cs="Times New Roman"/>
          <w:noProof/>
          <w:sz w:val="24"/>
          <w:szCs w:val="24"/>
          <w:lang w:val="en-GB" w:eastAsia="en-GB"/>
        </w:rPr>
      </w:pPr>
    </w:p>
    <w:tbl>
      <w:tblPr>
        <w:tblStyle w:val="TableGrid1"/>
        <w:tblW w:w="0" w:type="auto"/>
        <w:tblLayout w:type="fixed"/>
        <w:tblLook w:val="04A0" w:firstRow="1" w:lastRow="0" w:firstColumn="1" w:lastColumn="0" w:noHBand="0" w:noVBand="1"/>
      </w:tblPr>
      <w:tblGrid>
        <w:gridCol w:w="7052"/>
        <w:gridCol w:w="2234"/>
      </w:tblGrid>
      <w:tr w:rsidR="001D3EAD" w:rsidRPr="00B12A62">
        <w:tc>
          <w:tcPr>
            <w:tcW w:w="7052" w:type="dxa"/>
          </w:tcPr>
          <w:p w:rsidR="001D3EAD" w:rsidRDefault="001D3EAD">
            <w:pPr>
              <w:spacing w:after="120"/>
              <w:jc w:val="both"/>
              <w:rPr>
                <w:rFonts w:ascii="Times New Roman" w:eastAsia="Times New Roman" w:hAnsi="Times New Roman"/>
                <w:noProof/>
                <w:sz w:val="24"/>
                <w:szCs w:val="24"/>
              </w:rPr>
            </w:pPr>
          </w:p>
        </w:tc>
        <w:tc>
          <w:tcPr>
            <w:tcW w:w="2234"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 agree (replies out of 119 replies)</w:t>
            </w:r>
          </w:p>
        </w:tc>
      </w:tr>
      <w:tr w:rsidR="001D3EAD">
        <w:tc>
          <w:tcPr>
            <w:tcW w:w="7052"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Regardless of the type and duration of their employment relationship, workers, and, under comparable </w:t>
            </w:r>
            <w:r>
              <w:rPr>
                <w:rFonts w:ascii="Times New Roman" w:eastAsia="Times New Roman" w:hAnsi="Times New Roman"/>
                <w:noProof/>
                <w:sz w:val="24"/>
                <w:szCs w:val="24"/>
              </w:rPr>
              <w:t>conditions, the self-employed, have the right to adequate social protection</w:t>
            </w:r>
          </w:p>
        </w:tc>
        <w:tc>
          <w:tcPr>
            <w:tcW w:w="2234"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85</w:t>
            </w:r>
          </w:p>
        </w:tc>
      </w:tr>
      <w:tr w:rsidR="001D3EAD">
        <w:tc>
          <w:tcPr>
            <w:tcW w:w="7052"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Tying rights to individuals as they work (and not to the contract) and making rights transferable</w:t>
            </w:r>
          </w:p>
        </w:tc>
        <w:tc>
          <w:tcPr>
            <w:tcW w:w="2234"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72</w:t>
            </w:r>
          </w:p>
        </w:tc>
      </w:tr>
      <w:tr w:rsidR="001D3EAD">
        <w:tc>
          <w:tcPr>
            <w:tcW w:w="7052"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Making rights and related information transparent</w:t>
            </w:r>
          </w:p>
        </w:tc>
        <w:tc>
          <w:tcPr>
            <w:tcW w:w="2234"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86</w:t>
            </w:r>
          </w:p>
        </w:tc>
      </w:tr>
      <w:tr w:rsidR="001D3EAD">
        <w:tc>
          <w:tcPr>
            <w:tcW w:w="7052"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Simplifying </w:t>
            </w:r>
            <w:r>
              <w:rPr>
                <w:rFonts w:ascii="Times New Roman" w:eastAsia="Times New Roman" w:hAnsi="Times New Roman"/>
                <w:noProof/>
                <w:sz w:val="24"/>
                <w:szCs w:val="24"/>
              </w:rPr>
              <w:t>administrative requirements</w:t>
            </w:r>
          </w:p>
        </w:tc>
        <w:tc>
          <w:tcPr>
            <w:tcW w:w="2234"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82</w:t>
            </w:r>
          </w:p>
        </w:tc>
      </w:tr>
      <w:tr w:rsidR="001D3EAD">
        <w:tc>
          <w:tcPr>
            <w:tcW w:w="7052"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No action required</w:t>
            </w:r>
          </w:p>
        </w:tc>
        <w:tc>
          <w:tcPr>
            <w:tcW w:w="2234"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14</w:t>
            </w:r>
          </w:p>
        </w:tc>
      </w:tr>
    </w:tbl>
    <w:p w:rsidR="001D3EAD" w:rsidRDefault="001D3EAD">
      <w:pPr>
        <w:spacing w:after="120"/>
        <w:rPr>
          <w:rFonts w:ascii="Times New Roman" w:eastAsia="Times New Roman" w:hAnsi="Times New Roman" w:cs="Times New Roman"/>
          <w:b/>
          <w:noProof/>
          <w:sz w:val="24"/>
          <w:szCs w:val="24"/>
          <w:lang w:val="en-GB" w:eastAsia="en-GB"/>
        </w:rPr>
      </w:pPr>
    </w:p>
    <w:p w:rsidR="001D3EAD" w:rsidRDefault="00B12A62">
      <w:pPr>
        <w:spacing w:after="120"/>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Options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relation to the options listed, 69.7 % of the respondents said that social protection rights and obligations should be mandatory for every kind of job, irrespective of the type of contract </w:t>
      </w:r>
      <w:r>
        <w:rPr>
          <w:rFonts w:ascii="Times New Roman" w:eastAsia="Times New Roman" w:hAnsi="Times New Roman" w:cs="Times New Roman"/>
          <w:noProof/>
          <w:sz w:val="24"/>
          <w:szCs w:val="24"/>
          <w:lang w:val="en-GB" w:eastAsia="en-GB"/>
        </w:rPr>
        <w:t>and 56.3 % of the respondents consider that the mandatory protection and contributions of non-standard workers should be aligned to the level of standard workers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64.7 % or the respondents think that social protection rights and obligations should be mandat</w:t>
      </w:r>
      <w:r>
        <w:rPr>
          <w:rFonts w:ascii="Times New Roman" w:eastAsia="Times New Roman" w:hAnsi="Times New Roman" w:cs="Times New Roman"/>
          <w:noProof/>
          <w:sz w:val="24"/>
          <w:szCs w:val="24"/>
          <w:lang w:val="en-GB" w:eastAsia="en-GB"/>
        </w:rPr>
        <w:t>ory for all self-employed and 47.1 % of the respondents think that mandatory protection and contributions of the self-employed should be aligned to the level of standard workers.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Finally 52.94 % of the respondents think that a single social protection sche</w:t>
      </w:r>
      <w:r>
        <w:rPr>
          <w:rFonts w:ascii="Times New Roman" w:eastAsia="Times New Roman" w:hAnsi="Times New Roman" w:cs="Times New Roman"/>
          <w:noProof/>
          <w:sz w:val="24"/>
          <w:szCs w:val="24"/>
          <w:lang w:val="en-GB" w:eastAsia="en-GB"/>
        </w:rPr>
        <w:t>me covering all people in employment would be the most appropriate way to ensure effective coverage. Even 54.6 % of the respondents consider a single social protection scheme appropriate for self-employed.</w:t>
      </w:r>
    </w:p>
    <w:p w:rsidR="001D3EAD" w:rsidRDefault="001D3EAD">
      <w:pPr>
        <w:spacing w:after="120" w:line="240" w:lineRule="auto"/>
        <w:rPr>
          <w:rFonts w:ascii="Times New Roman" w:eastAsia="Times New Roman" w:hAnsi="Times New Roman" w:cs="Times New Roman"/>
          <w:b/>
          <w:noProof/>
          <w:sz w:val="24"/>
          <w:szCs w:val="24"/>
          <w:lang w:val="en-GB" w:eastAsia="en-GB"/>
        </w:rPr>
      </w:pPr>
    </w:p>
    <w:p w:rsidR="001D3EAD" w:rsidRDefault="00B12A62">
      <w:pPr>
        <w:spacing w:after="120" w:line="240" w:lineRule="auto"/>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Instruments</w:t>
      </w: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Almost three quarters of the </w:t>
      </w:r>
      <w:r>
        <w:rPr>
          <w:rFonts w:ascii="Times New Roman" w:eastAsia="Times New Roman" w:hAnsi="Times New Roman" w:cs="Times New Roman"/>
          <w:noProof/>
          <w:sz w:val="24"/>
          <w:szCs w:val="24"/>
          <w:lang w:val="en-GB" w:eastAsia="en-GB"/>
        </w:rPr>
        <w:t xml:space="preserve">respondents (72.3 %) highlight the need for an EU level action.54.6 % of the respondents consider the introduction of a new EU legislation (e.g. a directive) as highly effective. Only 4.2 % of the respondents think that soft EU legislation (e.g. a Council </w:t>
      </w:r>
      <w:r>
        <w:rPr>
          <w:rFonts w:ascii="Times New Roman" w:eastAsia="Times New Roman" w:hAnsi="Times New Roman" w:cs="Times New Roman"/>
          <w:noProof/>
          <w:sz w:val="24"/>
          <w:szCs w:val="24"/>
          <w:lang w:val="en-GB" w:eastAsia="en-GB"/>
        </w:rPr>
        <w:t>recommendation) would be highly effective.</w:t>
      </w:r>
    </w:p>
    <w:p w:rsidR="001D3EAD" w:rsidRDefault="001D3EAD">
      <w:pPr>
        <w:spacing w:after="120"/>
        <w:rPr>
          <w:rFonts w:ascii="Times New Roman" w:eastAsia="Times New Roman" w:hAnsi="Times New Roman" w:cs="Times New Roman"/>
          <w:b/>
          <w:noProof/>
          <w:sz w:val="24"/>
          <w:szCs w:val="24"/>
          <w:lang w:val="en-GB" w:eastAsia="en-GB"/>
        </w:rPr>
      </w:pPr>
    </w:p>
    <w:p w:rsidR="001D3EAD" w:rsidRDefault="00B12A62">
      <w:pPr>
        <w:spacing w:after="120"/>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Impacts</w:t>
      </w:r>
    </w:p>
    <w:p w:rsidR="001D3EAD" w:rsidRDefault="00B12A62">
      <w:pPr>
        <w:spacing w:after="120" w:line="240"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According to the large majority of the respondents, the impact of making social protection rights </w:t>
      </w:r>
      <w:r>
        <w:rPr>
          <w:rFonts w:ascii="Times New Roman" w:eastAsia="Times New Roman" w:hAnsi="Times New Roman" w:cs="Times New Roman"/>
          <w:b/>
          <w:noProof/>
          <w:sz w:val="24"/>
          <w:szCs w:val="24"/>
          <w:lang w:val="en-GB" w:eastAsia="en-GB"/>
        </w:rPr>
        <w:t>mandatory</w:t>
      </w:r>
      <w:r>
        <w:rPr>
          <w:rFonts w:ascii="Times New Roman" w:eastAsia="Times New Roman" w:hAnsi="Times New Roman" w:cs="Times New Roman"/>
          <w:noProof/>
          <w:sz w:val="24"/>
          <w:szCs w:val="24"/>
          <w:lang w:val="en-GB" w:eastAsia="en-GB"/>
        </w:rPr>
        <w:t xml:space="preserve"> to all forms of employment would be positive for the European society, the labour market, the wo</w:t>
      </w:r>
      <w:r>
        <w:rPr>
          <w:rFonts w:ascii="Times New Roman" w:eastAsia="Times New Roman" w:hAnsi="Times New Roman" w:cs="Times New Roman"/>
          <w:noProof/>
          <w:sz w:val="24"/>
          <w:szCs w:val="24"/>
          <w:lang w:val="en-GB" w:eastAsia="en-GB"/>
        </w:rPr>
        <w:t>rkers, public finances and the economy</w:t>
      </w:r>
    </w:p>
    <w:p w:rsidR="001D3EAD" w:rsidRDefault="001D3EAD">
      <w:pPr>
        <w:spacing w:after="120" w:line="240" w:lineRule="auto"/>
        <w:rPr>
          <w:rFonts w:ascii="Times New Roman" w:eastAsia="Times New Roman" w:hAnsi="Times New Roman" w:cs="Times New Roman"/>
          <w:noProof/>
          <w:sz w:val="24"/>
          <w:szCs w:val="24"/>
          <w:lang w:val="en-GB" w:eastAsia="en-GB"/>
        </w:rPr>
      </w:pPr>
    </w:p>
    <w:p w:rsidR="001D3EAD" w:rsidRDefault="00B12A62">
      <w:pPr>
        <w:spacing w:after="120" w:line="240" w:lineRule="auto"/>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"According to your assessment, the impact of making social protection rights mandatory in all forms of employment would be positive, neutral or negative for: The economy"</w:t>
      </w:r>
    </w:p>
    <w:tbl>
      <w:tblPr>
        <w:tblStyle w:val="TableGrid1"/>
        <w:tblW w:w="0" w:type="auto"/>
        <w:tblLayout w:type="fixed"/>
        <w:tblLook w:val="04A0" w:firstRow="1" w:lastRow="0" w:firstColumn="1" w:lastColumn="0" w:noHBand="0" w:noVBand="1"/>
      </w:tblPr>
      <w:tblGrid>
        <w:gridCol w:w="4643"/>
        <w:gridCol w:w="4643"/>
      </w:tblGrid>
      <w:tr w:rsidR="001D3EAD" w:rsidRPr="00B12A62">
        <w:tc>
          <w:tcPr>
            <w:tcW w:w="4643" w:type="dxa"/>
          </w:tcPr>
          <w:p w:rsidR="001D3EAD" w:rsidRDefault="001D3EAD">
            <w:pPr>
              <w:spacing w:after="120"/>
              <w:rPr>
                <w:rFonts w:ascii="Times New Roman" w:eastAsia="Times New Roman" w:hAnsi="Times New Roman"/>
                <w:noProof/>
                <w:sz w:val="24"/>
                <w:szCs w:val="24"/>
              </w:rPr>
            </w:pPr>
          </w:p>
        </w:tc>
        <w:tc>
          <w:tcPr>
            <w:tcW w:w="4643"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Positive (replies out of 119 replies)</w:t>
            </w:r>
          </w:p>
        </w:tc>
      </w:tr>
      <w:tr w:rsidR="001D3EAD">
        <w:tc>
          <w:tcPr>
            <w:tcW w:w="4643"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Competitiveness</w:t>
            </w:r>
          </w:p>
        </w:tc>
        <w:tc>
          <w:tcPr>
            <w:tcW w:w="4643"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73</w:t>
            </w:r>
          </w:p>
        </w:tc>
      </w:tr>
      <w:tr w:rsidR="001D3EAD">
        <w:tc>
          <w:tcPr>
            <w:tcW w:w="4643"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Resilience and adaptability</w:t>
            </w:r>
          </w:p>
        </w:tc>
        <w:tc>
          <w:tcPr>
            <w:tcW w:w="4643"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72</w:t>
            </w:r>
          </w:p>
        </w:tc>
      </w:tr>
      <w:tr w:rsidR="001D3EAD">
        <w:tc>
          <w:tcPr>
            <w:tcW w:w="4643"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Economic growth</w:t>
            </w:r>
          </w:p>
        </w:tc>
        <w:tc>
          <w:tcPr>
            <w:tcW w:w="4643"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72</w:t>
            </w:r>
          </w:p>
        </w:tc>
      </w:tr>
    </w:tbl>
    <w:p w:rsidR="001D3EAD" w:rsidRDefault="001D3EAD">
      <w:pPr>
        <w:spacing w:after="120" w:line="240" w:lineRule="auto"/>
        <w:jc w:val="both"/>
        <w:rPr>
          <w:rFonts w:ascii="Times New Roman" w:eastAsia="Times New Roman" w:hAnsi="Times New Roman" w:cs="Times New Roman"/>
          <w:noProof/>
          <w:sz w:val="24"/>
          <w:szCs w:val="24"/>
          <w:lang w:val="en-GB" w:eastAsia="en-GB"/>
        </w:rPr>
      </w:pP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but rather neutral on small and medium sized enterprises (SMEs)</w:t>
      </w:r>
    </w:p>
    <w:p w:rsidR="001D3EAD" w:rsidRDefault="00B12A62">
      <w:pPr>
        <w:spacing w:after="120" w:line="240"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"According to your assessment, the impact of making social protection rights mandatory in all forms of employment would</w:t>
      </w:r>
      <w:r>
        <w:rPr>
          <w:rFonts w:ascii="Times New Roman" w:eastAsia="Times New Roman" w:hAnsi="Times New Roman" w:cs="Times New Roman"/>
          <w:i/>
          <w:noProof/>
          <w:sz w:val="24"/>
          <w:szCs w:val="24"/>
          <w:lang w:val="en-GB" w:eastAsia="en-GB"/>
        </w:rPr>
        <w:t xml:space="preserve"> be positive, neutral or negative for: Small and medium sized enterprises"</w:t>
      </w:r>
    </w:p>
    <w:tbl>
      <w:tblPr>
        <w:tblStyle w:val="TableGrid1"/>
        <w:tblW w:w="0" w:type="auto"/>
        <w:tblLayout w:type="fixed"/>
        <w:tblLook w:val="04A0" w:firstRow="1" w:lastRow="0" w:firstColumn="1" w:lastColumn="0" w:noHBand="0" w:noVBand="1"/>
      </w:tblPr>
      <w:tblGrid>
        <w:gridCol w:w="4643"/>
        <w:gridCol w:w="4643"/>
      </w:tblGrid>
      <w:tr w:rsidR="001D3EAD" w:rsidRPr="00B12A62">
        <w:tc>
          <w:tcPr>
            <w:tcW w:w="4643" w:type="dxa"/>
          </w:tcPr>
          <w:p w:rsidR="001D3EAD" w:rsidRDefault="001D3EAD">
            <w:pPr>
              <w:spacing w:after="120"/>
              <w:jc w:val="both"/>
              <w:rPr>
                <w:rFonts w:ascii="Times New Roman" w:eastAsia="Times New Roman" w:hAnsi="Times New Roman"/>
                <w:noProof/>
                <w:sz w:val="24"/>
                <w:szCs w:val="24"/>
              </w:rPr>
            </w:pPr>
          </w:p>
        </w:tc>
        <w:tc>
          <w:tcPr>
            <w:tcW w:w="4643"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Neutral (replies out of 119 replies)</w:t>
            </w:r>
          </w:p>
        </w:tc>
      </w:tr>
      <w:tr w:rsidR="001D3EAD">
        <w:tc>
          <w:tcPr>
            <w:tcW w:w="4643"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Cost</w:t>
            </w:r>
          </w:p>
        </w:tc>
        <w:tc>
          <w:tcPr>
            <w:tcW w:w="4643"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51</w:t>
            </w:r>
          </w:p>
        </w:tc>
      </w:tr>
      <w:tr w:rsidR="001D3EAD">
        <w:tc>
          <w:tcPr>
            <w:tcW w:w="4643"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Competition</w:t>
            </w:r>
          </w:p>
        </w:tc>
        <w:tc>
          <w:tcPr>
            <w:tcW w:w="4643"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45</w:t>
            </w:r>
          </w:p>
        </w:tc>
      </w:tr>
    </w:tbl>
    <w:p w:rsidR="001D3EAD" w:rsidRDefault="001D3EAD">
      <w:pPr>
        <w:spacing w:after="120" w:line="240" w:lineRule="auto"/>
        <w:jc w:val="both"/>
        <w:rPr>
          <w:rFonts w:ascii="Times New Roman" w:eastAsia="Times New Roman" w:hAnsi="Times New Roman" w:cs="Times New Roman"/>
          <w:noProof/>
          <w:sz w:val="24"/>
          <w:szCs w:val="24"/>
          <w:lang w:val="en-GB" w:eastAsia="en-GB"/>
        </w:rPr>
      </w:pP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On the other hand, the impact of making social protection rights </w:t>
      </w:r>
      <w:r>
        <w:rPr>
          <w:rFonts w:ascii="Times New Roman" w:eastAsia="Times New Roman" w:hAnsi="Times New Roman" w:cs="Times New Roman"/>
          <w:b/>
          <w:noProof/>
          <w:sz w:val="24"/>
          <w:szCs w:val="24"/>
          <w:lang w:val="en-GB" w:eastAsia="en-GB"/>
        </w:rPr>
        <w:t>voluntary</w:t>
      </w:r>
      <w:r>
        <w:rPr>
          <w:rFonts w:ascii="Times New Roman" w:eastAsia="Times New Roman" w:hAnsi="Times New Roman" w:cs="Times New Roman"/>
          <w:noProof/>
          <w:sz w:val="24"/>
          <w:szCs w:val="24"/>
          <w:lang w:val="en-GB" w:eastAsia="en-GB"/>
        </w:rPr>
        <w:t xml:space="preserve"> where gaps currently exist would have a n</w:t>
      </w:r>
      <w:r>
        <w:rPr>
          <w:rFonts w:ascii="Times New Roman" w:eastAsia="Times New Roman" w:hAnsi="Times New Roman" w:cs="Times New Roman"/>
          <w:noProof/>
          <w:sz w:val="24"/>
          <w:szCs w:val="24"/>
          <w:lang w:val="en-GB" w:eastAsia="en-GB"/>
        </w:rPr>
        <w:t>eutral/negative impact on the European society, the labour market, the workers, public finances and the economy.</w:t>
      </w:r>
    </w:p>
    <w:p w:rsidR="001D3EAD" w:rsidRDefault="001D3EAD">
      <w:pPr>
        <w:spacing w:after="120" w:line="240" w:lineRule="auto"/>
        <w:jc w:val="both"/>
        <w:rPr>
          <w:rFonts w:ascii="Times New Roman" w:eastAsia="Times New Roman" w:hAnsi="Times New Roman" w:cs="Times New Roman"/>
          <w:noProof/>
          <w:sz w:val="24"/>
          <w:szCs w:val="24"/>
          <w:lang w:val="en-GB" w:eastAsia="en-GB"/>
        </w:rPr>
      </w:pPr>
    </w:p>
    <w:p w:rsidR="001D3EAD" w:rsidRDefault="00B12A62">
      <w:pPr>
        <w:spacing w:after="120" w:line="240"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"According to your assessment, the impact of making social protection rights voluntary where gaps currently exist would be: The economy"</w:t>
      </w:r>
    </w:p>
    <w:tbl>
      <w:tblPr>
        <w:tblStyle w:val="TableGrid1"/>
        <w:tblW w:w="0" w:type="auto"/>
        <w:tblLayout w:type="fixed"/>
        <w:tblLook w:val="04A0" w:firstRow="1" w:lastRow="0" w:firstColumn="1" w:lastColumn="0" w:noHBand="0" w:noVBand="1"/>
      </w:tblPr>
      <w:tblGrid>
        <w:gridCol w:w="3439"/>
        <w:gridCol w:w="2760"/>
        <w:gridCol w:w="3087"/>
      </w:tblGrid>
      <w:tr w:rsidR="001D3EAD" w:rsidRPr="00B12A62">
        <w:tc>
          <w:tcPr>
            <w:tcW w:w="3439" w:type="dxa"/>
          </w:tcPr>
          <w:p w:rsidR="001D3EAD" w:rsidRDefault="001D3EAD">
            <w:pPr>
              <w:spacing w:after="120"/>
              <w:rPr>
                <w:rFonts w:ascii="Times New Roman" w:eastAsia="Times New Roman" w:hAnsi="Times New Roman"/>
                <w:noProof/>
                <w:sz w:val="24"/>
                <w:szCs w:val="24"/>
              </w:rPr>
            </w:pPr>
          </w:p>
        </w:tc>
        <w:tc>
          <w:tcPr>
            <w:tcW w:w="2760"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Negative (replies out of 119 replies</w:t>
            </w:r>
          </w:p>
        </w:tc>
        <w:tc>
          <w:tcPr>
            <w:tcW w:w="3087"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Neutral (replies out of 119 replies)</w:t>
            </w:r>
          </w:p>
        </w:tc>
      </w:tr>
      <w:tr w:rsidR="001D3EAD">
        <w:tc>
          <w:tcPr>
            <w:tcW w:w="3439"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Competitiveness</w:t>
            </w:r>
          </w:p>
        </w:tc>
        <w:tc>
          <w:tcPr>
            <w:tcW w:w="2760"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45</w:t>
            </w:r>
          </w:p>
        </w:tc>
        <w:tc>
          <w:tcPr>
            <w:tcW w:w="3087"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 xml:space="preserve">43 </w:t>
            </w:r>
          </w:p>
        </w:tc>
      </w:tr>
      <w:tr w:rsidR="001D3EAD">
        <w:tc>
          <w:tcPr>
            <w:tcW w:w="3439"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Resilience and adaptability</w:t>
            </w:r>
          </w:p>
        </w:tc>
        <w:tc>
          <w:tcPr>
            <w:tcW w:w="2760"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49</w:t>
            </w:r>
          </w:p>
        </w:tc>
        <w:tc>
          <w:tcPr>
            <w:tcW w:w="3087"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40</w:t>
            </w:r>
          </w:p>
        </w:tc>
      </w:tr>
      <w:tr w:rsidR="001D3EAD">
        <w:tc>
          <w:tcPr>
            <w:tcW w:w="3439"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Economic growth</w:t>
            </w:r>
          </w:p>
        </w:tc>
        <w:tc>
          <w:tcPr>
            <w:tcW w:w="2760"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49</w:t>
            </w:r>
          </w:p>
        </w:tc>
        <w:tc>
          <w:tcPr>
            <w:tcW w:w="3087" w:type="dxa"/>
          </w:tcPr>
          <w:p w:rsidR="001D3EAD" w:rsidRDefault="00B12A62">
            <w:pPr>
              <w:spacing w:after="120"/>
              <w:rPr>
                <w:rFonts w:ascii="Times New Roman" w:eastAsia="Times New Roman" w:hAnsi="Times New Roman"/>
                <w:noProof/>
                <w:sz w:val="24"/>
                <w:szCs w:val="24"/>
              </w:rPr>
            </w:pPr>
            <w:r>
              <w:rPr>
                <w:rFonts w:ascii="Times New Roman" w:eastAsia="Times New Roman" w:hAnsi="Times New Roman"/>
                <w:noProof/>
                <w:sz w:val="24"/>
                <w:szCs w:val="24"/>
              </w:rPr>
              <w:t>41</w:t>
            </w:r>
          </w:p>
        </w:tc>
      </w:tr>
    </w:tbl>
    <w:p w:rsidR="001D3EAD" w:rsidRDefault="001D3EAD">
      <w:pPr>
        <w:spacing w:after="120" w:line="240" w:lineRule="auto"/>
        <w:jc w:val="both"/>
        <w:rPr>
          <w:rFonts w:ascii="Times New Roman" w:eastAsia="Times New Roman" w:hAnsi="Times New Roman" w:cs="Times New Roman"/>
          <w:noProof/>
          <w:sz w:val="24"/>
          <w:szCs w:val="24"/>
          <w:lang w:val="en-GB" w:eastAsia="en-GB"/>
        </w:rPr>
      </w:pPr>
    </w:p>
    <w:p w:rsidR="001D3EAD" w:rsidRDefault="00B12A62">
      <w:pPr>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but rather neutral on small and medium sized enterprises (SMEs)</w:t>
      </w:r>
    </w:p>
    <w:p w:rsidR="001D3EAD" w:rsidRDefault="00B12A62">
      <w:pPr>
        <w:spacing w:after="120"/>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i/>
          <w:noProof/>
          <w:sz w:val="24"/>
          <w:szCs w:val="24"/>
          <w:lang w:val="en-GB" w:eastAsia="en-GB"/>
        </w:rPr>
        <w:t>"According to your assessment, the</w:t>
      </w:r>
      <w:r>
        <w:rPr>
          <w:rFonts w:ascii="Times New Roman" w:eastAsia="Times New Roman" w:hAnsi="Times New Roman" w:cs="Times New Roman"/>
          <w:i/>
          <w:noProof/>
          <w:sz w:val="24"/>
          <w:szCs w:val="24"/>
          <w:lang w:val="en-GB" w:eastAsia="en-GB"/>
        </w:rPr>
        <w:t xml:space="preserve"> impact of making social protection rights voluntary where gaps currently exist would be: Small and medium sized enterprises"</w:t>
      </w:r>
    </w:p>
    <w:tbl>
      <w:tblPr>
        <w:tblStyle w:val="TableGrid1"/>
        <w:tblW w:w="0" w:type="auto"/>
        <w:tblLayout w:type="fixed"/>
        <w:tblLook w:val="04A0" w:firstRow="1" w:lastRow="0" w:firstColumn="1" w:lastColumn="0" w:noHBand="0" w:noVBand="1"/>
      </w:tblPr>
      <w:tblGrid>
        <w:gridCol w:w="4643"/>
        <w:gridCol w:w="4643"/>
      </w:tblGrid>
      <w:tr w:rsidR="001D3EAD">
        <w:tc>
          <w:tcPr>
            <w:tcW w:w="4643" w:type="dxa"/>
          </w:tcPr>
          <w:p w:rsidR="001D3EAD" w:rsidRDefault="001D3EAD">
            <w:pPr>
              <w:spacing w:after="120"/>
              <w:jc w:val="both"/>
              <w:rPr>
                <w:rFonts w:ascii="Times New Roman" w:eastAsia="Times New Roman" w:hAnsi="Times New Roman"/>
                <w:noProof/>
                <w:sz w:val="24"/>
                <w:szCs w:val="24"/>
              </w:rPr>
            </w:pPr>
          </w:p>
        </w:tc>
        <w:tc>
          <w:tcPr>
            <w:tcW w:w="4643"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Neutral (replies out of 119 replies)</w:t>
            </w:r>
          </w:p>
        </w:tc>
      </w:tr>
      <w:tr w:rsidR="001D3EAD">
        <w:tc>
          <w:tcPr>
            <w:tcW w:w="4643"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Cost</w:t>
            </w:r>
          </w:p>
        </w:tc>
        <w:tc>
          <w:tcPr>
            <w:tcW w:w="4643"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55</w:t>
            </w:r>
          </w:p>
        </w:tc>
      </w:tr>
      <w:tr w:rsidR="001D3EAD">
        <w:tc>
          <w:tcPr>
            <w:tcW w:w="4643"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Competition</w:t>
            </w:r>
          </w:p>
        </w:tc>
        <w:tc>
          <w:tcPr>
            <w:tcW w:w="4643" w:type="dxa"/>
          </w:tcPr>
          <w:p w:rsidR="001D3EAD" w:rsidRDefault="00B12A62">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62</w:t>
            </w:r>
          </w:p>
        </w:tc>
      </w:tr>
    </w:tbl>
    <w:p w:rsidR="001D3EAD" w:rsidRDefault="001D3EAD">
      <w:pPr>
        <w:spacing w:after="120"/>
        <w:rPr>
          <w:rFonts w:ascii="Times New Roman" w:eastAsia="Times New Roman" w:hAnsi="Times New Roman" w:cs="Times New Roman"/>
          <w:b/>
          <w:noProof/>
          <w:sz w:val="24"/>
          <w:szCs w:val="24"/>
          <w:lang w:val="en-GB" w:eastAsia="en-GB"/>
        </w:rPr>
      </w:pPr>
    </w:p>
    <w:p w:rsidR="001D3EAD" w:rsidRDefault="001D3EAD">
      <w:pPr>
        <w:rPr>
          <w:noProof/>
          <w:lang w:val="en-GB"/>
        </w:rPr>
      </w:pPr>
    </w:p>
    <w:sectPr w:rsidR="001D3EA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AD" w:rsidRDefault="00B12A62">
      <w:pPr>
        <w:spacing w:after="0" w:line="240" w:lineRule="auto"/>
      </w:pPr>
      <w:r>
        <w:separator/>
      </w:r>
    </w:p>
  </w:endnote>
  <w:endnote w:type="continuationSeparator" w:id="0">
    <w:p w:rsidR="001D3EAD" w:rsidRDefault="00B1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62" w:rsidRPr="00B12A62" w:rsidRDefault="00B12A62" w:rsidP="00B12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62" w:rsidRPr="00B12A62" w:rsidRDefault="00B12A62" w:rsidP="00B12A62">
    <w:pPr>
      <w:pStyle w:val="FooterCoverPage"/>
      <w:rPr>
        <w:rFonts w:ascii="Arial" w:hAnsi="Arial" w:cs="Arial"/>
        <w:b/>
        <w:sz w:val="48"/>
      </w:rPr>
    </w:pPr>
    <w:r w:rsidRPr="00B12A62">
      <w:rPr>
        <w:rFonts w:ascii="Arial" w:hAnsi="Arial" w:cs="Arial"/>
        <w:b/>
        <w:sz w:val="48"/>
      </w:rPr>
      <w:t>EN</w:t>
    </w:r>
    <w:r w:rsidRPr="00B12A62">
      <w:rPr>
        <w:rFonts w:ascii="Arial" w:hAnsi="Arial" w:cs="Arial"/>
        <w:b/>
        <w:sz w:val="48"/>
      </w:rPr>
      <w:tab/>
    </w:r>
    <w:r w:rsidRPr="00B12A62">
      <w:rPr>
        <w:rFonts w:ascii="Arial" w:hAnsi="Arial" w:cs="Arial"/>
        <w:b/>
        <w:sz w:val="48"/>
      </w:rPr>
      <w:tab/>
    </w:r>
    <w:r w:rsidRPr="00B12A62">
      <w:tab/>
    </w:r>
    <w:r w:rsidRPr="00B12A6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62" w:rsidRPr="00B12A62" w:rsidRDefault="00B12A62" w:rsidP="00B12A6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AD" w:rsidRDefault="001D3E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885487"/>
      <w:docPartObj>
        <w:docPartGallery w:val="Page Numbers (Bottom of Page)"/>
        <w:docPartUnique/>
      </w:docPartObj>
    </w:sdtPr>
    <w:sdtEndPr>
      <w:rPr>
        <w:noProof/>
      </w:rPr>
    </w:sdtEndPr>
    <w:sdtContent>
      <w:p w:rsidR="001D3EAD" w:rsidRDefault="00B12A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D3EAD" w:rsidRDefault="001D3E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AD" w:rsidRDefault="001D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AD" w:rsidRDefault="00B12A62">
      <w:pPr>
        <w:spacing w:after="0" w:line="240" w:lineRule="auto"/>
      </w:pPr>
      <w:r>
        <w:separator/>
      </w:r>
    </w:p>
  </w:footnote>
  <w:footnote w:type="continuationSeparator" w:id="0">
    <w:p w:rsidR="001D3EAD" w:rsidRDefault="00B12A62">
      <w:pPr>
        <w:spacing w:after="0" w:line="240" w:lineRule="auto"/>
      </w:pPr>
      <w:r>
        <w:continuationSeparator/>
      </w:r>
    </w:p>
  </w:footnote>
  <w:footnote w:id="1">
    <w:p w:rsidR="001D3EAD" w:rsidRDefault="00B12A62">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COM (2016) 127 final.</w:t>
      </w:r>
    </w:p>
  </w:footnote>
  <w:footnote w:id="2">
    <w:p w:rsidR="001D3EAD" w:rsidRDefault="00B12A62">
      <w:pPr>
        <w:pStyle w:val="Default"/>
        <w:jc w:val="both"/>
        <w:rPr>
          <w:rFonts w:ascii="Times New Roman" w:eastAsia="Times New Roman" w:hAnsi="Times New Roman"/>
          <w:sz w:val="16"/>
          <w:szCs w:val="16"/>
        </w:rPr>
      </w:pPr>
      <w:r>
        <w:rPr>
          <w:rStyle w:val="FootnoteReference"/>
          <w:rFonts w:ascii="Times New Roman" w:eastAsia="Times New Roman" w:hAnsi="Times New Roman"/>
          <w:sz w:val="16"/>
          <w:szCs w:val="16"/>
        </w:rPr>
        <w:footnoteRef/>
      </w:r>
      <w:r>
        <w:rPr>
          <w:rStyle w:val="FootnoteReference"/>
          <w:rFonts w:ascii="Times New Roman" w:eastAsia="Times New Roman" w:hAnsi="Times New Roman"/>
          <w:sz w:val="16"/>
          <w:szCs w:val="16"/>
        </w:rPr>
        <w:t xml:space="preserve"> </w:t>
      </w:r>
      <w:r>
        <w:rPr>
          <w:rFonts w:ascii="Times New Roman" w:eastAsia="Times New Roman" w:hAnsi="Times New Roman"/>
          <w:sz w:val="16"/>
          <w:szCs w:val="16"/>
        </w:rPr>
        <w:t>It was accompanied by two Staff Working Documents: the first one describing key economic, labour market and societal trends on which the Pillar builds and which it should contribute to address; the second one recalling the most relevant legal acquis at E</w:t>
      </w:r>
      <w:r>
        <w:rPr>
          <w:rFonts w:ascii="Times New Roman" w:eastAsia="Times New Roman" w:hAnsi="Times New Roman"/>
          <w:sz w:val="16"/>
          <w:szCs w:val="16"/>
        </w:rPr>
        <w:t>U level. Commission Staff Working Documents "Key economic, employment and social trends behind the European Pillar of Social Rights" (SWD (2016) 51), and "The EU social acquis" (SWD (2016) 50) of 8 March 2016.</w:t>
      </w:r>
    </w:p>
  </w:footnote>
  <w:footnote w:id="3">
    <w:p w:rsidR="001D3EAD" w:rsidRDefault="00B12A62">
      <w:pPr>
        <w:pStyle w:val="FootnoteText"/>
        <w:jc w:val="both"/>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w:t>
      </w:r>
      <w:hyperlink r:id="rId1">
        <w:r>
          <w:rPr>
            <w:rStyle w:val="Hyperlink"/>
            <w:rFonts w:ascii="Times New Roman" w:hAnsi="Times New Roman" w:cs="Times New Roman"/>
            <w:sz w:val="16"/>
            <w:szCs w:val="16"/>
            <w:lang w:val="en-GB"/>
          </w:rPr>
          <w:t>Conference website</w:t>
        </w:r>
      </w:hyperlink>
      <w:r>
        <w:rPr>
          <w:rFonts w:ascii="Times New Roman" w:hAnsi="Times New Roman" w:cs="Times New Roman"/>
          <w:sz w:val="16"/>
          <w:szCs w:val="16"/>
          <w:lang w:val="en-GB"/>
        </w:rPr>
        <w:t>.</w:t>
      </w:r>
    </w:p>
  </w:footnote>
  <w:footnote w:id="4">
    <w:p w:rsidR="001D3EAD" w:rsidRDefault="00B12A62">
      <w:pPr>
        <w:pStyle w:val="FootnoteText"/>
        <w:rPr>
          <w:rFonts w:ascii="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SWD(2017) 206 final, </w:t>
      </w:r>
      <w:hyperlink r:id="rId2">
        <w:r>
          <w:rPr>
            <w:rStyle w:val="Hyperlink"/>
            <w:rFonts w:ascii="Times New Roman" w:hAnsi="Times New Roman" w:cs="Times New Roman"/>
            <w:sz w:val="16"/>
            <w:szCs w:val="16"/>
            <w:lang w:val="en-GB"/>
          </w:rPr>
          <w:t>available online</w:t>
        </w:r>
      </w:hyperlink>
      <w:r>
        <w:rPr>
          <w:rFonts w:ascii="Times New Roman" w:hAnsi="Times New Roman" w:cs="Times New Roman"/>
          <w:sz w:val="16"/>
          <w:szCs w:val="16"/>
          <w:lang w:val="en-GB"/>
        </w:rPr>
        <w:t>.</w:t>
      </w:r>
    </w:p>
  </w:footnote>
  <w:footnote w:id="5">
    <w:p w:rsidR="001D3EAD" w:rsidRDefault="00B12A62">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 xml:space="preserve">EESC SOC/542, </w:t>
      </w:r>
      <w:hyperlink r:id="rId3">
        <w:r>
          <w:rPr>
            <w:rStyle w:val="Hyperlink"/>
            <w:rFonts w:ascii="Times New Roman" w:eastAsia="Calibri" w:hAnsi="Times New Roman" w:cs="Times New Roman"/>
            <w:sz w:val="16"/>
            <w:szCs w:val="16"/>
          </w:rPr>
          <w:t>available online</w:t>
        </w:r>
      </w:hyperlink>
    </w:p>
  </w:footnote>
  <w:footnote w:id="6">
    <w:p w:rsidR="001D3EAD" w:rsidRDefault="00B12A62">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 xml:space="preserve">COR opinion 2868/2016, </w:t>
      </w:r>
      <w:hyperlink r:id="rId4">
        <w:r>
          <w:rPr>
            <w:rStyle w:val="Hyperlink"/>
            <w:rFonts w:ascii="Times New Roman" w:eastAsia="Calibri" w:hAnsi="Times New Roman" w:cs="Times New Roman"/>
            <w:sz w:val="16"/>
            <w:szCs w:val="16"/>
          </w:rPr>
          <w:t>available online</w:t>
        </w:r>
      </w:hyperlink>
      <w:r>
        <w:rPr>
          <w:rFonts w:ascii="Times New Roman" w:eastAsia="Calibri" w:hAnsi="Times New Roman" w:cs="Times New Roman"/>
          <w:sz w:val="16"/>
          <w:szCs w:val="16"/>
        </w:rPr>
        <w:t>.</w:t>
      </w:r>
    </w:p>
  </w:footnote>
  <w:footnote w:id="7">
    <w:p w:rsidR="001D3EAD" w:rsidRDefault="00B12A62">
      <w:pPr>
        <w:pStyle w:val="FootnoteText"/>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 xml:space="preserve">EP resolution 2016/2095(INI), </w:t>
      </w:r>
      <w:hyperlink r:id="rId5">
        <w:r>
          <w:rPr>
            <w:rStyle w:val="Hyperlink"/>
            <w:rFonts w:ascii="Times New Roman" w:eastAsia="Calibri" w:hAnsi="Times New Roman" w:cs="Times New Roman"/>
            <w:sz w:val="16"/>
            <w:szCs w:val="16"/>
          </w:rPr>
          <w:t>available o</w:t>
        </w:r>
        <w:r>
          <w:rPr>
            <w:rStyle w:val="Hyperlink"/>
            <w:rFonts w:ascii="Times New Roman" w:eastAsia="Calibri" w:hAnsi="Times New Roman" w:cs="Times New Roman"/>
            <w:sz w:val="16"/>
            <w:szCs w:val="16"/>
          </w:rPr>
          <w:t>nline</w:t>
        </w:r>
      </w:hyperlink>
      <w:r>
        <w:rPr>
          <w:rFonts w:ascii="Times New Roman" w:eastAsia="Calibri"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62" w:rsidRPr="00B12A62" w:rsidRDefault="00B12A62" w:rsidP="00B12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62" w:rsidRPr="00B12A62" w:rsidRDefault="00B12A62" w:rsidP="00B12A6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62" w:rsidRPr="00B12A62" w:rsidRDefault="00B12A62" w:rsidP="00B12A6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AD" w:rsidRDefault="001D3E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AD" w:rsidRDefault="001D3E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AD" w:rsidRDefault="001D3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7D836D5-169B-4B34-A779-D5B49B937922"/>
    <w:docVar w:name="LW_COVERPAGE_TYPE" w:val="1"/>
    <w:docVar w:name="LW_CROSSREFERENCE" w:val="{COM(2018) 132 final}_x000d_"/>
    <w:docVar w:name="LW_DocType" w:val="NORMAL"/>
    <w:docVar w:name="LW_EMISSION" w:val="13.3.2018"/>
    <w:docVar w:name="LW_EMISSION_ISODATE" w:val="2018-03-13"/>
    <w:docVar w:name="LW_EMISSION_LOCATION" w:val="BRX"/>
    <w:docVar w:name="LW_EMISSION_PREFIX" w:val="Strasbourg,"/>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access to social protection for workers and the self-employed"/>
    <w:docVar w:name="LW_PART_NBR" w:val="1"/>
    <w:docVar w:name="LW_PART_NBR_TOTAL" w:val="1"/>
    <w:docVar w:name="LW_REF.INST.NEW" w:val="SWD"/>
    <w:docVar w:name="LW_REF.INST.NEW_ADOPTED" w:val="final"/>
    <w:docVar w:name="LW_REF.INST.NEW_TEXT" w:val="(2018)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AKEHOLDER CONSULTATION - SYNOPSIS REPORT"/>
    <w:docVar w:name="LW_TYPE.DOC.CP" w:val="COMMISSION STAFF WORKING DOCUMENT"/>
    <w:docVar w:name="LW_TYPEACTEPRINCIPAL.CP" w:val="Proposal for a Council Recommendation "/>
  </w:docVars>
  <w:rsids>
    <w:rsidRoot w:val="001D3EAD"/>
    <w:rsid w:val="001D3EAD"/>
    <w:rsid w:val="00B12A6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styleId="FootnoteReference">
    <w:name w:val="footnote reference"/>
    <w:link w:val="BVIfnr"/>
    <w:uiPriority w:val="99"/>
    <w:unhideWhenUsed/>
    <w:qFormat/>
    <w:rPr>
      <w:sz w:val="20"/>
      <w:szCs w:val="20"/>
      <w:vertAlign w:val="superscript"/>
    </w:rPr>
  </w:style>
  <w:style w:type="paragraph" w:customStyle="1" w:styleId="BVIfnr">
    <w:name w:val="BVI fnr Знак Знак"/>
    <w:basedOn w:val="Normal"/>
    <w:link w:val="FootnoteReference"/>
    <w:uiPriority w:val="99"/>
    <w:pPr>
      <w:spacing w:after="0" w:line="240" w:lineRule="auto"/>
    </w:pPr>
    <w:rPr>
      <w:sz w:val="20"/>
      <w:szCs w:val="20"/>
      <w:vertAlign w:val="superscript"/>
    </w:rPr>
  </w:style>
  <w:style w:type="paragraph" w:customStyle="1" w:styleId="Default">
    <w:name w:val="Default"/>
    <w:pPr>
      <w:autoSpaceDE w:val="0"/>
      <w:autoSpaceDN w:val="0"/>
      <w:spacing w:after="0" w:line="240" w:lineRule="auto"/>
    </w:pPr>
    <w:rPr>
      <w:rFonts w:ascii="Verdana" w:eastAsia="Verdana" w:hAnsi="Verdana" w:cs="Times New Roman"/>
      <w:color w:val="000000"/>
      <w:sz w:val="24"/>
      <w:szCs w:val="24"/>
      <w:lang w:val="en-GB" w:eastAsia="en-GB"/>
    </w:rPr>
  </w:style>
  <w:style w:type="table" w:customStyle="1" w:styleId="TableGrid1">
    <w:name w:val="Table Grid1"/>
    <w:basedOn w:val="TableNormal"/>
    <w:next w:val="TableGrid"/>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styleId="FootnoteReference">
    <w:name w:val="footnote reference"/>
    <w:link w:val="BVIfnr"/>
    <w:uiPriority w:val="99"/>
    <w:unhideWhenUsed/>
    <w:qFormat/>
    <w:rPr>
      <w:sz w:val="20"/>
      <w:szCs w:val="20"/>
      <w:vertAlign w:val="superscript"/>
    </w:rPr>
  </w:style>
  <w:style w:type="paragraph" w:customStyle="1" w:styleId="BVIfnr">
    <w:name w:val="BVI fnr Знак Знак"/>
    <w:basedOn w:val="Normal"/>
    <w:link w:val="FootnoteReference"/>
    <w:uiPriority w:val="99"/>
    <w:pPr>
      <w:spacing w:after="0" w:line="240" w:lineRule="auto"/>
    </w:pPr>
    <w:rPr>
      <w:sz w:val="20"/>
      <w:szCs w:val="20"/>
      <w:vertAlign w:val="superscript"/>
    </w:rPr>
  </w:style>
  <w:style w:type="paragraph" w:customStyle="1" w:styleId="Default">
    <w:name w:val="Default"/>
    <w:pPr>
      <w:autoSpaceDE w:val="0"/>
      <w:autoSpaceDN w:val="0"/>
      <w:spacing w:after="0" w:line="240" w:lineRule="auto"/>
    </w:pPr>
    <w:rPr>
      <w:rFonts w:ascii="Verdana" w:eastAsia="Verdana" w:hAnsi="Verdana" w:cs="Times New Roman"/>
      <w:color w:val="000000"/>
      <w:sz w:val="24"/>
      <w:szCs w:val="24"/>
      <w:lang w:val="en-GB" w:eastAsia="en-GB"/>
    </w:rPr>
  </w:style>
  <w:style w:type="table" w:customStyle="1" w:styleId="TableGrid1">
    <w:name w:val="Table Grid1"/>
    <w:basedOn w:val="TableNormal"/>
    <w:next w:val="TableGrid"/>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eesc.europa.eu/en/our-work/opinions-information-reports/opinions/european-pillar-social-rights-soc542" TargetMode="External"/><Relationship Id="rId2" Type="http://schemas.openxmlformats.org/officeDocument/2006/relationships/hyperlink" Target="http://eur-lex.europa.eu/legal-content/EN/TXT/?qid=1494929508490&amp;uri=CELEX:52017SC0206" TargetMode="External"/><Relationship Id="rId1" Type="http://schemas.openxmlformats.org/officeDocument/2006/relationships/hyperlink" Target="http://ec.europa.eu/social/main.jsp?langId=en&amp;catId=1226&amp;eventsId=1187&amp;furtherEvents=yes" TargetMode="External"/><Relationship Id="rId5" Type="http://schemas.openxmlformats.org/officeDocument/2006/relationships/hyperlink" Target="http://www.europarl.europa.eu/sides/getDoc.do?pubRef=-//EP//TEXT+REPORT+A8-2016-0391+0+DOC+XML+V0//EN" TargetMode="External"/><Relationship Id="rId4" Type="http://schemas.openxmlformats.org/officeDocument/2006/relationships/hyperlink" Target="http://cor.europa.eu/en/activities/opinions/pages/opinion-factsheet.aspx?OpinionNumber=CDR%202868/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3383</Words>
  <Characters>19358</Characters>
  <Application>Microsoft Office Word</Application>
  <DocSecurity>0</DocSecurity>
  <Lines>364</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2015-08-28T07:32:00Z</cp:lastPrinted>
  <dcterms:created xsi:type="dcterms:W3CDTF">2018-03-09T13:18:00Z</dcterms:created>
  <dcterms:modified xsi:type="dcterms:W3CDTF">2018-03-12T17:30:00Z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