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5B783C4-336F-4844-9D06-8C627531891D" style="width:450.8pt;height:396.95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0"/>
          <w:noProof/>
          <w:color w:val="auto"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ManualHeading1"/>
        <w:rPr>
          <w:noProof/>
        </w:rPr>
      </w:pPr>
      <w:r>
        <w:rPr>
          <w:noProof/>
        </w:rPr>
        <w:t>Информация, която трябва да бъде предоставена в основния информационен документ за инвестицията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А: Информация за носителите на проекта и за проекта за колективно финансиране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фирма, правна форма, собственост, управление и координати за връзка;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Основни дейности; предлагани стоки или услуги;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Хипервръзка към най-актуалния финансов отчет, ако има такъв, на носителя на проекта;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Описание на проекта за колективно финансиране, в т.ч. целта и основните му характеристики.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Б: Основни характеристики на процеса на колективно финансиране и условия за набиране на капитал или заемане на средства — според случая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Минимален целеви размер на капитала, който трябва да бъде набран, или на средствата, които трябва да бъдат заети, в рамките на едно предложение за колективно финансиране, както и брой на предложенията в рамките на проекта за колективно финансиране, приключени от носителя на проекта или от доставчика на услуги за колективно финансиране;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Краен срок за набирането на капитал или заемането на средства;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Информация за последиците, ако до крайния срок целевият капитал не бъде набран или целевите средства не бъдат заети;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Максималната сума на предлагането, ако е различна от целевия капитал, посочен в буква а);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Размер на собствените средства, които носителят на проекта за колективно инвестиране е вложил в него;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Промяна в структурата на капитала на емитента или кредитите, свързани с предложението за колективно финансиране.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В: Фактори за поява на риск</w:t>
      </w:r>
    </w:p>
    <w:p>
      <w:pPr>
        <w:spacing w:before="0" w:after="200" w:line="276" w:lineRule="auto"/>
        <w:rPr>
          <w:b/>
          <w:noProof/>
        </w:rPr>
      </w:pPr>
      <w:r>
        <w:rPr>
          <w:noProof/>
        </w:rPr>
        <w:t>Представяне на основните рискове, в т.ч. ако е целесъобразно — географски, свързани с финансирането на проекта за колективно финансиране, със сектора, със самия проект, с носителя на проекта, както и с инвестиционния инструмент.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Г: Информация във връзка с предлагането на ценни книжа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Количество и вид инвестиционни инструменти, които ще бъдат предлагани;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Офертна цена;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Дали се приема свръхзаписване и как се разпределя;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Ред и условия на участие в предлагането и на плащане;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Съхраняване и предоставяне на инвеститорите на инвестиционните инструменти;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Ако инвестицията е обезпечена от поръчител или обезпечение: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дали този поръчител или обезпечител е юридическо лице;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фирма или самоличност, правна формаи данни за връзка на поръчителя или обезпечителя;</w:t>
      </w:r>
    </w:p>
    <w:p>
      <w:pPr>
        <w:pStyle w:val="Point2"/>
        <w:rPr>
          <w:noProof/>
        </w:rPr>
      </w:pPr>
      <w:r>
        <w:rPr>
          <w:noProof/>
        </w:rPr>
        <w:t>iii)</w:t>
      </w:r>
      <w:r>
        <w:rPr>
          <w:noProof/>
        </w:rPr>
        <w:tab/>
        <w:t>информация за естеството и условията на гаранцията или обезпечението;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Когато е приложимо, твърд ангажимент за обратно изкупуване на ценните книжа и периода на такова изкупуване;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При некапиталовите инструменти — номиналния лихвен процент, датата, от която лихвата става дължима, датите на лихвените плащания, падежа и приложимата доходност.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 xml:space="preserve">Част Д: Информация за емитента, ако той е различен от носителя на проекта и следователно е ДСИЦ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Дали ДСИЦ посредничи между носителя на проекта и инвеститора;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Данни за връзка на емитента.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Е: Права на инвеститорите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Основни права, които носят ценните книжа;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Ограничения, на които подлежат ценните книжа;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Описание на всякакви ограничения върху прехвърлянето на ценните книжа;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Възможности за приключване на инвестицията;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За ценните книжа, свързани с дялово участие — разпределение на капитала и правата на глас преди и след увеличението на капитала вследствие на предлагането (ако се приеме, че цялата емисия ще бъде записана).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Ж: Оповестяване във връзка с кредитното споразумение</w:t>
      </w:r>
    </w:p>
    <w:p>
      <w:pPr>
        <w:spacing w:before="0" w:after="200" w:line="276" w:lineRule="auto"/>
        <w:rPr>
          <w:noProof/>
        </w:rPr>
      </w:pPr>
      <w:r>
        <w:rPr>
          <w:noProof/>
        </w:rPr>
        <w:t>Когато предложението за колективно финансиране включва кредитно посредничество — в основния информационен документ за инвестицията се съдържа не информацията, посочена в части Г, Д и Е, а следната информация: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Същност и продължителност на кредитното споразумение;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Приложими лихвени проценти или, когато е приложимо, друго обезщетение на инвеститора;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Мерки за редуциране на риска — например дали кредитът е обезпечен;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План на погасителните вноски на лихвите и главницата.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Част З: Такси, информация и правна защита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Такси и разходи за инвеститора във връзка с инвестицията;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Къде и как може безплатно да се получи допълнителна информация относно проекта за колективно финансиране, носителя на проекта и емитента;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Как и до кого инвеститорът може да подаде жалба относно инвестицията, поведението на носителя на проекта или доставчика на услуги за колективно финансиране.</w:t>
      </w:r>
    </w:p>
    <w:sectPr>
      <w:footerReference w:type="default" r:id="rId19"/>
      <w:footerReference w:type="first" r:id="rId20"/>
      <w:pgSz w:w="11907" w:h="16839" w:code="9"/>
      <w:pgMar w:top="794" w:right="907" w:bottom="851" w:left="1361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1C0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F9C6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50B5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AE890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ECC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1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96D67A1"/>
    <w:multiLevelType w:val="singleLevel"/>
    <w:tmpl w:val="9AC8831A"/>
    <w:lvl w:ilvl="0">
      <w:start w:val="1"/>
      <w:numFmt w:val="bullet"/>
      <w:pStyle w:val="ListNumber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9">
    <w:nsid w:val="5F8C3B69"/>
    <w:multiLevelType w:val="multilevel"/>
    <w:tmpl w:val="9B14DAA8"/>
    <w:name w:val="List Number"/>
    <w:lvl w:ilvl="0">
      <w:start w:val="1"/>
      <w:numFmt w:val="decimal"/>
      <w:pStyle w:val="ListBullet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3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4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A6901C1"/>
    <w:multiLevelType w:val="singleLevel"/>
    <w:tmpl w:val="208841AE"/>
    <w:lvl w:ilvl="0">
      <w:start w:val="1"/>
      <w:numFmt w:val="bullet"/>
      <w:pStyle w:val="ListDash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24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1"/>
  </w:num>
  <w:num w:numId="23">
    <w:abstractNumId w:val="8"/>
  </w:num>
  <w:num w:numId="24">
    <w:abstractNumId w:val="10"/>
  </w:num>
  <w:num w:numId="25">
    <w:abstractNumId w:val="6"/>
  </w:num>
  <w:num w:numId="26">
    <w:abstractNumId w:val="20"/>
  </w:num>
  <w:num w:numId="27">
    <w:abstractNumId w:val="5"/>
  </w:num>
  <w:num w:numId="28">
    <w:abstractNumId w:val="11"/>
  </w:num>
  <w:num w:numId="29">
    <w:abstractNumId w:val="15"/>
  </w:num>
  <w:num w:numId="30">
    <w:abstractNumId w:val="16"/>
  </w:num>
  <w:num w:numId="31">
    <w:abstractNumId w:val="7"/>
  </w:num>
  <w:num w:numId="32">
    <w:abstractNumId w:val="13"/>
  </w:num>
  <w:num w:numId="33">
    <w:abstractNumId w:val="25"/>
  </w:num>
  <w:num w:numId="34">
    <w:abstractNumId w:val="17"/>
  </w:num>
  <w:num w:numId="35">
    <w:abstractNumId w:val="9"/>
  </w:num>
  <w:num w:numId="36">
    <w:abstractNumId w:val="21"/>
  </w:num>
  <w:num w:numId="37">
    <w:abstractNumId w:val="8"/>
  </w:num>
  <w:num w:numId="38">
    <w:abstractNumId w:val="10"/>
  </w:num>
  <w:num w:numId="39">
    <w:abstractNumId w:val="6"/>
  </w:num>
  <w:num w:numId="40">
    <w:abstractNumId w:val="20"/>
  </w:num>
  <w:num w:numId="41">
    <w:abstractNumId w:val="5"/>
  </w:num>
  <w:num w:numId="42">
    <w:abstractNumId w:val="11"/>
  </w:num>
  <w:num w:numId="43">
    <w:abstractNumId w:val="15"/>
  </w:num>
  <w:num w:numId="44">
    <w:abstractNumId w:val="16"/>
  </w:num>
  <w:num w:numId="45">
    <w:abstractNumId w:val="7"/>
  </w:num>
  <w:num w:numId="46">
    <w:abstractNumId w:val="13"/>
  </w:num>
  <w:num w:numId="4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6 10:19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5B783C4-336F-4844-9D06-8C627531891D"/>
    <w:docVar w:name="LW_COVERPAGE_TYPE" w:val="1"/>
    <w:docVar w:name="LW_CROSSREFERENCE" w:val="{SWD(2018) 56 final}_x000b_{SWD(2018) 57 final}"/>
    <w:docVar w:name="LW_DocType" w:val="ANNEX"/>
    <w:docVar w:name="LW_EMISSION" w:val="8.3.2018"/>
    <w:docVar w:name="LW_EMISSION_ISODATE" w:val="2018-03-08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7?\u1074?\u1088?\u1086?\u1087?\u1077?\u1081?\u1089?\u1082?\u1080?\u1090?\u1077? \u1076?\u1086?\u1089?\u1090?\u1072?\u1074?\u1095?\u1080?\u1094?\u1080? \u1085?\u1072? \u1091?\u1089?\u1083?\u1091?\u1075?\u1080? \u1079?\u1072? \u1082?\u1086?\u1083?\u1077?\u1082?\u1090?\u1080?\u1074?\u1085?\u1086? \u1092?\u1080?\u1085?\u1072?\u1085?\u1089?\u1080?\u1088?\u1072?\u1085?\u1077? (\u1045?\u1044?\u1059?\u1050?\u1060?) \u1079?\u1072? \u1073?\u1080?\u1079?\u1085?\u1077?\u1089?\u1072?"/>
    <w:docVar w:name="LW_OBJETACTEPRINCIPAL.CP" w:val="\u1086?\u1090?\u1085?\u1086?\u1089?\u1085?\u1086? \u1077?\u1074?\u1088?\u1086?\u1087?\u1077?\u1081?\u1089?\u1082?\u1080?\u1090?\u1077? \u1076?\u1086?\u1089?\u1090?\u1072?\u1074?\u1095?\u1080?\u1094?\u1080? \u1085?\u1072? \u1091?\u1089?\u1083?\u1091?\u1075?\u1080? \u1079?\u1072? \u1082?\u1086?\u1083?\u1077?\u1082?\u1090?\u1080?\u1074?\u1085?\u1086? \u1092?\u1080?\u1085?\u1072?\u1085?\u1089?\u1080?\u1088?\u1072?\u1085?\u1077? (\u1045?\u1044?\u1059?\u1050?\u1060?) \u1079?\u1072? \u1073?\u1080?\u1079?\u1085?\u1077?\u108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0"/>
      </w:numPr>
      <w:tabs>
        <w:tab w:val="clear" w:pos="709"/>
        <w:tab w:val="num" w:pos="1134"/>
      </w:tabs>
      <w:ind w:left="1134" w:hanging="283"/>
    </w:pPr>
    <w:rPr>
      <w:rFonts w:eastAsia="Times New Roman"/>
    </w:rPr>
  </w:style>
  <w:style w:type="paragraph" w:customStyle="1" w:styleId="ListDash1">
    <w:name w:val="List Dash 1"/>
    <w:basedOn w:val="Normal"/>
    <w:qFormat/>
    <w:pPr>
      <w:numPr>
        <w:numId w:val="11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numId w:val="12"/>
      </w:numPr>
      <w:tabs>
        <w:tab w:val="clear" w:pos="1134"/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1"/>
        <w:numId w:val="10"/>
      </w:numPr>
      <w:tabs>
        <w:tab w:val="clear" w:pos="1417"/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2"/>
        <w:numId w:val="10"/>
      </w:numPr>
      <w:tabs>
        <w:tab w:val="clear" w:pos="2126"/>
        <w:tab w:val="num" w:pos="2835"/>
      </w:tabs>
      <w:ind w:left="2835"/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3"/>
      </w:numPr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2">
    <w:name w:val="List Bullet 2"/>
    <w:basedOn w:val="Normal"/>
    <w:pPr>
      <w:numPr>
        <w:numId w:val="4"/>
      </w:numPr>
    </w:pPr>
    <w:rPr>
      <w:rFonts w:eastAsia="Times New Roman"/>
    </w:rPr>
  </w:style>
  <w:style w:type="paragraph" w:styleId="ListBullet3">
    <w:name w:val="List Bullet 3"/>
    <w:basedOn w:val="Normal"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pPr>
      <w:numPr>
        <w:numId w:val="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List1">
    <w:name w:val="List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LLKappalejako">
    <w:name w:val="LLKappalejako"/>
    <w:link w:val="LLKappalejakoChar"/>
    <w:autoRedefine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LLKappalejakoChar">
    <w:name w:val="LLKappalejako Char"/>
    <w:link w:val="LLKappalejako"/>
    <w:locked/>
    <w:rPr>
      <w:rFonts w:ascii="Times New Roman" w:eastAsia="Times New Roman" w:hAnsi="Times New Roman" w:cs="Times New Roman"/>
      <w:szCs w:val="24"/>
      <w:lang w:val="bg-BG" w:eastAsia="bg-BG"/>
    </w:rPr>
  </w:style>
  <w:style w:type="paragraph" w:customStyle="1" w:styleId="LLMomentinKohta">
    <w:name w:val="LLMomentinKoht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Normal3">
    <w:name w:val="Normal3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2">
    <w:name w:val="List Number 2"/>
    <w:basedOn w:val="Normal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nhideWhenUsed/>
    <w:pPr>
      <w:numPr>
        <w:numId w:val="9"/>
      </w:numPr>
      <w:contextualSpacing/>
    </w:pPr>
  </w:style>
  <w:style w:type="character" w:customStyle="1" w:styleId="marker">
    <w:name w:val="marker"/>
    <w:basedOn w:val="DefaultParagraphFont"/>
    <w:rPr>
      <w:color w:val="0000FF"/>
    </w:rPr>
  </w:style>
  <w:style w:type="paragraph" w:customStyle="1" w:styleId="16Point">
    <w:name w:val="16 Point"/>
    <w:aliases w:val="Superscript 6 Point,Times 10 Point,Exposant 3 Point,Odwołanie przypisu,de nota al pie,footnote ref,2001+ Fußnotenzeichen, Exposant 3 Point"/>
    <w:basedOn w:val="Normal"/>
    <w:uiPriority w:val="99"/>
    <w:pPr>
      <w:spacing w:after="160" w:line="240" w:lineRule="exact"/>
    </w:pPr>
    <w:rPr>
      <w:rFonts w:asciiTheme="minorHAnsi" w:hAnsiTheme="minorHAnsi" w:cstheme="minorBidi"/>
      <w:sz w:val="22"/>
      <w:vertAlign w:val="superscript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bg-BG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</w:rPr>
  </w:style>
  <w:style w:type="character" w:customStyle="1" w:styleId="Marker0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"/>
    <w:basedOn w:val="DefaultParagraphFont"/>
    <w:rPr>
      <w:color w:val="0000FF"/>
      <w:shd w:val="clear" w:color="auto" w:fill="auto"/>
    </w:rPr>
  </w:style>
  <w:style w:type="character" w:customStyle="1" w:styleId="Marker10">
    <w:name w:val="Marker1"/>
    <w:basedOn w:val="DefaultParagraphFont"/>
    <w:rPr>
      <w:color w:val="008000"/>
      <w:shd w:val="clear" w:color="auto" w:fill="auto"/>
    </w:rPr>
  </w:style>
  <w:style w:type="character" w:customStyle="1" w:styleId="Marker20">
    <w:name w:val="Marker2"/>
    <w:basedOn w:val="DefaultParagraphFont"/>
    <w:rPr>
      <w:color w:val="FF0000"/>
      <w:shd w:val="clear" w:color="auto" w:fill="auto"/>
    </w:rPr>
  </w:style>
  <w:style w:type="character" w:customStyle="1" w:styleId="Marker3">
    <w:name w:val="Marker"/>
    <w:basedOn w:val="DefaultParagraphFont"/>
    <w:rPr>
      <w:color w:val="0000FF"/>
      <w:shd w:val="clear" w:color="auto" w:fill="auto"/>
    </w:rPr>
  </w:style>
  <w:style w:type="character" w:customStyle="1" w:styleId="Marker11">
    <w:name w:val="Marker1"/>
    <w:basedOn w:val="DefaultParagraphFont"/>
    <w:rPr>
      <w:color w:val="008000"/>
      <w:shd w:val="clear" w:color="auto" w:fill="auto"/>
    </w:rPr>
  </w:style>
  <w:style w:type="character" w:customStyle="1" w:styleId="Marker21">
    <w:name w:val="Marker2"/>
    <w:basedOn w:val="DefaultParagraphFont"/>
    <w:rPr>
      <w:color w:val="FF0000"/>
      <w:shd w:val="clear" w:color="auto" w:fill="auto"/>
    </w:rPr>
  </w:style>
  <w:style w:type="character" w:customStyle="1" w:styleId="Marker4">
    <w:name w:val="Marker"/>
    <w:basedOn w:val="DefaultParagraphFont"/>
    <w:rPr>
      <w:color w:val="0000FF"/>
      <w:shd w:val="clear" w:color="auto" w:fill="auto"/>
    </w:rPr>
  </w:style>
  <w:style w:type="character" w:customStyle="1" w:styleId="Marker12">
    <w:name w:val="Marker1"/>
    <w:basedOn w:val="DefaultParagraphFont"/>
    <w:rPr>
      <w:color w:val="008000"/>
      <w:shd w:val="clear" w:color="auto" w:fill="auto"/>
    </w:rPr>
  </w:style>
  <w:style w:type="character" w:customStyle="1" w:styleId="Marker22">
    <w:name w:val="Marker2"/>
    <w:basedOn w:val="DefaultParagraphFont"/>
    <w:rPr>
      <w:color w:val="FF0000"/>
      <w:shd w:val="clear" w:color="auto" w:fill="auto"/>
    </w:rPr>
  </w:style>
  <w:style w:type="character" w:customStyle="1" w:styleId="Marker5">
    <w:name w:val="Marker"/>
    <w:basedOn w:val="DefaultParagraphFont"/>
    <w:rPr>
      <w:color w:val="0000FF"/>
      <w:shd w:val="clear" w:color="auto" w:fill="auto"/>
    </w:rPr>
  </w:style>
  <w:style w:type="character" w:customStyle="1" w:styleId="Marker13">
    <w:name w:val="Marker1"/>
    <w:basedOn w:val="DefaultParagraphFont"/>
    <w:rPr>
      <w:color w:val="008000"/>
      <w:shd w:val="clear" w:color="auto" w:fill="auto"/>
    </w:rPr>
  </w:style>
  <w:style w:type="character" w:customStyle="1" w:styleId="Marker23">
    <w:name w:val="Marker2"/>
    <w:basedOn w:val="DefaultParagraphFont"/>
    <w:rPr>
      <w:color w:val="FF000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6">
    <w:name w:val="Marker"/>
    <w:basedOn w:val="DefaultParagraphFont"/>
    <w:rPr>
      <w:color w:val="0000FF"/>
      <w:shd w:val="clear" w:color="auto" w:fill="auto"/>
    </w:rPr>
  </w:style>
  <w:style w:type="character" w:customStyle="1" w:styleId="Marker14">
    <w:name w:val="Marker1"/>
    <w:basedOn w:val="DefaultParagraphFont"/>
    <w:rPr>
      <w:color w:val="008000"/>
      <w:shd w:val="clear" w:color="auto" w:fill="auto"/>
    </w:rPr>
  </w:style>
  <w:style w:type="character" w:customStyle="1" w:styleId="Marker24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0"/>
      </w:numPr>
      <w:tabs>
        <w:tab w:val="clear" w:pos="709"/>
        <w:tab w:val="num" w:pos="1134"/>
      </w:tabs>
      <w:ind w:left="1134" w:hanging="283"/>
    </w:pPr>
    <w:rPr>
      <w:rFonts w:eastAsia="Times New Roman"/>
    </w:rPr>
  </w:style>
  <w:style w:type="paragraph" w:customStyle="1" w:styleId="ListDash1">
    <w:name w:val="List Dash 1"/>
    <w:basedOn w:val="Normal"/>
    <w:qFormat/>
    <w:pPr>
      <w:numPr>
        <w:numId w:val="11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numId w:val="12"/>
      </w:numPr>
      <w:tabs>
        <w:tab w:val="clear" w:pos="1134"/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1"/>
        <w:numId w:val="10"/>
      </w:numPr>
      <w:tabs>
        <w:tab w:val="clear" w:pos="1417"/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2"/>
        <w:numId w:val="10"/>
      </w:numPr>
      <w:tabs>
        <w:tab w:val="clear" w:pos="2126"/>
        <w:tab w:val="num" w:pos="2835"/>
      </w:tabs>
      <w:ind w:left="2835"/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3"/>
      </w:numPr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2">
    <w:name w:val="List Bullet 2"/>
    <w:basedOn w:val="Normal"/>
    <w:pPr>
      <w:numPr>
        <w:numId w:val="4"/>
      </w:numPr>
    </w:pPr>
    <w:rPr>
      <w:rFonts w:eastAsia="Times New Roman"/>
    </w:rPr>
  </w:style>
  <w:style w:type="paragraph" w:styleId="ListBullet3">
    <w:name w:val="List Bullet 3"/>
    <w:basedOn w:val="Normal"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pPr>
      <w:numPr>
        <w:numId w:val="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List1">
    <w:name w:val="List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LLKappalejako">
    <w:name w:val="LLKappalejako"/>
    <w:link w:val="LLKappalejakoChar"/>
    <w:autoRedefine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LLKappalejakoChar">
    <w:name w:val="LLKappalejako Char"/>
    <w:link w:val="LLKappalejako"/>
    <w:locked/>
    <w:rPr>
      <w:rFonts w:ascii="Times New Roman" w:eastAsia="Times New Roman" w:hAnsi="Times New Roman" w:cs="Times New Roman"/>
      <w:szCs w:val="24"/>
      <w:lang w:val="bg-BG" w:eastAsia="bg-BG"/>
    </w:rPr>
  </w:style>
  <w:style w:type="paragraph" w:customStyle="1" w:styleId="LLMomentinKohta">
    <w:name w:val="LLMomentinKoht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Normal3">
    <w:name w:val="Normal3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2">
    <w:name w:val="List Number 2"/>
    <w:basedOn w:val="Normal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nhideWhenUsed/>
    <w:pPr>
      <w:numPr>
        <w:numId w:val="9"/>
      </w:numPr>
      <w:contextualSpacing/>
    </w:pPr>
  </w:style>
  <w:style w:type="character" w:customStyle="1" w:styleId="marker">
    <w:name w:val="marker"/>
    <w:basedOn w:val="DefaultParagraphFont"/>
    <w:rPr>
      <w:color w:val="0000FF"/>
    </w:rPr>
  </w:style>
  <w:style w:type="paragraph" w:customStyle="1" w:styleId="16Point">
    <w:name w:val="16 Point"/>
    <w:aliases w:val="Superscript 6 Point,Times 10 Point,Exposant 3 Point,Odwołanie przypisu,de nota al pie,footnote ref,2001+ Fußnotenzeichen, Exposant 3 Point"/>
    <w:basedOn w:val="Normal"/>
    <w:uiPriority w:val="99"/>
    <w:pPr>
      <w:spacing w:after="160" w:line="240" w:lineRule="exact"/>
    </w:pPr>
    <w:rPr>
      <w:rFonts w:asciiTheme="minorHAnsi" w:hAnsiTheme="minorHAnsi" w:cstheme="minorBidi"/>
      <w:sz w:val="22"/>
      <w:vertAlign w:val="superscript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bg-BG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</w:rPr>
  </w:style>
  <w:style w:type="character" w:customStyle="1" w:styleId="Marker0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"/>
    <w:basedOn w:val="DefaultParagraphFont"/>
    <w:rPr>
      <w:color w:val="0000FF"/>
      <w:shd w:val="clear" w:color="auto" w:fill="auto"/>
    </w:rPr>
  </w:style>
  <w:style w:type="character" w:customStyle="1" w:styleId="Marker10">
    <w:name w:val="Marker1"/>
    <w:basedOn w:val="DefaultParagraphFont"/>
    <w:rPr>
      <w:color w:val="008000"/>
      <w:shd w:val="clear" w:color="auto" w:fill="auto"/>
    </w:rPr>
  </w:style>
  <w:style w:type="character" w:customStyle="1" w:styleId="Marker20">
    <w:name w:val="Marker2"/>
    <w:basedOn w:val="DefaultParagraphFont"/>
    <w:rPr>
      <w:color w:val="FF0000"/>
      <w:shd w:val="clear" w:color="auto" w:fill="auto"/>
    </w:rPr>
  </w:style>
  <w:style w:type="character" w:customStyle="1" w:styleId="Marker3">
    <w:name w:val="Marker"/>
    <w:basedOn w:val="DefaultParagraphFont"/>
    <w:rPr>
      <w:color w:val="0000FF"/>
      <w:shd w:val="clear" w:color="auto" w:fill="auto"/>
    </w:rPr>
  </w:style>
  <w:style w:type="character" w:customStyle="1" w:styleId="Marker11">
    <w:name w:val="Marker1"/>
    <w:basedOn w:val="DefaultParagraphFont"/>
    <w:rPr>
      <w:color w:val="008000"/>
      <w:shd w:val="clear" w:color="auto" w:fill="auto"/>
    </w:rPr>
  </w:style>
  <w:style w:type="character" w:customStyle="1" w:styleId="Marker21">
    <w:name w:val="Marker2"/>
    <w:basedOn w:val="DefaultParagraphFont"/>
    <w:rPr>
      <w:color w:val="FF0000"/>
      <w:shd w:val="clear" w:color="auto" w:fill="auto"/>
    </w:rPr>
  </w:style>
  <w:style w:type="character" w:customStyle="1" w:styleId="Marker4">
    <w:name w:val="Marker"/>
    <w:basedOn w:val="DefaultParagraphFont"/>
    <w:rPr>
      <w:color w:val="0000FF"/>
      <w:shd w:val="clear" w:color="auto" w:fill="auto"/>
    </w:rPr>
  </w:style>
  <w:style w:type="character" w:customStyle="1" w:styleId="Marker12">
    <w:name w:val="Marker1"/>
    <w:basedOn w:val="DefaultParagraphFont"/>
    <w:rPr>
      <w:color w:val="008000"/>
      <w:shd w:val="clear" w:color="auto" w:fill="auto"/>
    </w:rPr>
  </w:style>
  <w:style w:type="character" w:customStyle="1" w:styleId="Marker22">
    <w:name w:val="Marker2"/>
    <w:basedOn w:val="DefaultParagraphFont"/>
    <w:rPr>
      <w:color w:val="FF0000"/>
      <w:shd w:val="clear" w:color="auto" w:fill="auto"/>
    </w:rPr>
  </w:style>
  <w:style w:type="character" w:customStyle="1" w:styleId="Marker5">
    <w:name w:val="Marker"/>
    <w:basedOn w:val="DefaultParagraphFont"/>
    <w:rPr>
      <w:color w:val="0000FF"/>
      <w:shd w:val="clear" w:color="auto" w:fill="auto"/>
    </w:rPr>
  </w:style>
  <w:style w:type="character" w:customStyle="1" w:styleId="Marker13">
    <w:name w:val="Marker1"/>
    <w:basedOn w:val="DefaultParagraphFont"/>
    <w:rPr>
      <w:color w:val="008000"/>
      <w:shd w:val="clear" w:color="auto" w:fill="auto"/>
    </w:rPr>
  </w:style>
  <w:style w:type="character" w:customStyle="1" w:styleId="Marker23">
    <w:name w:val="Marker2"/>
    <w:basedOn w:val="DefaultParagraphFont"/>
    <w:rPr>
      <w:color w:val="FF000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6">
    <w:name w:val="Marker"/>
    <w:basedOn w:val="DefaultParagraphFont"/>
    <w:rPr>
      <w:color w:val="0000FF"/>
      <w:shd w:val="clear" w:color="auto" w:fill="auto"/>
    </w:rPr>
  </w:style>
  <w:style w:type="character" w:customStyle="1" w:styleId="Marker14">
    <w:name w:val="Marker1"/>
    <w:basedOn w:val="DefaultParagraphFont"/>
    <w:rPr>
      <w:color w:val="008000"/>
      <w:shd w:val="clear" w:color="auto" w:fill="auto"/>
    </w:rPr>
  </w:style>
  <w:style w:type="character" w:customStyle="1" w:styleId="Marker24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370F79735E2304FB3EE3550DB93E366" ma:contentTypeVersion="0" ma:contentTypeDescription="Create a new document in this library." ma:contentTypeScope="" ma:versionID="1c442c361d9b226c4d9c2de27993a467">
  <xsd:schema xmlns:xsd="http://www.w3.org/2001/XMLSchema" xmlns:xs="http://www.w3.org/2001/XMLSchema" xmlns:p="http://schemas.microsoft.com/office/2006/metadata/properties" xmlns:ns2="http://schemas.microsoft.com/sharepoint/v3/fields" xmlns:ns3="c429c46a-7e15-44c9-a838-73f00aaab325" targetNamespace="http://schemas.microsoft.com/office/2006/metadata/properties" ma:root="true" ma:fieldsID="d8e9caf9e2292584252f5696d7f9863b" ns2:_="" ns3:_="">
    <xsd:import namespace="http://schemas.microsoft.com/sharepoint/v3/fields"/>
    <xsd:import namespace="c429c46a-7e15-44c9-a838-73f00aaab325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c46a-7e15-44c9-a838-73f00aaab325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29c46a-7e15-44c9-a838-73f00aaab325" xsi:nil="true"/>
    <_Status xmlns="http://schemas.microsoft.com/sharepoint/v3/fields">Not Started</_Status>
    <EC_Collab_DocumentLanguage xmlns="c429c46a-7e15-44c9-a838-73f00aaab325">EN</EC_Collab_DocumentLanguage>
    <EC_Collab_Status xmlns="c429c46a-7e15-44c9-a838-73f00aaab325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15EB-2971-4219-87D7-AF537D61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429c46a-7e15-44c9-a838-73f00aa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D814E-EE68-47B6-A267-D1155BE90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0EB9E-05CF-49A0-98CC-5D5D8303866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  <ds:schemaRef ds:uri="http://purl.org/dc/elements/1.1/"/>
    <ds:schemaRef ds:uri="c429c46a-7e15-44c9-a838-73f00aaab3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4E163E-DEA0-47EC-8F00-77C5844E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629</Words>
  <Characters>3608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 Priscilla (SG)</dc:creator>
  <cp:lastModifiedBy>DIGIT/A3</cp:lastModifiedBy>
  <cp:revision>8</cp:revision>
  <dcterms:created xsi:type="dcterms:W3CDTF">2018-03-14T14:20:00Z</dcterms:created>
  <dcterms:modified xsi:type="dcterms:W3CDTF">2018-03-16T09:19:00Z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0x010100258AA79CEB83498886A3A0868112325000F370F79735E2304FB3EE3550DB93E366</vt:lpwstr>
  </property>
  <property fmtid="{D5CDD505-2E9C-101B-9397-08002B2CF9AE}" pid="14" name="DQCStatus">
    <vt:lpwstr>Green (DQC version 03)</vt:lpwstr>
  </property>
</Properties>
</file>