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7B4E6F-70B7-40AE-A06A-AB5B9664C42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1. Въведение</w:t>
      </w:r>
    </w:p>
    <w:p>
      <w:pPr>
        <w:jc w:val="both"/>
        <w:rPr>
          <w:rFonts w:ascii="Times New Roman" w:hAnsi="Times New Roman" w:cs="Times New Roman"/>
          <w:noProof/>
          <w:sz w:val="24"/>
          <w:szCs w:val="24"/>
        </w:rPr>
      </w:pPr>
      <w:r>
        <w:rPr>
          <w:rFonts w:ascii="Times New Roman" w:hAnsi="Times New Roman"/>
          <w:noProof/>
          <w:sz w:val="24"/>
        </w:rPr>
        <w:t xml:space="preserve">В своята </w:t>
      </w:r>
      <w:r>
        <w:rPr>
          <w:rFonts w:ascii="Times New Roman" w:hAnsi="Times New Roman"/>
          <w:b/>
          <w:noProof/>
          <w:sz w:val="24"/>
        </w:rPr>
        <w:t>реч за състоянието на Съюза</w:t>
      </w:r>
      <w:r>
        <w:rPr>
          <w:rFonts w:ascii="Times New Roman" w:hAnsi="Times New Roman"/>
          <w:noProof/>
          <w:sz w:val="24"/>
        </w:rPr>
        <w:t xml:space="preserve"> от 9 септември 2015 г. председателят Юнкер предложи да бъде създаден европейски стълб на социалните права</w:t>
      </w:r>
      <w:r>
        <w:rPr>
          <w:rStyle w:val="FootnoteReference"/>
          <w:rFonts w:ascii="Times New Roman" w:hAnsi="Times New Roman"/>
          <w:noProof/>
          <w:sz w:val="24"/>
        </w:rPr>
        <w:footnoteReference w:id="1"/>
      </w:r>
      <w:r>
        <w:rPr>
          <w:rFonts w:ascii="Times New Roman" w:hAnsi="Times New Roman"/>
          <w:noProof/>
          <w:sz w:val="24"/>
        </w:rPr>
        <w:t xml:space="preserve">, в който да бъдат взети предвид променящата се действителност в европейските общества и развитията в сферата на труда. </w:t>
      </w:r>
    </w:p>
    <w:p>
      <w:pPr>
        <w:jc w:val="both"/>
        <w:rPr>
          <w:rFonts w:ascii="Times New Roman" w:hAnsi="Times New Roman" w:cs="Times New Roman"/>
          <w:noProof/>
          <w:sz w:val="24"/>
          <w:szCs w:val="24"/>
        </w:rPr>
      </w:pPr>
      <w:r>
        <w:rPr>
          <w:rFonts w:ascii="Times New Roman" w:hAnsi="Times New Roman"/>
          <w:noProof/>
          <w:sz w:val="24"/>
        </w:rPr>
        <w:t>След широка обществена консултация с участието на граждани, социални партньори, организации на гражданското общество, държавите членки и институциите на ЕС, проведена през 2016 г.</w:t>
      </w:r>
      <w:r>
        <w:rPr>
          <w:rStyle w:val="FootnoteReference"/>
          <w:rFonts w:ascii="Times New Roman" w:hAnsi="Times New Roman"/>
          <w:noProof/>
          <w:sz w:val="24"/>
        </w:rPr>
        <w:footnoteReference w:id="2"/>
      </w:r>
      <w:r>
        <w:rPr>
          <w:rFonts w:ascii="Times New Roman" w:hAnsi="Times New Roman"/>
          <w:noProof/>
          <w:sz w:val="24"/>
        </w:rPr>
        <w:t xml:space="preserve">, европейският стълб на социалните права бе провъзгласен съвместно от Европейския парламент, Съвета и Комисията на 17 ноември 2017 г. по време на </w:t>
      </w:r>
      <w:r>
        <w:rPr>
          <w:rFonts w:ascii="Times New Roman" w:hAnsi="Times New Roman"/>
          <w:b/>
          <w:noProof/>
          <w:sz w:val="24"/>
        </w:rPr>
        <w:t>социалната среща на върха в Гьотеборг</w:t>
      </w:r>
      <w:r>
        <w:rPr>
          <w:rFonts w:ascii="Times New Roman" w:hAnsi="Times New Roman"/>
          <w:noProof/>
          <w:sz w:val="24"/>
        </w:rPr>
        <w:t xml:space="preserve"> за справедливи работни места и растеж</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Европейският стълб на социалните права е предназначен да служи като </w:t>
      </w:r>
      <w:r>
        <w:rPr>
          <w:rFonts w:ascii="Times New Roman" w:hAnsi="Times New Roman"/>
          <w:b/>
          <w:noProof/>
          <w:sz w:val="24"/>
        </w:rPr>
        <w:t>ориентир за подновяване на процеса на възходящо сближаване</w:t>
      </w:r>
      <w:r>
        <w:rPr>
          <w:rFonts w:ascii="Times New Roman" w:hAnsi="Times New Roman"/>
          <w:noProof/>
          <w:sz w:val="24"/>
        </w:rPr>
        <w:t xml:space="preserve"> с цел постигане на по-добри условия на живот и труд в Европейския съюз. В него се определят двадесет основни принципи и права в областта на равните възможности и достъпа до пазара на труда; справедливите условия на труд; и социалната закрила и приобщаване. </w:t>
      </w:r>
    </w:p>
    <w:p>
      <w:pPr>
        <w:jc w:val="both"/>
        <w:rPr>
          <w:rFonts w:ascii="Times New Roman" w:hAnsi="Times New Roman" w:cs="Times New Roman"/>
          <w:noProof/>
          <w:sz w:val="24"/>
          <w:szCs w:val="24"/>
        </w:rPr>
      </w:pPr>
      <w:r>
        <w:rPr>
          <w:rFonts w:ascii="Times New Roman" w:hAnsi="Times New Roman"/>
          <w:noProof/>
          <w:sz w:val="24"/>
        </w:rPr>
        <w:t xml:space="preserve">На 14 декември 2017 г. Европейският съвет одобри заключенията на социалната среща на върха и подчерта, че </w:t>
      </w:r>
      <w:r>
        <w:rPr>
          <w:rFonts w:ascii="Times New Roman" w:hAnsi="Times New Roman"/>
          <w:b/>
          <w:noProof/>
          <w:sz w:val="24"/>
        </w:rPr>
        <w:t>европейският стълб на социалните права следва да бъде прилаган както на равнището на Съюза, така и на равнището на държавите членки</w:t>
      </w:r>
      <w:r>
        <w:rPr>
          <w:rFonts w:ascii="Times New Roman" w:hAnsi="Times New Roman"/>
          <w:noProof/>
          <w:sz w:val="24"/>
        </w:rPr>
        <w:t>, при надлежно зачитане на съответните им правомощия. Освен това Европейският съвет прикани Комисията да предложи подходящо наблюдение</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Настоящото съобщение е в отговор на това искане и в него се очертава пътят напред.</w:t>
      </w:r>
    </w:p>
    <w:p>
      <w:pPr>
        <w:rPr>
          <w:rFonts w:ascii="Times New Roman" w:hAnsi="Times New Roman" w:cs="Times New Roman"/>
          <w:b/>
          <w:noProof/>
          <w:sz w:val="24"/>
          <w:szCs w:val="24"/>
          <w:u w:val="single"/>
        </w:rPr>
      </w:pPr>
    </w:p>
    <w:p>
      <w:pPr>
        <w:rPr>
          <w:rFonts w:ascii="Times New Roman" w:hAnsi="Times New Roman" w:cs="Times New Roman"/>
          <w:b/>
          <w:noProof/>
          <w:sz w:val="24"/>
          <w:szCs w:val="24"/>
          <w:u w:val="single"/>
        </w:rPr>
      </w:pPr>
      <w:r>
        <w:rPr>
          <w:noProof/>
        </w:rPr>
        <w:br w:type="page"/>
      </w:r>
    </w:p>
    <w:p>
      <w:pPr>
        <w:jc w:val="both"/>
        <w:rPr>
          <w:rFonts w:ascii="Times New Roman" w:hAnsi="Times New Roman" w:cs="Times New Roman"/>
          <w:b/>
          <w:noProof/>
          <w:sz w:val="24"/>
          <w:szCs w:val="24"/>
          <w:u w:val="single"/>
        </w:rPr>
      </w:pPr>
      <w:r>
        <w:rPr>
          <w:rFonts w:ascii="Times New Roman" w:hAnsi="Times New Roman"/>
          <w:b/>
          <w:noProof/>
          <w:sz w:val="24"/>
          <w:u w:val="single"/>
        </w:rPr>
        <w:t>2. Постигане на напредък по европейския стълб на социалните права</w:t>
      </w:r>
    </w:p>
    <w:p>
      <w:pPr>
        <w:jc w:val="both"/>
        <w:rPr>
          <w:rFonts w:ascii="Times New Roman" w:hAnsi="Times New Roman" w:cs="Times New Roman"/>
          <w:noProof/>
          <w:sz w:val="24"/>
          <w:szCs w:val="24"/>
        </w:rPr>
      </w:pPr>
      <w:r>
        <w:rPr>
          <w:rFonts w:ascii="Times New Roman" w:hAnsi="Times New Roman"/>
          <w:noProof/>
          <w:sz w:val="24"/>
        </w:rPr>
        <w:t xml:space="preserve">Създаването на европейски стълб на социалните права е част от по-широкия дебат относно </w:t>
      </w:r>
      <w:r>
        <w:rPr>
          <w:rFonts w:ascii="Times New Roman" w:hAnsi="Times New Roman"/>
          <w:b/>
          <w:noProof/>
          <w:sz w:val="24"/>
        </w:rPr>
        <w:t>бъдещето на Европа</w:t>
      </w:r>
      <w:r>
        <w:rPr>
          <w:rFonts w:ascii="Times New Roman" w:hAnsi="Times New Roman"/>
          <w:noProof/>
          <w:sz w:val="24"/>
        </w:rPr>
        <w:t>, чието начало беше поставено с Бялата книга на Комисията от 1 март 2017 г</w:t>
      </w:r>
      <w:r>
        <w:rPr>
          <w:rStyle w:val="FootnoteReference"/>
          <w:rFonts w:ascii="Times New Roman" w:hAnsi="Times New Roman"/>
          <w:noProof/>
          <w:sz w:val="24"/>
        </w:rPr>
        <w:footnoteReference w:id="5"/>
      </w:r>
      <w:r>
        <w:rPr>
          <w:rFonts w:ascii="Times New Roman" w:hAnsi="Times New Roman"/>
          <w:noProof/>
          <w:sz w:val="24"/>
        </w:rPr>
        <w:t>. Въпросът относно начините за укрепване и модернизиране на европейския социален модел в контекста на съществените промени, като например новите технологии, глобализацията и застаряването на населението — е един от възловите въпроси, поставени в Бялата книга, както и в документите за размисъл на Комисията относно социалното измерение на Европа</w:t>
      </w:r>
      <w:r>
        <w:rPr>
          <w:rStyle w:val="FootnoteReference"/>
          <w:rFonts w:ascii="Times New Roman" w:hAnsi="Times New Roman"/>
          <w:noProof/>
          <w:sz w:val="24"/>
        </w:rPr>
        <w:footnoteReference w:id="6"/>
      </w:r>
      <w:r>
        <w:rPr>
          <w:rFonts w:ascii="Times New Roman" w:hAnsi="Times New Roman"/>
          <w:noProof/>
          <w:sz w:val="24"/>
        </w:rPr>
        <w:t xml:space="preserve"> и извличането на ползите от глобализацията</w:t>
      </w:r>
      <w:r>
        <w:rPr>
          <w:rStyle w:val="FootnoteReference"/>
          <w:rFonts w:ascii="Times New Roman" w:hAnsi="Times New Roman"/>
          <w:noProof/>
          <w:sz w:val="24"/>
        </w:rPr>
        <w:footnoteReference w:id="7"/>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На своята </w:t>
      </w:r>
      <w:r>
        <w:rPr>
          <w:rFonts w:ascii="Times New Roman" w:hAnsi="Times New Roman"/>
          <w:b/>
          <w:noProof/>
          <w:sz w:val="24"/>
        </w:rPr>
        <w:t>среща на високо равнище в Рим</w:t>
      </w:r>
      <w:r>
        <w:rPr>
          <w:rFonts w:ascii="Times New Roman" w:hAnsi="Times New Roman"/>
          <w:noProof/>
          <w:sz w:val="24"/>
        </w:rPr>
        <w:t xml:space="preserve"> по случай 60-та годишнина на ЕС лидерите отново заявиха своя ангажимент за социална Европа</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В този по-широк дебат европейският стълб на социалните права е </w:t>
      </w:r>
      <w:r>
        <w:rPr>
          <w:rFonts w:ascii="Times New Roman" w:hAnsi="Times New Roman"/>
          <w:b/>
          <w:noProof/>
          <w:sz w:val="24"/>
        </w:rPr>
        <w:t>крайъгълен камък</w:t>
      </w:r>
      <w:r>
        <w:rPr>
          <w:rFonts w:ascii="Times New Roman" w:hAnsi="Times New Roman"/>
          <w:noProof/>
          <w:sz w:val="24"/>
        </w:rPr>
        <w:t xml:space="preserve"> в изграждането и консолидирането на социална Европа, както и отправна точка </w:t>
      </w:r>
      <w:r>
        <w:rPr>
          <w:rFonts w:ascii="Times New Roman" w:hAnsi="Times New Roman"/>
          <w:b/>
          <w:noProof/>
          <w:sz w:val="24"/>
        </w:rPr>
        <w:t>по пътя към Сибиу</w:t>
      </w:r>
      <w:r>
        <w:rPr>
          <w:rFonts w:ascii="Times New Roman" w:hAnsi="Times New Roman"/>
          <w:noProof/>
          <w:sz w:val="24"/>
        </w:rPr>
        <w:t xml:space="preserve">, където лидерите на ЕС ще се срещнат през май 2019 г., за да направят заключения относно бъдещето на ЕС в навечерието на следващите избори за Европейски парламент. </w:t>
      </w:r>
    </w:p>
    <w:p>
      <w:pPr>
        <w:jc w:val="both"/>
        <w:rPr>
          <w:rFonts w:ascii="Times New Roman" w:hAnsi="Times New Roman" w:cs="Times New Roman"/>
          <w:noProof/>
          <w:sz w:val="24"/>
          <w:szCs w:val="24"/>
        </w:rPr>
      </w:pPr>
      <w:r>
        <w:rPr>
          <w:rFonts w:ascii="Times New Roman" w:hAnsi="Times New Roman"/>
          <w:noProof/>
          <w:sz w:val="24"/>
        </w:rPr>
        <w:t xml:space="preserve">Постигането на резултати в областта на европейския стълб на социалните права беше замислено от самото начало като </w:t>
      </w:r>
      <w:r>
        <w:rPr>
          <w:rFonts w:ascii="Times New Roman" w:hAnsi="Times New Roman"/>
          <w:b/>
          <w:noProof/>
          <w:sz w:val="24"/>
        </w:rPr>
        <w:t>споделена политическа ангажираност и отговорност</w:t>
      </w:r>
      <w:r>
        <w:rPr>
          <w:rFonts w:ascii="Times New Roman" w:hAnsi="Times New Roman"/>
          <w:noProof/>
          <w:sz w:val="24"/>
        </w:rPr>
        <w:t xml:space="preserve">. Институциите на ЕС, държавите членки, публичните органи, социалните партньори и организациите на гражданското общество на всички равнища имат възлова роля в съответствие със своите области на компетентност. </w:t>
      </w:r>
    </w:p>
    <w:p>
      <w:pPr>
        <w:jc w:val="both"/>
        <w:rPr>
          <w:rFonts w:ascii="Times New Roman" w:hAnsi="Times New Roman" w:cs="Times New Roman"/>
          <w:noProof/>
          <w:sz w:val="24"/>
          <w:szCs w:val="24"/>
        </w:rPr>
      </w:pPr>
      <w:r>
        <w:rPr>
          <w:rFonts w:ascii="Times New Roman" w:hAnsi="Times New Roman"/>
          <w:noProof/>
          <w:sz w:val="24"/>
        </w:rPr>
        <w:t xml:space="preserve">На равнище ЕС Европейската комисия е напълно ангажирана </w:t>
      </w:r>
      <w:r>
        <w:rPr>
          <w:rFonts w:ascii="Times New Roman" w:hAnsi="Times New Roman"/>
          <w:b/>
          <w:noProof/>
          <w:sz w:val="24"/>
        </w:rPr>
        <w:t>да интегрира приоритетите на европейския стълб на социалните права във всички политики на ЕС</w:t>
      </w:r>
      <w:r>
        <w:rPr>
          <w:rFonts w:ascii="Times New Roman" w:hAnsi="Times New Roman"/>
          <w:noProof/>
          <w:sz w:val="24"/>
        </w:rPr>
        <w:t xml:space="preserve">. За тази цел Комисията вече започна да използва съществуващите инструменти и процеси и представи и няколко специални инициативи в рамките на компетенциите на ЕС, някои от които предстои да бъдат приети от съзаконодателите на ЕС. </w:t>
      </w:r>
    </w:p>
    <w:p>
      <w:pPr>
        <w:spacing w:after="0"/>
        <w:jc w:val="both"/>
        <w:rPr>
          <w:rFonts w:ascii="Times New Roman" w:hAnsi="Times New Roman" w:cs="Times New Roman"/>
          <w:noProof/>
          <w:sz w:val="24"/>
          <w:szCs w:val="24"/>
        </w:rPr>
      </w:pPr>
      <w:r>
        <w:rPr>
          <w:rFonts w:ascii="Times New Roman" w:hAnsi="Times New Roman"/>
          <w:noProof/>
          <w:sz w:val="24"/>
        </w:rPr>
        <w:t xml:space="preserve">Комисията е решена също да </w:t>
      </w:r>
      <w:r>
        <w:rPr>
          <w:rFonts w:ascii="Times New Roman" w:hAnsi="Times New Roman"/>
          <w:b/>
          <w:noProof/>
          <w:sz w:val="24"/>
        </w:rPr>
        <w:t>подкрепя държавите членки, социалните партньори и организациите на гражданското общество в прилагането на европейския стълб на социалните права</w:t>
      </w:r>
      <w:r>
        <w:rPr>
          <w:rFonts w:ascii="Times New Roman" w:hAnsi="Times New Roman"/>
          <w:noProof/>
          <w:sz w:val="24"/>
        </w:rPr>
        <w:t xml:space="preserve"> на национално, регионално и местно равнище. В работен документ на службите на Комисията, публикуван заедно с настоящото съобщение, се припомнят правната уредба, съответните роли на национално равнище и на равнище ЕС, както и вече предприетите действия за всеки от принципите на европейския стълб на социалните права</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Наблюдението на изпълнението на европейския стълб на социалните права е от съществено значение за гарантирането на осезаем напредък на място. С настоящото съобщение Комисията предлага, в допълнение към предприетите вече и предстоящи на равнище на ЕС инициативи, да бъде </w:t>
      </w:r>
      <w:r>
        <w:rPr>
          <w:rFonts w:ascii="Times New Roman" w:hAnsi="Times New Roman"/>
          <w:b/>
          <w:noProof/>
          <w:sz w:val="24"/>
        </w:rPr>
        <w:t>засилено наблюдението на изпълнението на европейския стълб на социалните права в рамките европейския семестър за координация на политиката</w:t>
      </w:r>
      <w:r>
        <w:rPr>
          <w:rFonts w:ascii="Times New Roman" w:hAnsi="Times New Roman"/>
          <w:noProof/>
          <w:sz w:val="24"/>
        </w:rPr>
        <w:t>. Това може да бъде осъществено:</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 xml:space="preserve">като приоритетите на европейския стълб на социалните права бъдат отразени в анализите на предприетите мерки и напредъка, постигнат на национално равнище; </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 xml:space="preserve">чрез предоставяне на техническа помощ, подкрепа за сравнителния анализ на данни и насърчаване на обмена на добри практики между държавите членки и заинтересованите страни; </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и чрез преглед на заетостта</w:t>
      </w:r>
      <w:r>
        <w:rPr>
          <w:noProof/>
        </w:rPr>
        <w:t xml:space="preserve"> </w:t>
      </w:r>
      <w:r>
        <w:rPr>
          <w:rFonts w:ascii="Times New Roman" w:hAnsi="Times New Roman"/>
          <w:noProof/>
          <w:sz w:val="24"/>
        </w:rPr>
        <w:t>и социалните резултати въз основа на нов набор от социални показатели, като по този начин ще се подпомогне процесът на възходящо сближаване.</w:t>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sz w:val="24"/>
          <w:u w:val="single"/>
        </w:rPr>
        <w:t>3. Изпълнение на европейския стълб на социалните права на равнище ЕС</w:t>
      </w:r>
    </w:p>
    <w:p>
      <w:pPr>
        <w:spacing w:after="0"/>
        <w:jc w:val="both"/>
        <w:rPr>
          <w:rFonts w:ascii="Times New Roman" w:hAnsi="Times New Roman" w:cs="Times New Roman"/>
          <w:noProof/>
          <w:sz w:val="24"/>
          <w:szCs w:val="24"/>
        </w:rPr>
      </w:pPr>
      <w:r>
        <w:rPr>
          <w:rFonts w:ascii="Times New Roman" w:hAnsi="Times New Roman"/>
          <w:b/>
          <w:noProof/>
          <w:sz w:val="24"/>
        </w:rPr>
        <w:t>Социалните приоритети са в основата на програмата на настоящата Комисия още от началото на нейния мандат през 2014 г.</w:t>
      </w:r>
      <w:r>
        <w:rPr>
          <w:rFonts w:ascii="Times New Roman" w:hAnsi="Times New Roman"/>
          <w:noProof/>
          <w:sz w:val="24"/>
        </w:rPr>
        <w:t xml:space="preserve"> Съдържанието и целите на европейския стълб на социалните права се основават на голям брой инициативи в областта на заетостта и в социалната сфера, които бяха въведени от Комисията в последните години, а именно</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насърчаването на </w:t>
      </w:r>
      <w:r>
        <w:rPr>
          <w:rFonts w:ascii="Times New Roman" w:hAnsi="Times New Roman"/>
          <w:b/>
          <w:noProof/>
          <w:sz w:val="24"/>
        </w:rPr>
        <w:t>ново начало за социалния диалог</w:t>
      </w:r>
      <w:r>
        <w:rPr>
          <w:rFonts w:ascii="Times New Roman" w:hAnsi="Times New Roman"/>
          <w:noProof/>
          <w:sz w:val="24"/>
        </w:rPr>
        <w:t xml:space="preserve">, което отразява ангажимента на Комисията да работи в тясно сътрудничество със социалните партньори на всички равнища;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предложението за </w:t>
      </w:r>
      <w:r>
        <w:rPr>
          <w:rFonts w:ascii="Times New Roman" w:hAnsi="Times New Roman"/>
          <w:b/>
          <w:noProof/>
          <w:sz w:val="24"/>
        </w:rPr>
        <w:t>Европейски акт за достъпността</w:t>
      </w:r>
      <w:r>
        <w:rPr>
          <w:rFonts w:ascii="Times New Roman" w:hAnsi="Times New Roman"/>
          <w:noProof/>
          <w:sz w:val="24"/>
        </w:rPr>
        <w:t>, който има за цел да подобри функционирането на вътрешния пазар за достъпни продукти и услуги, като премахне пречките, създадени от различията в законодателства, и по този начин да улесни работата на предприятията и да донесе ползи за хората с увреждания и възрастните хора в ЕС;</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предложението за директива за подобряване на </w:t>
      </w:r>
      <w:r>
        <w:rPr>
          <w:rFonts w:ascii="Times New Roman" w:hAnsi="Times New Roman"/>
          <w:b/>
          <w:noProof/>
          <w:sz w:val="24"/>
        </w:rPr>
        <w:t>прозрачността и предвидимостта на условията на труд</w:t>
      </w:r>
      <w:r>
        <w:rPr>
          <w:rFonts w:ascii="Times New Roman" w:hAnsi="Times New Roman"/>
          <w:noProof/>
          <w:sz w:val="24"/>
        </w:rPr>
        <w:t>, която подобрява информацията, с която разполагат работниците относно техните права, и същевременно установява нови минимални изисквания за подобряване на условията на труд;</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преразглеждането на </w:t>
      </w:r>
      <w:r>
        <w:rPr>
          <w:rFonts w:ascii="Times New Roman" w:hAnsi="Times New Roman"/>
          <w:b/>
          <w:noProof/>
          <w:sz w:val="24"/>
        </w:rPr>
        <w:t>директивата относно командироването на работници</w:t>
      </w:r>
      <w:r>
        <w:rPr>
          <w:rFonts w:ascii="Times New Roman" w:hAnsi="Times New Roman"/>
          <w:noProof/>
          <w:sz w:val="24"/>
        </w:rPr>
        <w:t xml:space="preserve">, в която е залегнал принципът на „еднакво заплащане за еднакъв труд, полаган на едно и също място“, като по този начин се създава равнопоставеност и се предотвратява нелоялната конкуренция в рамките на вътрешния пазар;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нови законодателни предложения за модернизиране на </w:t>
      </w:r>
      <w:r>
        <w:rPr>
          <w:rFonts w:ascii="Times New Roman" w:hAnsi="Times New Roman"/>
          <w:b/>
          <w:noProof/>
          <w:sz w:val="24"/>
        </w:rPr>
        <w:t>координацията на системите за социална сигурност</w:t>
      </w:r>
      <w:r>
        <w:rPr>
          <w:rFonts w:ascii="Times New Roman" w:hAnsi="Times New Roman"/>
          <w:noProof/>
          <w:sz w:val="24"/>
        </w:rPr>
        <w:t xml:space="preserve">, които в частност спомагат да се гарантира, че работниците, които се възползват от правото си на свободно движение, не губят правата си на социална сигурност;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предложението за директива относно </w:t>
      </w:r>
      <w:r>
        <w:rPr>
          <w:rFonts w:ascii="Times New Roman" w:hAnsi="Times New Roman"/>
          <w:b/>
          <w:noProof/>
          <w:sz w:val="24"/>
        </w:rPr>
        <w:t>равновесието между професионалния и личния живот на родителите и лицата, полагащи грижи</w:t>
      </w:r>
      <w:r>
        <w:rPr>
          <w:rFonts w:ascii="Times New Roman" w:hAnsi="Times New Roman"/>
          <w:noProof/>
          <w:sz w:val="24"/>
        </w:rPr>
        <w:t>, което има за цел да се осъвремени съществуващата правна уредба чрез въвеждането на отпуск по бащинство и отпуск за лицата, полагащи грижи, укрепване на родителския отпуск и разширяване на правото да се иска гъвкав режим на работа;</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планът за действие за преодоляване на </w:t>
      </w:r>
      <w:r>
        <w:rPr>
          <w:rFonts w:ascii="Times New Roman" w:hAnsi="Times New Roman"/>
          <w:b/>
          <w:noProof/>
          <w:sz w:val="24"/>
        </w:rPr>
        <w:t>разликата в заплащането между жените и мъжете за периода 2017—2019 г.</w:t>
      </w:r>
      <w:r>
        <w:rPr>
          <w:rFonts w:ascii="Times New Roman" w:hAnsi="Times New Roman"/>
          <w:noProof/>
          <w:sz w:val="24"/>
        </w:rPr>
        <w:t xml:space="preserve">, който включва набор от дейности за преодоляване на нейните първопричини;  прегледът на различните законодателни актове в областта на </w:t>
      </w:r>
      <w:r>
        <w:rPr>
          <w:rFonts w:ascii="Times New Roman" w:hAnsi="Times New Roman"/>
          <w:b/>
          <w:noProof/>
          <w:sz w:val="24"/>
        </w:rPr>
        <w:t>здравословните и безопасни условия на труд</w:t>
      </w:r>
      <w:r>
        <w:rPr>
          <w:rFonts w:ascii="Times New Roman" w:hAnsi="Times New Roman"/>
          <w:noProof/>
          <w:sz w:val="24"/>
        </w:rPr>
        <w:t xml:space="preserve">, който актуализира и допълва разпоредбите за защита на работниците от свързани с работата рискове за здравето, включително рисковете от експозиция на канцерогени; </w:t>
      </w:r>
    </w:p>
    <w:p>
      <w:pPr>
        <w:pStyle w:val="ListParagraph"/>
        <w:numPr>
          <w:ilvl w:val="0"/>
          <w:numId w:val="1"/>
        </w:numPr>
        <w:jc w:val="both"/>
        <w:rPr>
          <w:noProof/>
        </w:rPr>
      </w:pPr>
      <w:r>
        <w:rPr>
          <w:rFonts w:ascii="Times New Roman" w:hAnsi="Times New Roman"/>
          <w:noProof/>
          <w:sz w:val="24"/>
        </w:rPr>
        <w:t xml:space="preserve">различните действия за гарантиране на навременен достъп до достъпни, превантивни и лечебни </w:t>
      </w:r>
      <w:r>
        <w:rPr>
          <w:rFonts w:ascii="Times New Roman" w:hAnsi="Times New Roman"/>
          <w:b/>
          <w:noProof/>
          <w:sz w:val="24"/>
        </w:rPr>
        <w:t>здравни грижи</w:t>
      </w:r>
      <w:r>
        <w:rPr>
          <w:rFonts w:ascii="Times New Roman" w:hAnsi="Times New Roman"/>
          <w:noProof/>
          <w:sz w:val="24"/>
        </w:rPr>
        <w:t xml:space="preserve"> с добро качество, включително европейските референтни мрежи, които от ноември миналата година предоставят на хората с редки заболявания достъп до диагностика и лечение в целия ЕС;</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укрепването и разгръщането на схемата „</w:t>
      </w:r>
      <w:r>
        <w:rPr>
          <w:rFonts w:ascii="Times New Roman" w:hAnsi="Times New Roman"/>
          <w:b/>
          <w:noProof/>
          <w:sz w:val="24"/>
        </w:rPr>
        <w:t>Гаранция за младежта</w:t>
      </w:r>
      <w:r>
        <w:rPr>
          <w:rFonts w:ascii="Times New Roman" w:hAnsi="Times New Roman"/>
          <w:noProof/>
          <w:sz w:val="24"/>
        </w:rPr>
        <w:t xml:space="preserve">“, за да се помогне на младите хора да намерят бързо работа, образование или обучение;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подемането на широк набор от инициативи по </w:t>
      </w:r>
      <w:r>
        <w:rPr>
          <w:rFonts w:ascii="Times New Roman" w:hAnsi="Times New Roman"/>
          <w:b/>
          <w:noProof/>
          <w:sz w:val="24"/>
        </w:rPr>
        <w:t>новата програма за умения</w:t>
      </w:r>
      <w:r>
        <w:rPr>
          <w:rFonts w:ascii="Times New Roman" w:hAnsi="Times New Roman"/>
          <w:noProof/>
          <w:sz w:val="24"/>
        </w:rPr>
        <w:t>, чиято цел е повече хора да придобият по-добри умения;</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различни инициативи за насърчаване на достъпа до висококачествено и приобщаващо образование, обучение и учене през целия живот, като част от напредъка към </w:t>
      </w:r>
      <w:r>
        <w:rPr>
          <w:rFonts w:ascii="Times New Roman" w:hAnsi="Times New Roman"/>
          <w:b/>
          <w:noProof/>
          <w:sz w:val="24"/>
        </w:rPr>
        <w:t>европейско пространство на образованието</w:t>
      </w:r>
      <w:r>
        <w:rPr>
          <w:rFonts w:ascii="Times New Roman" w:hAnsi="Times New Roman"/>
          <w:noProof/>
          <w:sz w:val="24"/>
        </w:rPr>
        <w:t>.</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образованието и обучението</w:t>
      </w:r>
      <w:r>
        <w:rPr>
          <w:rFonts w:ascii="Times New Roman" w:hAnsi="Times New Roman"/>
          <w:noProof/>
          <w:sz w:val="24"/>
        </w:rPr>
        <w:t xml:space="preserve"> Комисията си поставя по-амбициозни цели относно дела на  учениците със слаби резултати и на преждевременно напускащите училище и обмисля нови цели по отношение на компетентността в областта на цифровите технологии и предприемачеството</w:t>
      </w:r>
      <w:r>
        <w:rPr>
          <w:rStyle w:val="FootnoteReference"/>
          <w:rFonts w:ascii="Times New Roman" w:hAnsi="Times New Roman"/>
          <w:noProof/>
          <w:sz w:val="24"/>
        </w:rPr>
        <w:footnoteReference w:id="11"/>
      </w:r>
      <w:r>
        <w:rPr>
          <w:rFonts w:ascii="Times New Roman" w:hAnsi="Times New Roman"/>
          <w:noProof/>
          <w:sz w:val="24"/>
        </w:rPr>
        <w:t>.</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Сред 22-та правни акта, предложени от ноември 2014 г. насам в областта на заетостта и в социалната сфера, 10 бяха приети, а 12 предстои да бъдат одобрени от Съвета и/или Европейския парламент. Както е отразено в съвместната декларация между Европейския парламент, Съвета и Комисията, приоритет за следващите месеци ще бъде </w:t>
      </w:r>
      <w:r>
        <w:rPr>
          <w:rFonts w:ascii="Times New Roman" w:hAnsi="Times New Roman"/>
          <w:b/>
          <w:noProof/>
          <w:sz w:val="24"/>
        </w:rPr>
        <w:t>приключването на висящите законодателни досиета</w:t>
      </w:r>
      <w:r>
        <w:rPr>
          <w:rFonts w:ascii="Times New Roman" w:hAnsi="Times New Roman"/>
          <w:noProof/>
          <w:sz w:val="24"/>
        </w:rPr>
        <w:t xml:space="preserve"> и </w:t>
      </w:r>
      <w:r>
        <w:rPr>
          <w:rFonts w:ascii="Times New Roman" w:hAnsi="Times New Roman"/>
          <w:b/>
          <w:noProof/>
          <w:sz w:val="24"/>
        </w:rPr>
        <w:t>съсредоточаването върху изпълнението и прилагането</w:t>
      </w:r>
      <w:r>
        <w:rPr>
          <w:rFonts w:ascii="Times New Roman" w:hAnsi="Times New Roman"/>
          <w:noProof/>
          <w:sz w:val="24"/>
        </w:rPr>
        <w:t xml:space="preserve"> на новите инициативи по места.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rPr>
        <w:t>Освен това Комисията интегрира социалните приоритети във всички области</w:t>
      </w:r>
      <w:r>
        <w:rPr>
          <w:noProof/>
        </w:rPr>
        <w:t xml:space="preserve">, </w:t>
      </w:r>
      <w:r>
        <w:rPr>
          <w:rFonts w:ascii="Times New Roman" w:hAnsi="Times New Roman"/>
          <w:noProof/>
          <w:sz w:val="24"/>
        </w:rPr>
        <w:t xml:space="preserve">като напълно взема под внимание социалното измерение на всичко, което прави. Сред тях са: </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rPr>
        <w:t>европейският семестър</w:t>
      </w:r>
      <w:r>
        <w:rPr>
          <w:rFonts w:ascii="Times New Roman" w:hAnsi="Times New Roman"/>
          <w:noProof/>
          <w:sz w:val="24"/>
        </w:rPr>
        <w:t xml:space="preserve"> за координиране на политиката, където Комисията сложи по-силен акцент върху социалните приоритети и ги постави наравно с икономическите цели в основата на годишния цикъл на икономическо управление, като тазгодишният цикъл отрази също за първи път приоритетите на европейския стълб на социалните права</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 xml:space="preserve">в рамките на </w:t>
      </w:r>
      <w:r>
        <w:rPr>
          <w:rFonts w:ascii="Times New Roman" w:hAnsi="Times New Roman"/>
          <w:b/>
          <w:noProof/>
          <w:sz w:val="24"/>
        </w:rPr>
        <w:t>политиката на сближаване</w:t>
      </w:r>
      <w:r>
        <w:rPr>
          <w:rFonts w:ascii="Times New Roman" w:hAnsi="Times New Roman"/>
          <w:noProof/>
          <w:sz w:val="24"/>
        </w:rPr>
        <w:t xml:space="preserve"> социалните приоритети се ползват с широка подкрепа от европейските структурни и инвестиционни фондове в области като достъпа до пазара на труда, социалното приобщаване и образованието. Други </w:t>
      </w:r>
      <w:r>
        <w:rPr>
          <w:rFonts w:ascii="Times New Roman" w:hAnsi="Times New Roman"/>
          <w:b/>
          <w:noProof/>
          <w:sz w:val="24"/>
        </w:rPr>
        <w:t>програми и инструменти за финансиране</w:t>
      </w:r>
      <w:r>
        <w:rPr>
          <w:rFonts w:ascii="Times New Roman" w:hAnsi="Times New Roman"/>
          <w:noProof/>
          <w:sz w:val="24"/>
        </w:rPr>
        <w:t>, като Европейският фонд за приспособяване към глобализацията и Фондът за европейско подпомагане на най-нуждаещите се лица подкрепят засегнатите от преструктуриране на предприятия или изложените на риск от сериозни материални лишения;</w:t>
      </w:r>
    </w:p>
    <w:p>
      <w:pPr>
        <w:pStyle w:val="ListParagraph"/>
        <w:numPr>
          <w:ilvl w:val="0"/>
          <w:numId w:val="10"/>
        </w:numPr>
        <w:jc w:val="both"/>
        <w:rPr>
          <w:rFonts w:ascii="Times New Roman" w:hAnsi="Times New Roman" w:cs="Times New Roman"/>
          <w:noProof/>
          <w:sz w:val="24"/>
          <w:szCs w:val="24"/>
        </w:rPr>
      </w:pPr>
      <w:r>
        <w:rPr>
          <w:rFonts w:ascii="Times New Roman" w:hAnsi="Times New Roman"/>
          <w:b/>
          <w:noProof/>
          <w:sz w:val="24"/>
        </w:rPr>
        <w:t>планът за инвестиции за Европа</w:t>
      </w:r>
      <w:r>
        <w:rPr>
          <w:rFonts w:ascii="Times New Roman" w:hAnsi="Times New Roman"/>
          <w:noProof/>
          <w:sz w:val="24"/>
        </w:rPr>
        <w:t xml:space="preserve"> (планът „Юнкер“): социалните инфраструктури и оборудване, както и стратегическите инвестиции в социални предприятия, могат да се ползват от финансовата подкрепа на Европейския фонд за стратегически инвестиции</w:t>
      </w:r>
      <w:r>
        <w:rPr>
          <w:rStyle w:val="FootnoteReference"/>
          <w:rFonts w:ascii="Times New Roman" w:hAnsi="Times New Roman"/>
          <w:noProof/>
          <w:sz w:val="24"/>
        </w:rPr>
        <w:footnoteReference w:id="13"/>
      </w:r>
      <w:r>
        <w:rPr>
          <w:noProof/>
        </w:rPr>
        <w:t>;</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в рамките на </w:t>
      </w:r>
      <w:r>
        <w:rPr>
          <w:rFonts w:ascii="Times New Roman" w:hAnsi="Times New Roman"/>
          <w:b/>
          <w:noProof/>
          <w:sz w:val="24"/>
        </w:rPr>
        <w:t>енергийния съюз</w:t>
      </w:r>
      <w:r>
        <w:rPr>
          <w:rFonts w:ascii="Times New Roman" w:hAnsi="Times New Roman"/>
          <w:noProof/>
          <w:sz w:val="24"/>
        </w:rPr>
        <w:t>, пакетът „Чиста енергия за всички европейци“, предложен от Комисията, поставя основен акцент върху потребителите и увеличава усилията, за да се гарантира, че преходът към чиста енергия е социално справедлив и че никой не е изоставен. Освен това в пакета е представен нов подход към защитата на уязвимите потребители, който включва също така предоставяне на помощ на държавите членки, за да се намалят енергийните разходи на потребителите чрез подпомагане на инвестиции за енергийна ефективност. Това доведе също до създаването на Европейска обсерватория на енергийната бедност;</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в рамките на </w:t>
      </w:r>
      <w:r>
        <w:rPr>
          <w:rFonts w:ascii="Times New Roman" w:hAnsi="Times New Roman"/>
          <w:b/>
          <w:noProof/>
          <w:sz w:val="24"/>
        </w:rPr>
        <w:t>цифровия единен пазар</w:t>
      </w:r>
      <w:r>
        <w:rPr>
          <w:rFonts w:ascii="Times New Roman" w:hAnsi="Times New Roman"/>
          <w:noProof/>
          <w:sz w:val="24"/>
        </w:rPr>
        <w:t xml:space="preserve"> Комисията определи цели за свързаност до 2025 г., за да се подпомогне предлагането на широколентов достъп до интернет с висок капацитет за обществото като цяло, като се обръща специално внимание на региони, които изостават, като например селските и отдалечените райони, а същевременно акцентът се поставя върху развиването на умения в областта на цифровите технологии. Чрез инициативата WiFi4EU</w:t>
      </w:r>
      <w:r>
        <w:rPr>
          <w:noProof/>
        </w:rPr>
        <w:t xml:space="preserve"> </w:t>
      </w:r>
      <w:r>
        <w:rPr>
          <w:rFonts w:ascii="Times New Roman" w:hAnsi="Times New Roman"/>
          <w:noProof/>
          <w:sz w:val="24"/>
        </w:rPr>
        <w:t xml:space="preserve">тя се стреми също да насърчава безплатния безжичен интернет за гражданите и посетителите на обществени места. Освен това предложението за Европейски кодекс за електронните съобщения съдържа разпоредби за осигуряване на достъпни цени на електронните съобщения (включително високоскоростен интернет) като част от универсална услуга;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транспортната политика</w:t>
      </w:r>
      <w:r>
        <w:rPr>
          <w:rFonts w:ascii="Times New Roman" w:hAnsi="Times New Roman"/>
          <w:noProof/>
          <w:sz w:val="24"/>
        </w:rPr>
        <w:t>, пакетът за мобилност „Европа в движение“ е широкообхватен набор от инициативи, които, наред с другото, ще гарантират подходящи условия на труд. Освен това в момента ЕС преразглежда законодателствата в областта на правата на пътниците, за да гарантира, че лицата с намалена подвижност разполагат със същия достъп до транспортни услуги, както всички останали пътници;</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Комисията предложи да бъде преразгледана директивата относно </w:t>
      </w:r>
      <w:r>
        <w:rPr>
          <w:rFonts w:ascii="Times New Roman" w:hAnsi="Times New Roman"/>
          <w:b/>
          <w:noProof/>
          <w:sz w:val="24"/>
        </w:rPr>
        <w:t>качеството на питейната вода</w:t>
      </w:r>
      <w:r>
        <w:rPr>
          <w:rFonts w:ascii="Times New Roman" w:hAnsi="Times New Roman"/>
          <w:noProof/>
          <w:sz w:val="24"/>
        </w:rPr>
        <w:t>, с което ще бъде подобрен достъпът на всички хора, особено за уязвимите и маргинализираните групи;</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в рамките на </w:t>
      </w:r>
      <w:r>
        <w:rPr>
          <w:rFonts w:ascii="Times New Roman" w:hAnsi="Times New Roman"/>
          <w:b/>
          <w:noProof/>
          <w:sz w:val="24"/>
        </w:rPr>
        <w:t>програмата на ЕС в областта на данъчното облагане</w:t>
      </w:r>
      <w:r>
        <w:rPr>
          <w:rFonts w:ascii="Times New Roman" w:hAnsi="Times New Roman"/>
          <w:noProof/>
          <w:sz w:val="24"/>
        </w:rPr>
        <w:t>, Комисията предложи редица инициативи, предназначени да възстановят справедливостта на данъчната система на ЕС, като се гарантира, че всички предприятия плащат своя справедлив дял от данъците там, където реализират печалби</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чрез </w:t>
      </w:r>
      <w:r>
        <w:rPr>
          <w:rFonts w:ascii="Times New Roman" w:hAnsi="Times New Roman"/>
          <w:b/>
          <w:noProof/>
          <w:sz w:val="24"/>
        </w:rPr>
        <w:t>търговската си политика</w:t>
      </w:r>
      <w:r>
        <w:rPr>
          <w:rFonts w:ascii="Times New Roman" w:hAnsi="Times New Roman"/>
          <w:noProof/>
          <w:sz w:val="24"/>
        </w:rPr>
        <w:t xml:space="preserve"> ЕС насърчава основни трудови стандарти, договорени на международно равнище: свободата на сдружаване, правото на колективно договаряне, борбата срещу дискриминацията, детския труд и принудителния труд, трудовите инспекции, здравето и безопасността на работното място и достойните условия на труд. Социалните въпроси също представляват възлови аспекти от оценките на въздействието върху устойчивостта, извършвани за всички търговски споразумения, наред с въздействията върху икономиката, правата на човека и околната среда;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новият </w:t>
      </w:r>
      <w:r>
        <w:rPr>
          <w:rFonts w:ascii="Times New Roman" w:hAnsi="Times New Roman"/>
          <w:b/>
          <w:noProof/>
          <w:sz w:val="24"/>
        </w:rPr>
        <w:t>Европейски корпус за солидарност</w:t>
      </w:r>
      <w:r>
        <w:rPr>
          <w:rFonts w:ascii="Times New Roman" w:hAnsi="Times New Roman"/>
          <w:noProof/>
          <w:sz w:val="24"/>
        </w:rPr>
        <w:t xml:space="preserve"> позволява на младите хора, особено на младите хора в неравностойно положение, да участват в дейности за солидарност и да спомогнат за задоволяването на обществени потребности в цяла Европа, което също така им позволява да развиват своите компетентности и умения;</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rPr>
        <w:t xml:space="preserve">при програмите за подкрепа на стабилността тази практика бе въведена след случая с Гърция през 2015 г. с цел да се гарантира, че те са придружени от </w:t>
      </w:r>
      <w:r>
        <w:rPr>
          <w:rFonts w:ascii="Times New Roman" w:hAnsi="Times New Roman"/>
          <w:b/>
          <w:noProof/>
          <w:sz w:val="24"/>
        </w:rPr>
        <w:t>оценка на социалното въздействие</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Освен това сближаването за постигане на по-добри социално-икономически резултати, социална устойчивост и справедливост, насърчавано от европейския стълб на социалните права, е съществена част от усилията за укрепване и завършване на </w:t>
      </w:r>
      <w:r>
        <w:rPr>
          <w:rFonts w:ascii="Times New Roman" w:hAnsi="Times New Roman"/>
          <w:b/>
          <w:noProof/>
          <w:sz w:val="24"/>
        </w:rPr>
        <w:t>Икономическия и паричен съюз</w:t>
      </w:r>
      <w:r>
        <w:rPr>
          <w:rFonts w:ascii="Times New Roman" w:hAnsi="Times New Roman"/>
          <w:noProof/>
          <w:sz w:val="24"/>
        </w:rPr>
        <w:t>, както се припомня в доклада на петимата председатели от юни 2015 г.</w:t>
      </w:r>
      <w:r>
        <w:rPr>
          <w:rStyle w:val="FootnoteReference"/>
          <w:rFonts w:ascii="Times New Roman" w:hAnsi="Times New Roman"/>
          <w:noProof/>
          <w:sz w:val="24"/>
        </w:rPr>
        <w:footnoteReference w:id="15"/>
      </w:r>
      <w:r>
        <w:rPr>
          <w:rFonts w:ascii="Times New Roman" w:hAnsi="Times New Roman"/>
          <w:noProof/>
          <w:sz w:val="24"/>
        </w:rPr>
        <w:t xml:space="preserve"> и последващите предложения на Комисията</w:t>
      </w:r>
      <w:r>
        <w:rPr>
          <w:rStyle w:val="FootnoteReference"/>
          <w:rFonts w:ascii="Times New Roman" w:hAnsi="Times New Roman"/>
          <w:noProof/>
          <w:sz w:val="24"/>
        </w:rPr>
        <w:footnoteReference w:id="16"/>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В графика 1 по-долу е представен общ преглед на различните начини, по които Комисията </w:t>
      </w:r>
      <w:r>
        <w:rPr>
          <w:rFonts w:ascii="Times New Roman" w:hAnsi="Times New Roman"/>
          <w:b/>
          <w:noProof/>
          <w:sz w:val="24"/>
        </w:rPr>
        <w:t>интегрира социалните приоритети във всички области</w:t>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Графика 1. Възлови инициативи на Комисията в областта на заетостта и в социалната сфера</w:t>
      </w:r>
    </w:p>
    <w:p>
      <w:pPr>
        <w:jc w:val="both"/>
        <w:rPr>
          <w:rFonts w:ascii="Times New Roman" w:hAnsi="Times New Roman" w:cs="Times New Roman"/>
          <w:noProof/>
          <w:sz w:val="24"/>
          <w:szCs w:val="24"/>
        </w:rPr>
      </w:pPr>
      <w:r>
        <w:rPr>
          <w:noProof/>
          <w:lang w:val="en-US" w:eastAsia="en-US" w:bidi="ar-SA"/>
        </w:rPr>
        <w:drawing>
          <wp:inline distT="0" distB="0" distL="0" distR="0">
            <wp:extent cx="5760720" cy="4219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4219179"/>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rPr>
        <w:t xml:space="preserve">В този контекст създаването на стълба е </w:t>
      </w:r>
      <w:r>
        <w:rPr>
          <w:rFonts w:ascii="Times New Roman" w:hAnsi="Times New Roman"/>
          <w:b/>
          <w:noProof/>
          <w:sz w:val="24"/>
        </w:rPr>
        <w:t>основен двигател за актуализиране и допълване на законодателството на ЕС, когато това е необходимо</w:t>
      </w:r>
      <w:r>
        <w:rPr>
          <w:rFonts w:ascii="Times New Roman" w:hAnsi="Times New Roman"/>
          <w:noProof/>
          <w:sz w:val="24"/>
        </w:rPr>
        <w:t>. В допълнение към свършеното досега, Комисията представя нов набор от инициативи заедно с днешното съобщение, които са обобщени в каре 1.</w:t>
      </w:r>
    </w:p>
    <w:p>
      <w:pPr>
        <w:rPr>
          <w:rFonts w:ascii="Times New Roman" w:hAnsi="Times New Roman" w:cs="Times New Roman"/>
          <w:b/>
          <w:noProof/>
          <w:color w:val="FFFFFF" w:themeColor="background1"/>
          <w:sz w:val="24"/>
          <w:szCs w:val="24"/>
        </w:rPr>
      </w:pPr>
      <w:r>
        <w:rPr>
          <w:noProof/>
        </w:rPr>
        <w:br w:type="page"/>
      </w:r>
    </w:p>
    <w:p>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b/>
          <w:noProof/>
          <w:color w:val="FFFFFF" w:themeColor="background1"/>
          <w:sz w:val="24"/>
        </w:rPr>
        <w:t>Каре 1. Новият пакет за социална справедливост, представен на 13 март 2018 г.</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 xml:space="preserve">Настоящото съобщение е придружено от нов </w:t>
      </w:r>
      <w:r>
        <w:rPr>
          <w:rFonts w:ascii="Times New Roman" w:hAnsi="Times New Roman"/>
          <w:b/>
          <w:noProof/>
        </w:rPr>
        <w:t>пакет за социална справедливост</w:t>
      </w:r>
      <w:r>
        <w:rPr>
          <w:rFonts w:ascii="Times New Roman" w:hAnsi="Times New Roman"/>
          <w:noProof/>
        </w:rPr>
        <w:t xml:space="preserve">, приет от Комисията на 13 март 2018 г. </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 xml:space="preserve">Първо, Комисията предлага да се създаде </w:t>
      </w:r>
      <w:r>
        <w:rPr>
          <w:rFonts w:ascii="Times New Roman" w:hAnsi="Times New Roman"/>
          <w:b/>
          <w:noProof/>
        </w:rPr>
        <w:t>Европейски орган по труда</w:t>
      </w:r>
      <w:r>
        <w:rPr>
          <w:rFonts w:ascii="Times New Roman" w:hAnsi="Times New Roman"/>
          <w:noProof/>
        </w:rPr>
        <w:t xml:space="preserve">, което допълва предходните инициативи за подобряване на правилата за командироване на работници и координацията на системите за социална сигурност. Свободното движение е една от най-ценените свободи на вътрешния пазар, която е от полза за гражданите, икономиките и обществата като цяло. Понастоящем ЕС разполага с обширен набор от законодателни актове , които гарантират справедлива мобилност, но важно е тези правила да се прилагат ефективно на място. В този контекст ролята и добавената стойност на този орган ще бъдат: </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 xml:space="preserve">а) да улеснява достъпа на гражданите и работодателите до информация относно техните права и задължения, както и до съответните услуги; </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б) да подпомага сътрудничеството между държавите членки в трансграничното прилагане на съответното право на Съюза, включително да улеснява съвместни инспекции;</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в) да посредничи за и да улеснява намирането на решение в случаи на трансгранични спорове между националните органи или при смущения на пазара на труда.</w:t>
      </w:r>
    </w:p>
    <w:p>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noProof/>
        </w:rPr>
      </w:pPr>
      <w:r>
        <w:rPr>
          <w:rFonts w:ascii="Times New Roman" w:hAnsi="Times New Roman"/>
          <w:noProof/>
        </w:rPr>
        <w:t>За да съдейства за подготовката и създаването на Органа, Комисията създава консултативна група, обединяваща основните заинтересовани страни.</w:t>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pacing w:val="-4"/>
        </w:rPr>
      </w:pPr>
      <w:r>
        <w:rPr>
          <w:rFonts w:ascii="Times New Roman" w:hAnsi="Times New Roman"/>
          <w:noProof/>
          <w:spacing w:val="-4"/>
        </w:rPr>
        <w:t xml:space="preserve">Второ, Комисията предлага </w:t>
      </w:r>
      <w:r>
        <w:rPr>
          <w:rFonts w:ascii="Times New Roman" w:hAnsi="Times New Roman"/>
          <w:b/>
          <w:noProof/>
          <w:spacing w:val="-4"/>
        </w:rPr>
        <w:t>Препоръка на Съвета относно достъпа до социална закрила за работниците и самостоятелно заетите лица</w:t>
      </w:r>
      <w:r>
        <w:rPr>
          <w:rFonts w:ascii="Times New Roman" w:hAnsi="Times New Roman"/>
          <w:noProof/>
          <w:spacing w:val="-4"/>
        </w:rPr>
        <w:t>, която се основава на консултацията на социалните партньори на ЕС и има за цел да насърчава държавите членки да гарантират, че всеки работещ може да допринася и да има подходящ достъп до социална закрила, като например обезщетения за безработица или болест. Днес около 60 % от хората работят на пълно работно време на безсрочни договори. При все това все повече хора работят въз основа на други видове договори, включително на непълен работен ден, временни договори или са самостоятелно заети лица. Тази тенденция може да доведе до неравенство и социални рискове, ако тези работници нямат достатъчен достъп до социална закрила. Комисията разгледа възможността да предложи директива за решаването на този проблем, но като се имат предвид многообразието на ситуациите и ограниченията на правната уредба за предприемането на действия на равнище ЕС, тя смята, че препоръка на Съвета е правилният начин за постигане на напредък на национално равнище, за гарантиране на равнопоставеност и за да се спомогне за сближаването с постигналите най-добри резултати.</w:t>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pacing w:val="-6"/>
          <w:sz w:val="24"/>
          <w:szCs w:val="24"/>
        </w:rPr>
      </w:pPr>
      <w:r>
        <w:rPr>
          <w:rFonts w:ascii="Times New Roman" w:hAnsi="Times New Roman"/>
          <w:noProof/>
          <w:spacing w:val="-6"/>
        </w:rPr>
        <w:t xml:space="preserve">Накрая, Комисията работи по разработването на </w:t>
      </w:r>
      <w:r>
        <w:rPr>
          <w:rFonts w:ascii="Times New Roman" w:hAnsi="Times New Roman"/>
          <w:b/>
          <w:noProof/>
          <w:spacing w:val="-6"/>
        </w:rPr>
        <w:t>европейски социално-осигурителен номер</w:t>
      </w:r>
      <w:r>
        <w:rPr>
          <w:rFonts w:ascii="Times New Roman" w:hAnsi="Times New Roman"/>
          <w:noProof/>
          <w:spacing w:val="-6"/>
        </w:rPr>
        <w:t>, който е замислен като цифров идентификатор, благодарение на който съществуващите системи да станат оперативно съвместими. Милиони туристи и лица, които пътуват, живеят и работят в друга държава от ЕС, ще могат лесно да докажат, че са осигурени в родината си, и ще получат по-бърз и по-лесен достъп до обезщетения, на които имат право, като се има предвид, че личните им данни ще бъдат напълно защитени. По този начин ще се улесни преносимостта на правата през границите, ще стане възможно в реално време да се установява самоличността и да се проверява осигурителното покритие, а също и да се намали рискът от грешки и измами, които произтичат от използването на документи на хартиен носител. Този номер ще опрости работата на администрациите на всички равнища. Настоящата инициатива е част от работната програма на Комисията за 2018 г: в съответствие с принципите за по-добро регулиране Комисията работи съвместно с държавите членки и заинтересованите страни и ще излезе с инициатива по-късно през годината.</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 xml:space="preserve">За по-нататъшното изпълнение на стълба на равнище ЕС Комисията ще продължи да използва в пълна степен всички съществуващи инструменти, с които разполага. </w:t>
      </w:r>
      <w:r>
        <w:rPr>
          <w:rFonts w:ascii="Times New Roman" w:hAnsi="Times New Roman"/>
          <w:noProof/>
          <w:sz w:val="24"/>
        </w:rPr>
        <w:t>Използването на тези инструменти ще варира в зависимост от съответната област на политиката и принципите на стълба и ще отразява естеството и степента на правомощията на равнище ЕС.</w:t>
      </w:r>
      <w:r>
        <w:rPr>
          <w:rFonts w:ascii="Times New Roman" w:hAnsi="Times New Roman"/>
          <w:b/>
          <w:noProof/>
          <w:sz w:val="24"/>
        </w:rPr>
        <w:t xml:space="preserve"> </w:t>
      </w:r>
      <w:r>
        <w:rPr>
          <w:rFonts w:ascii="Times New Roman" w:hAnsi="Times New Roman"/>
          <w:noProof/>
          <w:sz w:val="24"/>
        </w:rPr>
        <w:t xml:space="preserve">Сред инструментите са актуализирането и допълването на действащото законодателство, както е посочено по-горе, подобряването на прилагането на правото на ЕС в държавите членки и подкрепата за социалния диалог в целия ЕС в допълнение към наблюдението на напредъка в рамките на европейския семестър. </w:t>
      </w:r>
    </w:p>
    <w:p>
      <w:pPr>
        <w:jc w:val="both"/>
        <w:rPr>
          <w:rFonts w:ascii="Times New Roman" w:hAnsi="Times New Roman" w:cs="Times New Roman"/>
          <w:b/>
          <w:noProof/>
          <w:sz w:val="24"/>
          <w:szCs w:val="24"/>
        </w:rPr>
      </w:pPr>
      <w:r>
        <w:rPr>
          <w:rFonts w:ascii="Times New Roman" w:hAnsi="Times New Roman"/>
          <w:noProof/>
          <w:sz w:val="24"/>
        </w:rPr>
        <w:t xml:space="preserve">Това се отнася и за </w:t>
      </w:r>
      <w:r>
        <w:rPr>
          <w:rFonts w:ascii="Times New Roman" w:hAnsi="Times New Roman"/>
          <w:b/>
          <w:noProof/>
          <w:sz w:val="24"/>
        </w:rPr>
        <w:t>съответната финансова подкрепа чрез фондовете на ЕС</w:t>
      </w:r>
      <w:r>
        <w:rPr>
          <w:rFonts w:ascii="Times New Roman" w:hAnsi="Times New Roman"/>
          <w:noProof/>
          <w:sz w:val="24"/>
        </w:rPr>
        <w:t>, по-специално европейските структурни и инвестиционни фондове, програмата „Еразъм+“ и други съответни програми. В неотдавнашното си съобщение относно „Нова,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rFonts w:ascii="Times New Roman" w:hAnsi="Times New Roman"/>
          <w:noProof/>
          <w:sz w:val="24"/>
        </w:rPr>
        <w:footnoteReference w:id="17"/>
      </w:r>
      <w:r>
        <w:rPr>
          <w:rFonts w:ascii="Times New Roman" w:hAnsi="Times New Roman"/>
          <w:noProof/>
          <w:sz w:val="24"/>
        </w:rPr>
        <w:t>“ Комисията призовава за бюджет на ЕС, който да изпълнява ангажиментите, поети от ръководителите на социалната среща на върха в Гьотеборг, и да доразвие социалното измерение на Съюза, включително чрез пълното прилагане на европейския стълб на социалните права</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Комисията подчерта, че ще бъдат необходими адекватни ресурси за подобряване на възможностите за заетост и преодоляването на предизвикателствата, свързани с уменията и цифровизацията. През пролетта на 2018 г. ще последват подробни предложения за многогодишната финансова рамка на ЕС за периода след 2020 г.</w:t>
      </w:r>
    </w:p>
    <w:p>
      <w:pPr>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sz w:val="24"/>
          <w:u w:val="single"/>
        </w:rPr>
        <w:t xml:space="preserve">4. Изпълнението на европейския стълб на социалните права на национално равнище </w:t>
      </w:r>
    </w:p>
    <w:p>
      <w:pPr>
        <w:jc w:val="both"/>
        <w:rPr>
          <w:rFonts w:ascii="Times New Roman" w:hAnsi="Times New Roman" w:cs="Times New Roman"/>
          <w:noProof/>
          <w:sz w:val="24"/>
          <w:szCs w:val="24"/>
        </w:rPr>
      </w:pPr>
      <w:r>
        <w:rPr>
          <w:rFonts w:ascii="Times New Roman" w:hAnsi="Times New Roman"/>
          <w:b/>
          <w:noProof/>
          <w:sz w:val="24"/>
        </w:rPr>
        <w:t xml:space="preserve">Повечето от компетенциите и инструментите, необходими за изпълнението на европейския стълб на социалните права, са в ръцете на местните, регионалните и националните органи, социалните партньори, както и на гражданското общество. </w:t>
      </w:r>
      <w:r>
        <w:rPr>
          <w:rFonts w:ascii="Times New Roman" w:hAnsi="Times New Roman"/>
          <w:noProof/>
          <w:sz w:val="24"/>
        </w:rPr>
        <w:t>Въпреки че ЕС играе важна роля в оказването на подкрепа на държавите членки, до голяма степен именно те са отговорни за осъществяването на стълба на различните равнища на управление и администрация. Освен това социалните партньори на всички равнища имат възлова роля в осъществяването на европейския стълб на социалните права в съответствие с тяхната автономност при договарянето и сключването на споразумения</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Зачитането на многообразието от национални системи на колективните трудови правоотношения, както и на автономността на социалните партньори, е признато изрично в ДФЕС. През годините Комисията прикани държавите членки да гарантират по-важна роля на социалните партньори в областта на заетостта и в социалната сфера, като тяхното участие е от основно значение за ангажираността към реформите. Неправителствените организации, особено когато те предоставят социални услуги, също са от решаващо значение за мобилизацията и постигането на резултати по стълба.</w:t>
      </w:r>
    </w:p>
    <w:p>
      <w:pPr>
        <w:jc w:val="both"/>
        <w:rPr>
          <w:rFonts w:ascii="Times New Roman" w:hAnsi="Times New Roman" w:cs="Times New Roman"/>
          <w:noProof/>
          <w:sz w:val="24"/>
          <w:szCs w:val="24"/>
        </w:rPr>
      </w:pPr>
      <w:r>
        <w:rPr>
          <w:rFonts w:ascii="Times New Roman" w:hAnsi="Times New Roman"/>
          <w:b/>
          <w:noProof/>
          <w:sz w:val="24"/>
        </w:rPr>
        <w:t>Като изразява основни принципи и права, европейският стълб на социалните права служи като ръководство за ефективни резултати в областта на заетостта и в социалната сфера.</w:t>
      </w:r>
      <w:r>
        <w:rPr>
          <w:rFonts w:ascii="Times New Roman" w:hAnsi="Times New Roman"/>
          <w:noProof/>
          <w:sz w:val="24"/>
        </w:rPr>
        <w:t xml:space="preserve"> Няма универсални решения и стълбът отразява многообразието от национални ситуации.</w:t>
      </w:r>
      <w:r>
        <w:rPr>
          <w:rFonts w:ascii="Times New Roman" w:hAnsi="Times New Roman"/>
          <w:b/>
          <w:noProof/>
          <w:sz w:val="24"/>
        </w:rPr>
        <w:t xml:space="preserve"> </w:t>
      </w:r>
      <w:r>
        <w:rPr>
          <w:rFonts w:ascii="Times New Roman" w:hAnsi="Times New Roman"/>
          <w:noProof/>
          <w:sz w:val="24"/>
        </w:rPr>
        <w:t xml:space="preserve">Въпреки че държавите членки често се сблъскват с общи предизвикателства и споделят сходни проблеми, решенията, които те трябва да разработят, следва да се различават. Това се дължи на разнообразието на националните им системи, традиции различни изходни позиции и социално-икономически ситуации. </w:t>
      </w:r>
    </w:p>
    <w:p>
      <w:pPr>
        <w:jc w:val="both"/>
        <w:rPr>
          <w:rFonts w:ascii="Times New Roman" w:hAnsi="Times New Roman" w:cs="Times New Roman"/>
          <w:noProof/>
          <w:sz w:val="24"/>
          <w:szCs w:val="24"/>
        </w:rPr>
      </w:pPr>
      <w:r>
        <w:rPr>
          <w:rFonts w:ascii="Times New Roman" w:hAnsi="Times New Roman"/>
          <w:b/>
          <w:noProof/>
          <w:sz w:val="24"/>
        </w:rPr>
        <w:t xml:space="preserve">Настоящите икономически условия предоставят възможности за насърчаване на приобщаващия растеж, модернизиране на социалната пазарна икономика на ЕС и за инвестиции в хората в съответствие с европейския стълб на социалните права. </w:t>
      </w:r>
      <w:r>
        <w:rPr>
          <w:rFonts w:ascii="Times New Roman" w:hAnsi="Times New Roman"/>
          <w:noProof/>
          <w:sz w:val="24"/>
        </w:rPr>
        <w:t>Икономиката на ЕС продължава да се разраства със стабилни темпове</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Повече от 9 милиона нови работни места бяха разкрити от началото на есента на 2014 г., когато настоящата Комисия започна своя мандат</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Безработицата постоянно намалява и достигна най-ниското си равнище от 2008 г. насам. Броят на заетите лица достигна 236,3 милиона в ЕС — най-високото отчетено някога равнище. Въпреки това в ЕС все още има 18 милиона безработни, в няколко държави членки равнището на доходите на домакинствата все още е под равнището от 2008 г. и продължава да има много социални предизвикателства, особено предвид скоростта и обхвата на текущите процеси — от цифровизацията до застаряването на населението. Също така все още са налице големи различия в ситуациите между държавите членки и в самите тях. </w:t>
      </w:r>
    </w:p>
    <w:p>
      <w:pPr>
        <w:jc w:val="both"/>
        <w:rPr>
          <w:rFonts w:ascii="Times New Roman" w:hAnsi="Times New Roman" w:cs="Times New Roman"/>
          <w:noProof/>
          <w:sz w:val="24"/>
          <w:szCs w:val="24"/>
        </w:rPr>
      </w:pPr>
      <w:r>
        <w:rPr>
          <w:rFonts w:ascii="Times New Roman" w:hAnsi="Times New Roman"/>
          <w:b/>
          <w:noProof/>
          <w:sz w:val="24"/>
        </w:rPr>
        <w:t>Приоритетите неминуемо ще се различават, а европейският семестър е възможност за държавите членки да постигнат напредък и да докладват за осъществяването на европейския стълб на социалните права.</w:t>
      </w:r>
      <w:r>
        <w:rPr>
          <w:rFonts w:ascii="Times New Roman" w:hAnsi="Times New Roman"/>
          <w:noProof/>
          <w:sz w:val="24"/>
        </w:rPr>
        <w:t xml:space="preserve"> Докладите по държави, публикувани неотдавна в рамките на цикъла на европейския семестър за 2018 г.</w:t>
      </w:r>
      <w:r>
        <w:rPr>
          <w:rStyle w:val="FootnoteReference"/>
          <w:rFonts w:ascii="Times New Roman" w:hAnsi="Times New Roman"/>
          <w:noProof/>
          <w:sz w:val="24"/>
        </w:rPr>
        <w:footnoteReference w:id="22"/>
      </w:r>
      <w:r>
        <w:rPr>
          <w:rFonts w:ascii="Times New Roman" w:hAnsi="Times New Roman"/>
          <w:noProof/>
          <w:sz w:val="24"/>
        </w:rPr>
        <w:t>, очертават естеството и степента на предизвикателствата на национално равнище пред работата за подобряване на условията на труд и живот, за по-справедливи и по-добре функциониращи пазари на труда, за подобряване на системите за образование и обучение, за да могат хората да придобият подходящи и съществени умения, и за системи за социално подпомагане, които да са едновременно устойчиви и адекватни. Националните програми за реформи, които държавите членки се очаква да представят през април, ще определят обновени приоритети и допълнителни конкретни действия на национално равнище. Тези програми ще бъдат основата за специфичните за всяка държава препоръки, които Комисията ще предложи по-късно през пролетта на 2018 г. Едновременно с това Комисията ще продължи да работи с държавите членки, за да се гарантира, че наличното финансиране от ЕС се използва добре в подкрепа на структурните реформи или за инвестиции в хората, в съответствие с приоритетите, определени в докладите по държави и специфичните за всяка държава препоръки.</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u w:val="single"/>
        </w:rPr>
        <w:t xml:space="preserve">5. Наблюдение на изпълнението на стълба </w:t>
      </w:r>
    </w:p>
    <w:p>
      <w:pPr>
        <w:jc w:val="both"/>
        <w:rPr>
          <w:rFonts w:ascii="Times New Roman" w:hAnsi="Times New Roman"/>
          <w:noProof/>
          <w:sz w:val="24"/>
        </w:rPr>
      </w:pPr>
      <w:r>
        <w:rPr>
          <w:rFonts w:ascii="Times New Roman" w:hAnsi="Times New Roman"/>
          <w:b/>
          <w:noProof/>
          <w:sz w:val="24"/>
        </w:rPr>
        <w:t xml:space="preserve">Европейският семестър за координиране на политиката представлява подходящ инструмент за наблюдение </w:t>
      </w:r>
      <w:r>
        <w:rPr>
          <w:noProof/>
        </w:rPr>
        <w:t xml:space="preserve"> </w:t>
      </w:r>
      <w:r>
        <w:rPr>
          <w:rFonts w:ascii="Times New Roman" w:hAnsi="Times New Roman"/>
          <w:b/>
          <w:noProof/>
          <w:sz w:val="24"/>
        </w:rPr>
        <w:t>на напредъка в ключови области, обхванати от европейския стълб на социалните права</w:t>
      </w:r>
      <w:r>
        <w:rPr>
          <w:rFonts w:ascii="Times New Roman" w:hAnsi="Times New Roman"/>
          <w:noProof/>
          <w:sz w:val="24"/>
        </w:rPr>
        <w:t>. Европейският семестър се основава на обстоен анализ, специфичен за положението на всяка държава: той признава многообразието от предизвикателства и необходимостта от определяне на приоритети с оглед на различните изходни позиции и налични средства в отделните държави. Европейският семестър е също и начин за структуриране на колективните усилия във времето: той се основава на задълбочен диалог и отчетност през цялата година, като този диалог е прозрачен и отворен за всички участници, и се използва по-специално за структуриране на партньорските проверки и сравнителния анализ между държавите членки. Въз основа на напредъка, постигнат през последните години за укрепването на социалното измерение на европейския семестър, Комисията започна да усъвършенства съществуващите инструменти и работни методи, за да вземе предвид европейския стълб на социалните права, от момента на неговото провъзгласяване. За това не са необходими съществени промени или създаването на нови инструменти и няма да бъде създадена допълнителна административна тежест за държавите членки.</w:t>
      </w:r>
    </w:p>
    <w:p>
      <w:pPr>
        <w:jc w:val="both"/>
        <w:rPr>
          <w:rFonts w:ascii="Times New Roman" w:hAnsi="Times New Roman" w:cs="Times New Roman"/>
          <w:noProof/>
          <w:sz w:val="24"/>
          <w:szCs w:val="24"/>
        </w:rPr>
      </w:pPr>
      <w:r>
        <w:rPr>
          <w:rFonts w:ascii="Times New Roman" w:hAnsi="Times New Roman"/>
          <w:b/>
          <w:noProof/>
          <w:sz w:val="24"/>
        </w:rPr>
        <w:t>Ще бъдат необходими също последващи действия с по-голяма тематична насоченост, за да може различните принципи на европейския стълб на социалните права да бъдат обхванати задълбочено и да се направи преглед на ефективното проследяване и изпълнение на място.</w:t>
      </w:r>
      <w:r>
        <w:rPr>
          <w:rFonts w:ascii="Times New Roman" w:hAnsi="Times New Roman"/>
          <w:noProof/>
          <w:sz w:val="24"/>
        </w:rPr>
        <w:t xml:space="preserve"> За задълбоченото проучване на конкретни въпроси ще се използват редовни публикации на ЕС, като годишния съвместен доклад за заетостта и доклада за заетостта и социалното развитие. На действащите в тази област агенции на ЕС</w:t>
      </w:r>
      <w:r>
        <w:rPr>
          <w:rStyle w:val="FootnoteReference"/>
          <w:rFonts w:ascii="Times New Roman" w:hAnsi="Times New Roman"/>
          <w:noProof/>
          <w:sz w:val="24"/>
        </w:rPr>
        <w:footnoteReference w:id="23"/>
      </w:r>
      <w:r>
        <w:rPr>
          <w:rFonts w:ascii="Times New Roman" w:hAnsi="Times New Roman"/>
          <w:noProof/>
          <w:sz w:val="24"/>
        </w:rPr>
        <w:t xml:space="preserve"> също ще бъде възложена задачата да разработват задълбочени доклади за принципите, които попадат по-пряко в обхвата на тяхната компетентност. От своя страна социалните партньори и организациите на гражданското общество на равнище ЕС могат да решат да се съсредоточат в по-голяма степен върху някои принципи, които са от особен интерес за тях.</w:t>
      </w:r>
    </w:p>
    <w:p>
      <w:pPr>
        <w:spacing w:after="120"/>
        <w:jc w:val="both"/>
        <w:rPr>
          <w:rFonts w:ascii="Times New Roman" w:hAnsi="Times New Roman" w:cs="Times New Roman"/>
          <w:noProof/>
          <w:sz w:val="24"/>
          <w:szCs w:val="24"/>
        </w:rPr>
      </w:pPr>
      <w:r>
        <w:rPr>
          <w:rFonts w:ascii="Times New Roman" w:hAnsi="Times New Roman"/>
          <w:b/>
          <w:noProof/>
          <w:sz w:val="24"/>
        </w:rPr>
        <w:t>Като част от европейския семестър ще бъдат добавени три нови елемента</w:t>
      </w:r>
      <w:r>
        <w:rPr>
          <w:rFonts w:ascii="Times New Roman" w:hAnsi="Times New Roman"/>
          <w:noProof/>
          <w:sz w:val="24"/>
        </w:rPr>
        <w:t xml:space="preserve"> в подкрепа на наблюдението на изпълнението на европейския стълб на социалните права:</w:t>
      </w:r>
    </w:p>
    <w:p>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b/>
          <w:noProof/>
          <w:sz w:val="24"/>
        </w:rPr>
        <w:t>Интегриране на приоритетите на европейския стълб на социалните права в европейския семестър при подбора на теми за подробно докладване на годишна основа</w:t>
      </w:r>
      <w:r>
        <w:rPr>
          <w:rFonts w:ascii="Times New Roman" w:hAnsi="Times New Roman"/>
          <w:noProof/>
          <w:sz w:val="24"/>
        </w:rPr>
        <w:t>: принципите и правата, залегнали в стълба, ще бъдат взети под внимание в хода на европейския семестър при наблюдението, сравняването и оценката на постигнатия напредък. В същото време всяка година за подробна оценка ще бъдат набелязвани конкретни теми, свързани с европейския стълб на социалните права. Това се отнася по-специално до годишния обзор на растежа (публикуван през ноември), в който са изложени икономическите и социалните приоритети на равнище ЕС, и до докладите по държави (публикувани през февруари/март), на база на които се правят допълнителни препоръки за всяка държава. Изборът на теми ще се прави след консултация с всички заинтересовани страни, и по-специално съответните комитети, представляващи държавите членки.</w:t>
      </w:r>
    </w:p>
    <w:p>
      <w:pPr>
        <w:pStyle w:val="ListParagraph"/>
        <w:tabs>
          <w:tab w:val="left" w:pos="4253"/>
        </w:tabs>
        <w:ind w:left="360"/>
        <w:jc w:val="both"/>
        <w:rPr>
          <w:rFonts w:ascii="Times New Roman" w:hAnsi="Times New Roman" w:cs="Times New Roman"/>
          <w:noProof/>
          <w:sz w:val="24"/>
          <w:szCs w:val="24"/>
        </w:rPr>
      </w:pPr>
    </w:p>
    <w:p>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b/>
          <w:noProof/>
          <w:sz w:val="24"/>
        </w:rPr>
        <w:t>Предоставяне на техническа помощ, подкрепа за сравнителния анализ на данни и обмен на добри практики</w:t>
      </w:r>
      <w:r>
        <w:rPr>
          <w:rFonts w:ascii="Times New Roman" w:hAnsi="Times New Roman"/>
          <w:noProof/>
          <w:sz w:val="24"/>
        </w:rPr>
        <w:t>: европейският семестър осигурява форум за диалог със заинтересованите страни, за обмен на опит и за укрепване на взаимното учене между държавите членки</w:t>
      </w:r>
      <w:r>
        <w:rPr>
          <w:rFonts w:ascii="Times New Roman" w:hAnsi="Times New Roman" w:cs="Times New Roman"/>
          <w:noProof/>
          <w:sz w:val="24"/>
          <w:szCs w:val="24"/>
        </w:rPr>
        <w:t xml:space="preserve"> </w:t>
      </w:r>
      <w:r>
        <w:rPr>
          <w:rFonts w:ascii="Times New Roman" w:hAnsi="Times New Roman"/>
          <w:noProof/>
          <w:sz w:val="24"/>
        </w:rPr>
        <w:t>с цел подпомагане на възходящото сближаване с постигналите най-добри резултати. Организациите, които се занимават с въпроси, свързани със заетостта и социалната политика, в рамките на европейския семестър, например Комитета по заетостта и Комитета за социална закрила, вече работят</w:t>
      </w:r>
      <w:r>
        <w:rPr>
          <w:noProof/>
        </w:rPr>
        <w:t xml:space="preserve"> </w:t>
      </w:r>
      <w:r>
        <w:rPr>
          <w:rFonts w:ascii="Times New Roman" w:hAnsi="Times New Roman"/>
          <w:noProof/>
          <w:sz w:val="24"/>
        </w:rPr>
        <w:t>по сравнителния анализ на данни във връзка със сближаването на политиките. Освен това в своето съобщение „По-нататъшни стъпки към завършването на Икономическия и паричен съюз: пътна карта“</w:t>
      </w:r>
      <w:r>
        <w:rPr>
          <w:rStyle w:val="FootnoteReference"/>
          <w:rFonts w:ascii="Times New Roman" w:hAnsi="Times New Roman"/>
          <w:noProof/>
          <w:sz w:val="24"/>
        </w:rPr>
        <w:footnoteReference w:id="24"/>
      </w:r>
      <w:r>
        <w:rPr>
          <w:rFonts w:ascii="Times New Roman" w:hAnsi="Times New Roman"/>
          <w:noProof/>
          <w:sz w:val="24"/>
        </w:rPr>
        <w:t xml:space="preserve"> Комисията посочва, че текущата работа в Съвета и в Еврогрупата по сравнителния анализ на политиките на базата на референтни показатели следва да бъде засилена. Нещо повече, в допълнение към финансовата подкрепа, предоставяна чрез европейските структурни и инвестиционни фондове, Службата за подкрепа на структурните реформи към Комисията засили предлаганото от нея подпомагане, съобразено с индивидуалните нужди, за институционални, административни и политически реформи</w:t>
      </w:r>
      <w:r>
        <w:rPr>
          <w:rStyle w:val="FootnoteReference"/>
          <w:rFonts w:ascii="Times New Roman" w:hAnsi="Times New Roman"/>
          <w:noProof/>
          <w:sz w:val="24"/>
        </w:rPr>
        <w:footnoteReference w:id="25"/>
      </w:r>
      <w:r>
        <w:rPr>
          <w:noProof/>
        </w:rPr>
        <w:t xml:space="preserve">. </w:t>
      </w:r>
    </w:p>
    <w:p>
      <w:pPr>
        <w:pStyle w:val="ListParagraph"/>
        <w:tabs>
          <w:tab w:val="left" w:pos="4253"/>
        </w:tabs>
        <w:ind w:left="360"/>
        <w:jc w:val="both"/>
        <w:rPr>
          <w:rFonts w:ascii="Times New Roman" w:hAnsi="Times New Roman" w:cs="Times New Roman"/>
          <w:noProof/>
          <w:sz w:val="24"/>
          <w:szCs w:val="24"/>
        </w:rPr>
      </w:pPr>
    </w:p>
    <w:p>
      <w:pPr>
        <w:pStyle w:val="ListParagraph"/>
        <w:numPr>
          <w:ilvl w:val="0"/>
          <w:numId w:val="11"/>
        </w:numPr>
        <w:tabs>
          <w:tab w:val="left" w:pos="4253"/>
        </w:tabs>
        <w:jc w:val="both"/>
        <w:rPr>
          <w:noProof/>
        </w:rPr>
      </w:pPr>
      <w:r>
        <w:rPr>
          <w:rFonts w:ascii="Times New Roman" w:hAnsi="Times New Roman"/>
          <w:b/>
          <w:noProof/>
          <w:sz w:val="24"/>
        </w:rPr>
        <w:t>Оценяване и наблюдение на резултатите с помощта на новия набор от социални показатели:</w:t>
      </w:r>
      <w:r>
        <w:rPr>
          <w:rFonts w:ascii="Times New Roman" w:hAnsi="Times New Roman"/>
          <w:noProof/>
          <w:sz w:val="24"/>
        </w:rPr>
        <w:t xml:space="preserve"> заедно със своето предложение за европейския стълб на социалните права Комисията представи нов набор от социални показатели. Неговата роля е да спомогне за прегледа на резултатите на държавите членки в областта на заетостта и в социалната сфера в рамките на различните направления на стълба. Той беше използван за първи път за изготвянето и задълбочаването на анализа в Съвместния доклад за заетостта за 2018 г. Показателите бяха използвани и в подкрепа на анализа на докладите по държави за 2018 г. С тях дискусията за наблюдението на европейския стълб на социалните права не се изчерпва, но те създават ясна представа за положението на място, като позволяват да се правят сравнения във времето и между отделните държави. Наборът от показатели и неговата статистическа основа ще бъдат разработени допълнително с подкрепата на държавите членки.</w:t>
      </w:r>
    </w:p>
    <w:p>
      <w:pPr>
        <w:rPr>
          <w:rFonts w:ascii="Times New Roman" w:hAnsi="Times New Roman" w:cs="Times New Roman"/>
          <w:b/>
          <w:noProof/>
          <w:sz w:val="24"/>
          <w:szCs w:val="24"/>
        </w:rPr>
      </w:pPr>
      <w:r>
        <w:rPr>
          <w:noProof/>
        </w:rPr>
        <w:br w:type="page"/>
      </w:r>
    </w:p>
    <w:p>
      <w:pPr>
        <w:pBdr>
          <w:top w:val="single" w:sz="4" w:space="1" w:color="F18800"/>
          <w:left w:val="single" w:sz="4" w:space="4" w:color="F18800"/>
          <w:bottom w:val="single" w:sz="4" w:space="1" w:color="F18800"/>
          <w:right w:val="single" w:sz="4" w:space="4" w:color="F18800"/>
        </w:pBdr>
        <w:shd w:val="clear" w:color="auto" w:fill="F18800"/>
        <w:tabs>
          <w:tab w:val="left" w:pos="2095"/>
          <w:tab w:val="center" w:pos="4536"/>
        </w:tabs>
        <w:jc w:val="center"/>
        <w:rPr>
          <w:rFonts w:ascii="Times New Roman" w:hAnsi="Times New Roman" w:cs="Times New Roman"/>
          <w:b/>
          <w:noProof/>
          <w:sz w:val="24"/>
          <w:szCs w:val="24"/>
        </w:rPr>
      </w:pPr>
      <w:r>
        <w:rPr>
          <w:rFonts w:ascii="Times New Roman" w:hAnsi="Times New Roman"/>
          <w:b/>
          <w:noProof/>
          <w:color w:val="FFFFFF" w:themeColor="background1"/>
          <w:sz w:val="24"/>
        </w:rPr>
        <w:t>Каре 2. Новият набор от социални показатели на ЕС</w:t>
      </w:r>
      <w:r>
        <w:rPr>
          <w:rStyle w:val="FootnoteReference"/>
          <w:rFonts w:ascii="Times New Roman" w:hAnsi="Times New Roman"/>
          <w:b/>
          <w:noProof/>
          <w:color w:val="FFFFFF" w:themeColor="background1"/>
          <w:sz w:val="24"/>
        </w:rPr>
        <w:footnoteReference w:id="26"/>
      </w:r>
    </w:p>
    <w:p>
      <w:pPr>
        <w:rPr>
          <w:rFonts w:ascii="Times New Roman" w:hAnsi="Times New Roman" w:cs="Times New Roman"/>
          <w:b/>
          <w:noProof/>
          <w:color w:val="F18800"/>
          <w:sz w:val="28"/>
          <w:szCs w:val="28"/>
        </w:rPr>
      </w:pPr>
      <w:r>
        <w:rPr>
          <w:noProof/>
          <w:lang w:val="en-US" w:eastAsia="en-US" w:bidi="ar-SA"/>
        </w:rPr>
        <w:drawing>
          <wp:inline distT="0" distB="0" distL="0" distR="0">
            <wp:extent cx="5760720" cy="41573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4157322"/>
                    </a:xfrm>
                    <a:prstGeom prst="rect">
                      <a:avLst/>
                    </a:prstGeom>
                  </pic:spPr>
                </pic:pic>
              </a:graphicData>
            </a:graphic>
          </wp:inline>
        </w:drawing>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sz w:val="24"/>
          <w:u w:val="single"/>
        </w:rPr>
        <w:t>6. Заключения</w:t>
      </w:r>
    </w:p>
    <w:p>
      <w:pPr>
        <w:jc w:val="both"/>
        <w:rPr>
          <w:rFonts w:ascii="Times New Roman" w:hAnsi="Times New Roman" w:cs="Times New Roman"/>
          <w:noProof/>
          <w:sz w:val="24"/>
          <w:szCs w:val="24"/>
        </w:rPr>
      </w:pPr>
      <w:r>
        <w:rPr>
          <w:rFonts w:ascii="Times New Roman" w:hAnsi="Times New Roman"/>
          <w:noProof/>
          <w:sz w:val="24"/>
        </w:rPr>
        <w:t>В продължение на десетилетия Европейският съюз съдейства за постигането на повече просперитет и по-голяма социална справедливост. Днес Европа е едно от най-привлекателните места за живеене в света. Икономическата и социалната криза от последното десетилетие обаче оказа значително въздействие върху нашия социален облик, а това постави под въпрос същността на нашата социална пазарна икономика.</w:t>
      </w:r>
    </w:p>
    <w:p>
      <w:pPr>
        <w:jc w:val="both"/>
        <w:rPr>
          <w:rFonts w:ascii="Times New Roman" w:hAnsi="Times New Roman" w:cs="Times New Roman"/>
          <w:noProof/>
          <w:sz w:val="24"/>
          <w:szCs w:val="24"/>
        </w:rPr>
      </w:pPr>
      <w:r>
        <w:rPr>
          <w:rFonts w:ascii="Times New Roman" w:hAnsi="Times New Roman"/>
          <w:noProof/>
          <w:sz w:val="24"/>
        </w:rPr>
        <w:t xml:space="preserve">И тъй като Европа преодоля кризата, е време да обърнем поглед към бъдещето, за да се приспособим към скоростта на променящата се действителност и да се справим с по-общите социално-икономически предизвикателства, пред които е изправена Европа, така че да обновим и поддържаме нашите икономически и социални модели. </w:t>
      </w:r>
    </w:p>
    <w:p>
      <w:pPr>
        <w:jc w:val="both"/>
        <w:rPr>
          <w:rFonts w:ascii="Times New Roman" w:hAnsi="Times New Roman" w:cs="Times New Roman"/>
          <w:noProof/>
          <w:sz w:val="24"/>
          <w:szCs w:val="24"/>
        </w:rPr>
      </w:pPr>
      <w:r>
        <w:rPr>
          <w:rFonts w:ascii="Times New Roman" w:hAnsi="Times New Roman"/>
          <w:noProof/>
          <w:sz w:val="24"/>
        </w:rPr>
        <w:t>С ясното заявяване на идеите, зад които стои Европа, европейският стълб на социалните права е израз на принципите и правата, които са от основно значение за социалния прогрес от полза както за гражданите, така и за обществата; той дава ориентация и за по-нататъшните действия.</w:t>
      </w:r>
    </w:p>
    <w:p>
      <w:pPr>
        <w:jc w:val="both"/>
        <w:rPr>
          <w:rFonts w:ascii="Times New Roman" w:hAnsi="Times New Roman" w:cs="Times New Roman"/>
          <w:noProof/>
          <w:sz w:val="24"/>
          <w:szCs w:val="24"/>
        </w:rPr>
      </w:pPr>
      <w:r>
        <w:rPr>
          <w:rFonts w:ascii="Times New Roman" w:hAnsi="Times New Roman"/>
          <w:noProof/>
          <w:sz w:val="24"/>
        </w:rPr>
        <w:t>Ангажиментите, които лидерите от ЕС поеха на социалната среща на върха в Гьотеборг, са част от по-обхватна програма за изграждане на бъдещето на Европейския съюз, който се състои от 27 държави. Отговорността за постигането на резултати в областта на европейския стълб на социалните права и за превръщането му в реалност за всички европейци е споделена. Правителствата, социалните партньори и неправителствените организации, местните, регионалните и европейските институции са готови и решени да дадат своя принос за това начинание.</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Segoe UI"/>
    <w:charset w:val="00"/>
    <w:family w:val="swiss"/>
    <w:pitch w:val="variable"/>
    <w:sig w:usb0="00000001"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29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https://ec.europa.eu/commission/priorities/deeper-and-fairer-economic-and-monetary-union/european-pillar-social-rights/european-pillar-social-rights-20-principles_bg</w:t>
        </w:r>
      </w:hyperlink>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8 март 2016 г. Комисията представи първи проект на европейския стълб на социалните права и започна обществена консултация. В Комисията се получиха повече от 16 500 онлайн отговора и близо 200 документа за изразяване на позиция. Консултацията приключи на 23 януари 2017 г. със заключителна конференция под надслов „Да вървим заедно напред“. Като част от консултацията на 19 януари 2017 г. Европейският парламент прие резолюция относно европейския стълб на социалните права (2016/2095(INI).   На 25 януари 2017 г. Европейският икономически и социален комитет прие становище (SOC/542-01902-00-01-ac). Комитетът на регионите прие становище на 11 октомври 2016 г. (CDR 2868/2016). </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http://www.socialsummit17.se/</w:t>
        </w:r>
      </w:hyperlink>
    </w:p>
  </w:footnote>
  <w:footnote w:id="4">
    <w:p>
      <w:pPr>
        <w:pStyle w:val="Default"/>
        <w:jc w:val="both"/>
      </w:pPr>
      <w:r>
        <w:rPr>
          <w:rStyle w:val="FootnoteReference"/>
          <w:sz w:val="20"/>
        </w:rPr>
        <w:footnoteRef/>
      </w:r>
      <w:r>
        <w:rPr>
          <w:sz w:val="20"/>
        </w:rPr>
        <w:t xml:space="preserve"> </w:t>
      </w:r>
      <w:r>
        <w:rPr>
          <w:color w:val="auto"/>
          <w:sz w:val="20"/>
        </w:rPr>
        <w:t xml:space="preserve">На заседанието си от 14 декември 2017 г. Европейският съвет подчерта следното: </w:t>
      </w:r>
      <w:r>
        <w:rPr>
          <w:i/>
          <w:color w:val="auto"/>
          <w:sz w:val="20"/>
        </w:rPr>
        <w:t xml:space="preserve">На социалната среща на върха в Гьотеборг беше припомнено, че е необходимо хората да се превърнат в приоритет, да се разгърне социалното измерение на Съюза въз основа на споделен ангажимент и утвърдени области на компетентност, както и да се насърчава сближаването чрез усилия на всички равнища, включително от страна на социалните партньори. Като първа стъпка следва да се постигне напредък в следните направления: прилагане на европейския стълб на социалните права на равнището на Съюза и на равнището на държавите членки, при надлежно зачитане на съответните им области на компетентност; Комисията се приканва да предложи подходящо наблюдение (...). </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СОМ(2017) 2025.</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СОМ(2017) 206.</w:t>
      </w:r>
    </w:p>
  </w:footnote>
  <w:footnote w:id="7">
    <w:p>
      <w:pPr>
        <w:pStyle w:val="FootnoteText"/>
      </w:pPr>
      <w:r>
        <w:rPr>
          <w:rStyle w:val="FootnoteReference"/>
        </w:rPr>
        <w:footnoteRef/>
      </w:r>
      <w:r>
        <w:t xml:space="preserve"> </w:t>
      </w:r>
      <w:r>
        <w:rPr>
          <w:rFonts w:ascii="Times New Roman" w:hAnsi="Times New Roman"/>
        </w:rPr>
        <w:t>СОМ(2017) 240.</w:t>
      </w:r>
    </w:p>
  </w:footnote>
  <w:footnote w:id="8">
    <w:p>
      <w:pPr>
        <w:pStyle w:val="FootnoteText"/>
        <w:jc w:val="both"/>
      </w:pPr>
      <w:r>
        <w:rPr>
          <w:rStyle w:val="FootnoteReference"/>
          <w:rFonts w:ascii="Times New Roman" w:hAnsi="Times New Roman"/>
        </w:rPr>
        <w:footnoteRef/>
      </w:r>
      <w:r>
        <w:rPr>
          <w:rFonts w:ascii="Times New Roman" w:hAnsi="Times New Roman"/>
        </w:rPr>
        <w:t xml:space="preserve"> В Декларацията от Рим на 25 март 2017 г. лидерите на ЕС заявиха: </w:t>
      </w:r>
      <w:r>
        <w:rPr>
          <w:rFonts w:ascii="Times New Roman" w:hAnsi="Times New Roman"/>
          <w:i/>
        </w:rPr>
        <w:t>В тези времена на промяна, като вземаме присърце тревогите на нашите граждани, ние приемаме Римската програма и изразяваме решимост да работим за: …социална Европа: Съюз, който като се основава на устойчивия растеж, насърчава икономическия и социален прогрес, както и сближаването и конвергенцията, като същевременно поддържа целостта на вътрешния пазар; Съюз, който отчита многообразието на националните системи и ключовата роля на социалните партньори; Съюз, който насърчава равенството между жените и мъжете, както и правата и равните възможности за всички; Съюз, който се бори с безработицата, дискриминацията, социалното изключване и бедността; Съюз, в който младите хора получават най-доброто образование и обучение и могат да следват и да намират работа навсякъде на континента; Съюз, който съхранява нашето културно наследство и насърчава културното многообразие</w:t>
      </w:r>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SWD(2018) 67. </w:t>
      </w:r>
    </w:p>
  </w:footnote>
  <w:footnote w:id="10">
    <w:p>
      <w:pPr>
        <w:pStyle w:val="FootnoteText"/>
      </w:pPr>
      <w:r>
        <w:rPr>
          <w:rStyle w:val="FootnoteReference"/>
        </w:rPr>
        <w:footnoteRef/>
      </w:r>
      <w:r>
        <w:t xml:space="preserve"> </w:t>
      </w:r>
      <w:hyperlink r:id="rId3">
        <w:r>
          <w:rPr>
            <w:rStyle w:val="Hyperlink"/>
            <w:rFonts w:ascii="Times New Roman" w:hAnsi="Times New Roman"/>
          </w:rPr>
          <w:t>https://ec.europa.eu/commission/sites/betapolitical/files/social_dimension_of_europe_</w:t>
        </w:r>
        <w:r>
          <w:rPr>
            <w:rStyle w:val="Hyperlink"/>
            <w:rFonts w:ascii="Times New Roman" w:hAnsi="Times New Roman" w:cs="Times New Roman"/>
          </w:rPr>
          <w:br/>
        </w:r>
        <w:r>
          <w:rPr>
            <w:rStyle w:val="Hyperlink"/>
            <w:rFonts w:ascii="Times New Roman" w:hAnsi="Times New Roman"/>
          </w:rPr>
          <w:t>overview_of_initiatives_en.pdf</w:t>
        </w:r>
      </w:hyperlink>
      <w:r>
        <w:rPr>
          <w:rFonts w:ascii="Times New Roman" w:hAnsi="Times New Roman"/>
          <w:highlight w:val="yellow"/>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(2017) 673 final. </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Годишния обзор на растежа за 2018 г. (COM(2017) 690 final) и Съобщението на Комисията относно оценката на напредъка в структурните реформи, предотвратяването и коригирането на макроикономическите дисбаланси и резултатите от задълбочените прегледи (COM(2018) 120). </w:t>
      </w:r>
    </w:p>
  </w:footnote>
  <w:footnote w:id="13">
    <w:p>
      <w:pPr>
        <w:jc w:val="both"/>
        <w:rPr>
          <w:color w:val="1F497D"/>
          <w:sz w:val="20"/>
          <w:szCs w:val="20"/>
        </w:rPr>
      </w:pPr>
      <w:r>
        <w:rPr>
          <w:rStyle w:val="FootnoteReference"/>
        </w:rPr>
        <w:footnoteRef/>
      </w:r>
      <w:r>
        <w:t xml:space="preserve"> </w:t>
      </w:r>
      <w:r>
        <w:rPr>
          <w:rFonts w:ascii="Times New Roman" w:hAnsi="Times New Roman"/>
          <w:sz w:val="20"/>
        </w:rPr>
        <w:t>ЕФСИ вече подкрепи такива проекти с очакван общ размер на инвестициите на стойност над 10,5 милиарда евро.</w:t>
      </w:r>
      <w:r>
        <w:t xml:space="preserve"> </w:t>
      </w:r>
      <w:r>
        <w:rPr>
          <w:rFonts w:ascii="Times New Roman" w:hAnsi="Times New Roman"/>
          <w:sz w:val="20"/>
        </w:rPr>
        <w:t xml:space="preserve">В рамките на инфраструктурния и иновационен прозорец на ЕФСИ вече са одобрени 18 проекта за социални инфраструктури, за които се очаква да мобилизират общо 6,1 милиарда евро инвестиции. Те включват изграждането, разширяването или обновяването на училища и университети, клиники и болници и социални жилища в общността на достъпни цени. В рамките на прозореца на ЕФСИ за малките и средни предприятия общият очакван размер на мобилизираните инвестиции в социалния сектор възлиза на 4,5 милиарда евро. Неотдавна ЕФСИ удвои капацитета на Европейската програма за заетост и социални иновации за микрофинансиране и социално предприемачество. </w:t>
      </w:r>
    </w:p>
    <w:p>
      <w:pPr>
        <w:pStyle w:val="FootnoteText"/>
        <w:jc w:val="both"/>
        <w:rPr>
          <w:rFonts w:ascii="Times New Roman" w:hAnsi="Times New Roman" w:cs="Times New Roman"/>
        </w:rPr>
      </w:pP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Примери в това отношение са Директивата за борба с избягването на данъци, Директивата относно автоматичния обмен на информация относно данъчните становища и предварителните споразумения за ценообразуване, Директивата относно отчитането на мултинационалните предприятия по държави и предложението за възобновяване на общата консолидирана основа за облагане с корпоративен данък.</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https://ec.europa.eu/commission/publications/five-presidents-report-completing-europes-</w:t>
        </w:r>
        <w:r>
          <w:rPr>
            <w:rStyle w:val="Hyperlink"/>
            <w:rFonts w:ascii="Times New Roman" w:hAnsi="Times New Roman" w:cs="Times New Roman"/>
          </w:rPr>
          <w:br/>
        </w:r>
        <w:r>
          <w:rPr>
            <w:rStyle w:val="Hyperlink"/>
            <w:rFonts w:ascii="Times New Roman" w:hAnsi="Times New Roman"/>
          </w:rPr>
          <w:t>economic-and-monetary-union_en</w:t>
        </w:r>
      </w:hyperlink>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6 декември 2017 г. Комисията представи Съобщение относно „По-нататъшни стъпки към завършването на европейския икономически и паричен съюз: пътна карта“ (COM(2017)821).</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98 final.</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съобщението Комисията подчерта: </w:t>
      </w:r>
      <w:r>
        <w:rPr>
          <w:rFonts w:ascii="Times New Roman" w:hAnsi="Times New Roman"/>
          <w:i/>
        </w:rPr>
        <w:t>В следващата многогодишна финансова рамка наличното финансиране следва да бъде съобразено по-добре с нашите политически приоритети</w:t>
      </w:r>
      <w:r>
        <w:rPr>
          <w:rFonts w:ascii="Times New Roman" w:hAnsi="Times New Roman"/>
        </w:rPr>
        <w:t>.</w:t>
      </w:r>
      <w:r>
        <w:rPr>
          <w:rFonts w:ascii="Times New Roman" w:hAnsi="Times New Roman"/>
          <w:i/>
        </w:rPr>
        <w:t xml:space="preserve"> Тя следва да се опре на нещата, които дават добри резултати днес, като същевременно предвиди предизвикателствата на утрешния ден. В съответствие с декларацията от Рим, бюджетът следва да даде възможност на Европа да бъде безопасна и сигурна. Европа, която е благоденстваща и устойчива. Европа, която е социално ориентирана. Европа, която е по-силна на световната сцена.</w:t>
      </w:r>
      <w:r>
        <w:rPr>
          <w:rFonts w:ascii="Times New Roman" w:hAnsi="Times New Roman"/>
        </w:rPr>
        <w:t xml:space="preserve"> Комисията подчерта също: </w:t>
      </w:r>
      <w:r>
        <w:rPr>
          <w:rFonts w:ascii="Times New Roman" w:hAnsi="Times New Roman"/>
          <w:i/>
        </w:rPr>
        <w:t>Ще е необходимо бюджетът на ЕС да изпълни ангажиментите, поети от ръководителите на социална среща на върха в Гьотеборг</w:t>
      </w:r>
      <w:r>
        <w:rPr>
          <w:rFonts w:ascii="Times New Roman" w:hAnsi="Times New Roman"/>
        </w:rPr>
        <w:t>.</w:t>
      </w:r>
      <w:r>
        <w:rPr>
          <w:rFonts w:ascii="Times New Roman" w:hAnsi="Times New Roman"/>
          <w:i/>
        </w:rPr>
        <w:t xml:space="preserve"> Това означава доразвиване на социалното измерение на Съюза, включително чрез пълното прилагане на европейския стълб на социалните права, и подкрепа за младите хора, както и за мобилността на европейските граждани</w:t>
      </w:r>
      <w:r>
        <w:rPr>
          <w:rFonts w:ascii="Times New Roman" w:hAnsi="Times New Roman"/>
        </w:rPr>
        <w:t>.</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Неотдавнашен пример за действия на социалните партньори е самостоятелното рамково споразумениеотносно активния живот на възрастните хора и солидарността между поколенията, за което те се споразумяха на 8 март 2017 г.  Пример за споразумение между социалните партньори, което бе въведено в правото на ЕС, е Директива (ЕС) 2018/131 на Съвета от 23 януари 2018 г. за изпълнение на Споразумението, сключено между Асоциациите на корабособствениците от Европейската общност (ECSA) и Европейската федерация на транспортните работници (ETF) за изменение на Директива 2009/13/ЕО в съответствие с измененията от 2014 г. на Морската трудова конвенция от 2006 г., одобрени от Международната конференция на труда на 11 юни 2014 г.</w:t>
      </w:r>
    </w:p>
    <w:p>
      <w:pPr>
        <w:pStyle w:val="FootnoteText"/>
        <w:jc w:val="both"/>
        <w:rPr>
          <w:rFonts w:ascii="Times New Roman" w:hAnsi="Times New Roman" w:cs="Times New Roman"/>
        </w:rPr>
      </w:pP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зимната икономическа прогноза за 2018 г. на Европейската комисия на адрес: </w:t>
      </w:r>
    </w:p>
    <w:p>
      <w:pPr>
        <w:pStyle w:val="FootnoteText"/>
        <w:jc w:val="both"/>
      </w:pPr>
      <w:hyperlink r:id="rId5">
        <w:r>
          <w:rPr>
            <w:rStyle w:val="Hyperlink"/>
            <w:rFonts w:ascii="Times New Roman" w:hAnsi="Times New Roman"/>
          </w:rPr>
          <w:t>https://ec.europa.eu/info/business-economy-euro/economic-performance-and-forecasts/economic-forecasts/winter-2018-economic-forecast_bg</w:t>
        </w:r>
      </w:hyperlink>
      <w:r>
        <w:rPr>
          <w:rFonts w:ascii="Times New Roman" w:hAnsi="Times New Roman"/>
        </w:rPr>
        <w:t xml:space="preserve"> и тримесечния доклад за икономическо и социално развитие: </w:t>
      </w:r>
      <w:hyperlink r:id="rId6">
        <w:r>
          <w:rPr>
            <w:rStyle w:val="Hyperlink"/>
            <w:rFonts w:ascii="Times New Roman" w:hAnsi="Times New Roman"/>
          </w:rPr>
          <w:t>http://ec.europa.eu/social/main.jsp?catId=738&amp;langId=en&amp;pubId=8063</w:t>
        </w:r>
      </w:hyperlink>
      <w:r>
        <w:t xml:space="preserve">. </w:t>
      </w:r>
    </w:p>
  </w:footnote>
  <w:footnote w:id="21">
    <w:p>
      <w:pPr>
        <w:pStyle w:val="FootnoteText"/>
        <w:jc w:val="both"/>
      </w:pPr>
      <w:r>
        <w:rPr>
          <w:rStyle w:val="FootnoteReference"/>
        </w:rPr>
        <w:footnoteRef/>
      </w:r>
      <w:r>
        <w:t xml:space="preserve"> </w:t>
      </w:r>
      <w:r>
        <w:rPr>
          <w:rFonts w:ascii="Times New Roman" w:hAnsi="Times New Roman"/>
        </w:rPr>
        <w:t>За по-голямата част от тези новосъздадени работни места може да се приеме, че са с „добро качество“: 78 % от новосъздадените работни места от третото тримесечие на 2014 г. са постоянни, а 88 % от тях са на пълно работно време.</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Съобщение на Комисията относно оценката на напредъка в структурните реформи, предотвратяването и коригирането на макроикономическите дисбаланси и резултатите от задълбочените прегледи (COM(2018) 120).</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Европейски център за развитие на професионалното обучение (Cedefop); Европейска фондация за подобряване на условията на живот и труд (Eurofound); Европейска агенция за безопасност и здраве при работа (EU-OSHA); Европейска фондация за обучение (ETF);</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(2017) 821 final.</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2015 г. Службата за подкрепа на структурните реформи изпълнява близо 500 проекта за техническа помощ. Сред примерите за такива проекти в социалната област могат да бъдат посочени: i) подкрепата за осигуряването на гарантиран минимален доход; ii) подкрепата за разработването и прилагането на политиките за интегриране на мигрантите и бежанците; iii) подобряването на системите за оценяване на уврежданията и на услугите, предназначени за хората с увреждания; iv) подобряването на разработването и прилагането на активни политики по заетостта; v) подкрепата за реформата в сферата на специалното образование.</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относно набора от социални показатели вж.: </w:t>
      </w:r>
    </w:p>
    <w:p>
      <w:pPr>
        <w:pStyle w:val="FootnoteText"/>
        <w:rPr>
          <w:rFonts w:ascii="Times New Roman" w:hAnsi="Times New Roman" w:cs="Times New Roman"/>
        </w:rPr>
      </w:pPr>
      <w:hyperlink r:id="rId7">
        <w:r>
          <w:rPr>
            <w:rStyle w:val="Hyperlink"/>
            <w:rFonts w:ascii="Times New Roman" w:hAnsi="Times New Roman"/>
          </w:rPr>
          <w:t>https://composite-indicators.jrc.ec.europa.eu/social-scoreboard/#</w:t>
        </w:r>
      </w:hyperlink>
    </w:p>
    <w:p>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3F62"/>
    <w:multiLevelType w:val="hybridMultilevel"/>
    <w:tmpl w:val="993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E3A69"/>
    <w:multiLevelType w:val="hybridMultilevel"/>
    <w:tmpl w:val="1430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17D6E"/>
    <w:multiLevelType w:val="hybridMultilevel"/>
    <w:tmpl w:val="77FC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914F19"/>
    <w:multiLevelType w:val="hybridMultilevel"/>
    <w:tmpl w:val="72A8139C"/>
    <w:lvl w:ilvl="0" w:tplc="2A126B5A">
      <w:start w:val="1"/>
      <w:numFmt w:val="bullet"/>
      <w:lvlText w:val="‣"/>
      <w:lvlJc w:val="left"/>
      <w:pPr>
        <w:ind w:left="360" w:hanging="360"/>
      </w:pPr>
      <w:rPr>
        <w:rFonts w:ascii="EC Square Sans Pro" w:hAnsi="EC Square Sans Pro" w:hint="default"/>
        <w:color w:val="E2274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903118"/>
    <w:multiLevelType w:val="hybridMultilevel"/>
    <w:tmpl w:val="302E9DBA"/>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89430D"/>
    <w:multiLevelType w:val="hybridMultilevel"/>
    <w:tmpl w:val="1E807D58"/>
    <w:lvl w:ilvl="0" w:tplc="2A126B5A">
      <w:start w:val="1"/>
      <w:numFmt w:val="bullet"/>
      <w:lvlText w:val="‣"/>
      <w:lvlJc w:val="left"/>
      <w:pPr>
        <w:ind w:left="720" w:hanging="360"/>
      </w:pPr>
      <w:rPr>
        <w:rFonts w:ascii="EC Square Sans Pro" w:hAnsi="EC Square Sans Pro" w:hint="default"/>
        <w:color w:val="E22748"/>
      </w:rPr>
    </w:lvl>
    <w:lvl w:ilvl="1" w:tplc="A3FEDCF2">
      <w:numFmt w:val="bullet"/>
      <w:lvlText w:val="-"/>
      <w:lvlJc w:val="left"/>
      <w:pPr>
        <w:ind w:left="1440" w:hanging="360"/>
      </w:pPr>
      <w:rPr>
        <w:rFonts w:ascii="Times New Roman" w:eastAsiaTheme="minorHAnsi"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4A0F60"/>
    <w:multiLevelType w:val="hybridMultilevel"/>
    <w:tmpl w:val="21A04A20"/>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A5E5A"/>
    <w:multiLevelType w:val="hybridMultilevel"/>
    <w:tmpl w:val="C3E840EC"/>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0B1E16"/>
    <w:multiLevelType w:val="hybridMultilevel"/>
    <w:tmpl w:val="E428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7D4905"/>
    <w:multiLevelType w:val="hybridMultilevel"/>
    <w:tmpl w:val="00AAF6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92A86"/>
    <w:multiLevelType w:val="hybridMultilevel"/>
    <w:tmpl w:val="16702792"/>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5"/>
  </w:num>
  <w:num w:numId="6">
    <w:abstractNumId w:val="1"/>
  </w:num>
  <w:num w:numId="7">
    <w:abstractNumId w:val="9"/>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7B4E6F-70B7-40AE-A06A-AB5B9664C42B"/>
    <w:docVar w:name="LW_COVERPAGE_TYPE" w:val="1"/>
    <w:docVar w:name="LW_CROSSREFERENCE" w:val="{SWD(2018) 67 final}"/>
    <w:docVar w:name="LW_DocType" w:val="NORMAL"/>
    <w:docVar w:name="LW_EMISSION" w:val="13.3.2018"/>
    <w:docVar w:name="LW_EMISSION_ISODATE" w:val="2018-03-13"/>
    <w:docVar w:name="LW_EMISSION_LOCATION" w:val="STR"/>
    <w:docVar w:name="LW_EMISSION_PREFIX" w:val="Страсбург,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3?\u1072?\u1073?\u1083?\u1102?\u1076?\u1077?\u1085?\u1080?\u1077? \u1085?\u1072? \u1080?\u1079?\u1087?\u1098?\u1083?\u1085?\u1077?\u1085?\u1080?\u1077?\u1090?\u1086? \u1085?\u1072? \u1077?\u1074?\u1088?\u1086?\u1087?\u1077?\u1081?\u1089?\u1082?\u1080?\u1103? \u1089?\u1090?\u1098?\u1083?\u1073? \u1085?\u1072? \u1089?\u1086?\u1094?\u1080?\u1072?\u1083?\u1085?\u1080?\u1090?\u1077? \u1087?\u1088?\u1072?\u107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09682">
      <w:bodyDiv w:val="1"/>
      <w:marLeft w:val="0"/>
      <w:marRight w:val="0"/>
      <w:marTop w:val="0"/>
      <w:marBottom w:val="0"/>
      <w:divBdr>
        <w:top w:val="none" w:sz="0" w:space="0" w:color="auto"/>
        <w:left w:val="none" w:sz="0" w:space="0" w:color="auto"/>
        <w:bottom w:val="none" w:sz="0" w:space="0" w:color="auto"/>
        <w:right w:val="none" w:sz="0" w:space="0" w:color="auto"/>
      </w:divBdr>
    </w:div>
    <w:div w:id="609121662">
      <w:bodyDiv w:val="1"/>
      <w:marLeft w:val="0"/>
      <w:marRight w:val="0"/>
      <w:marTop w:val="0"/>
      <w:marBottom w:val="0"/>
      <w:divBdr>
        <w:top w:val="none" w:sz="0" w:space="0" w:color="auto"/>
        <w:left w:val="none" w:sz="0" w:space="0" w:color="auto"/>
        <w:bottom w:val="none" w:sz="0" w:space="0" w:color="auto"/>
        <w:right w:val="none" w:sz="0" w:space="0" w:color="auto"/>
      </w:divBdr>
    </w:div>
    <w:div w:id="1059980000">
      <w:bodyDiv w:val="1"/>
      <w:marLeft w:val="0"/>
      <w:marRight w:val="0"/>
      <w:marTop w:val="0"/>
      <w:marBottom w:val="0"/>
      <w:divBdr>
        <w:top w:val="none" w:sz="0" w:space="0" w:color="auto"/>
        <w:left w:val="none" w:sz="0" w:space="0" w:color="auto"/>
        <w:bottom w:val="none" w:sz="0" w:space="0" w:color="auto"/>
        <w:right w:val="none" w:sz="0" w:space="0" w:color="auto"/>
      </w:divBdr>
    </w:div>
    <w:div w:id="13564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social_dimension_of_europe_overview_of_initiatives_en.pdf" TargetMode="External"/><Relationship Id="rId7" Type="http://schemas.openxmlformats.org/officeDocument/2006/relationships/hyperlink" Target="https://composite-indicators.jrc.ec.europa.eu/social-scoreboard/" TargetMode="External"/><Relationship Id="rId2" Type="http://schemas.openxmlformats.org/officeDocument/2006/relationships/hyperlink" Target="http://www.socialsummit17.se/" TargetMode="External"/><Relationship Id="rId1" Type="http://schemas.openxmlformats.org/officeDocument/2006/relationships/hyperlink" Target="https://ec.europa.eu/commission/priorities/deeper-and-fairer-economic-and-monetary-union/european-pillar-social-rights/european-pillar-social-rights-20-principles_bg" TargetMode="External"/><Relationship Id="rId6" Type="http://schemas.openxmlformats.org/officeDocument/2006/relationships/hyperlink" Target="http://ec.europa.eu/social/main.jsp?catId=738&amp;langId=en&amp;pubId=8063" TargetMode="External"/><Relationship Id="rId5" Type="http://schemas.openxmlformats.org/officeDocument/2006/relationships/hyperlink" Target="https://ec.europa.eu/info/business-economy-euro/economic-performance-and-forecasts/economic-forecasts/winter-2018-economic-forecast_bg" TargetMode="External"/><Relationship Id="rId4" Type="http://schemas.openxmlformats.org/officeDocument/2006/relationships/hyperlink" Target="https://ec.europa.eu/commission/publications/five-presidents-report-completing-europes-economic-and-monetary-un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271E-69FB-4B90-9F89-0A4EB7CF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4439</Words>
  <Characters>26059</Characters>
  <Application>Microsoft Office Word</Application>
  <DocSecurity>0</DocSecurity>
  <Lines>449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2018-03-09T14:38:00Z</dcterms:created>
  <dcterms:modified xsi:type="dcterms:W3CDTF">2018-03-16T13:30:00Z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