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alt="F47206AC-B03C-462A-B9CF-A28D3FB5DF68" style="width:451pt;height:420.0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rPr>
          <w:b/>
          <w:noProof/>
          <w:szCs w:val="24"/>
        </w:rPr>
      </w:pPr>
      <w:bookmarkStart w:id="1" w:name="_GoBack"/>
      <w:bookmarkEnd w:id="1"/>
      <w:r>
        <w:rPr>
          <w:b/>
          <w:noProof/>
        </w:rPr>
        <w:lastRenderedPageBreak/>
        <w:t>Приложение — Работен план за инициативите, включени в плана за действие в областта на финансовите технологии</w:t>
      </w:r>
    </w:p>
    <w:p>
      <w:pPr>
        <w:rPr>
          <w:noProof/>
          <w:szCs w:val="24"/>
        </w:rPr>
      </w:pPr>
      <w:r>
        <w:rPr>
          <w:noProof/>
        </w:rPr>
        <w:t xml:space="preserve">В настоящото приложение са обобщени инициативите, включени в плана за действие в областта на финансовите технологии.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70C0"/>
        <w:tblLayout w:type="fixed"/>
        <w:tblLook w:val="0000" w:firstRow="0" w:lastRow="0" w:firstColumn="0" w:lastColumn="0" w:noHBand="0" w:noVBand="0"/>
      </w:tblPr>
      <w:tblGrid>
        <w:gridCol w:w="946"/>
        <w:gridCol w:w="1889"/>
        <w:gridCol w:w="4536"/>
        <w:gridCol w:w="1418"/>
      </w:tblGrid>
      <w:tr>
        <w:trPr>
          <w:trHeight w:val="526"/>
        </w:trPr>
        <w:tc>
          <w:tcPr>
            <w:tcW w:w="8789" w:type="dxa"/>
            <w:gridSpan w:val="4"/>
            <w:shd w:val="clear" w:color="auto" w:fill="0070C0"/>
          </w:tcPr>
          <w:p>
            <w:pPr>
              <w:spacing w:before="120" w:after="120"/>
              <w:rPr>
                <w:b/>
                <w:noProof/>
                <w:color w:val="FFFFFF" w:themeColor="background1"/>
                <w:szCs w:val="24"/>
              </w:rPr>
            </w:pPr>
            <w:r>
              <w:rPr>
                <w:b/>
                <w:noProof/>
                <w:color w:val="FFFFFF" w:themeColor="background1"/>
              </w:rPr>
              <w:t>НАСЪРЧАВАНЕ НА РАЗПРОСТРАНЕНИЕТО НА ИНОВАТИВНИТЕ БИЗНЕС МОДЕЛИ В ЕВРОПЕЙСКИ МАЩАБ</w:t>
            </w:r>
          </w:p>
        </w:tc>
      </w:tr>
      <w:tr>
        <w:trPr>
          <w:trHeight w:val="851"/>
        </w:trPr>
        <w:tc>
          <w:tcPr>
            <w:tcW w:w="946" w:type="dxa"/>
            <w:vMerge w:val="restart"/>
            <w:shd w:val="clear" w:color="auto" w:fill="auto"/>
            <w:vAlign w:val="center"/>
          </w:tcPr>
          <w:p>
            <w:pPr>
              <w:jc w:val="center"/>
              <w:rPr>
                <w:b/>
                <w:noProof/>
                <w:sz w:val="20"/>
              </w:rPr>
            </w:pPr>
            <w:r>
              <w:rPr>
                <w:b/>
                <w:noProof/>
                <w:sz w:val="20"/>
              </w:rPr>
              <w:t>Каре 1</w:t>
            </w:r>
          </w:p>
        </w:tc>
        <w:tc>
          <w:tcPr>
            <w:tcW w:w="1889" w:type="dxa"/>
            <w:vMerge w:val="restart"/>
            <w:shd w:val="clear" w:color="auto" w:fill="auto"/>
            <w:vAlign w:val="center"/>
          </w:tcPr>
          <w:p>
            <w:pPr>
              <w:jc w:val="left"/>
              <w:rPr>
                <w:b/>
                <w:noProof/>
                <w:sz w:val="20"/>
              </w:rPr>
            </w:pPr>
            <w:r>
              <w:rPr>
                <w:b/>
                <w:noProof/>
                <w:sz w:val="20"/>
              </w:rPr>
              <w:t>Ясни и съгласувани изисквания за лицензиране за финансово-технологичните предприятия</w:t>
            </w:r>
          </w:p>
        </w:tc>
        <w:tc>
          <w:tcPr>
            <w:tcW w:w="4536" w:type="dxa"/>
            <w:shd w:val="clear" w:color="auto" w:fill="auto"/>
          </w:tcPr>
          <w:p>
            <w:pPr>
              <w:rPr>
                <w:noProof/>
                <w:sz w:val="20"/>
              </w:rPr>
            </w:pPr>
            <w:r>
              <w:rPr>
                <w:noProof/>
              </w:rPr>
              <w:t>Комисията представя предложение за Регламент на ЕС относно европейските доставчици на услуги за колективно финансиране (ЕДУКФ) за бизнеса.</w:t>
            </w:r>
            <w:r>
              <w:rPr>
                <w:noProof/>
                <w:sz w:val="20"/>
              </w:rPr>
              <w:t xml:space="preserve"> </w:t>
            </w:r>
          </w:p>
        </w:tc>
        <w:tc>
          <w:tcPr>
            <w:tcW w:w="1418" w:type="dxa"/>
            <w:shd w:val="clear" w:color="auto" w:fill="auto"/>
            <w:vAlign w:val="center"/>
          </w:tcPr>
          <w:p>
            <w:pPr>
              <w:jc w:val="center"/>
              <w:rPr>
                <w:noProof/>
                <w:sz w:val="20"/>
              </w:rPr>
            </w:pPr>
            <w:r>
              <w:rPr>
                <w:noProof/>
                <w:sz w:val="20"/>
              </w:rPr>
              <w:t>първо тримесечие на 2018 г.</w:t>
            </w:r>
          </w:p>
        </w:tc>
      </w:tr>
      <w:tr>
        <w:trPr>
          <w:trHeight w:val="2754"/>
        </w:trPr>
        <w:tc>
          <w:tcPr>
            <w:tcW w:w="946" w:type="dxa"/>
            <w:vMerge/>
            <w:shd w:val="clear" w:color="auto" w:fill="auto"/>
            <w:vAlign w:val="center"/>
          </w:tcPr>
          <w:p>
            <w:pPr>
              <w:jc w:val="center"/>
              <w:rPr>
                <w:b/>
                <w:noProof/>
                <w:sz w:val="20"/>
              </w:rPr>
            </w:pPr>
          </w:p>
        </w:tc>
        <w:tc>
          <w:tcPr>
            <w:tcW w:w="1889" w:type="dxa"/>
            <w:vMerge/>
            <w:shd w:val="clear" w:color="auto" w:fill="auto"/>
          </w:tcPr>
          <w:p>
            <w:pPr>
              <w:jc w:val="left"/>
              <w:rPr>
                <w:noProof/>
                <w:sz w:val="20"/>
              </w:rPr>
            </w:pPr>
          </w:p>
        </w:tc>
        <w:tc>
          <w:tcPr>
            <w:tcW w:w="4536" w:type="dxa"/>
            <w:shd w:val="clear" w:color="auto" w:fill="auto"/>
          </w:tcPr>
          <w:p>
            <w:pPr>
              <w:rPr>
                <w:noProof/>
                <w:sz w:val="20"/>
              </w:rPr>
            </w:pPr>
            <w:r>
              <w:rPr>
                <w:noProof/>
                <w:sz w:val="20"/>
              </w:rPr>
              <w:t>Комисията приканва Европейските надзорни органи (ЕНО) да проучат настоящите подходи за лицензиране и издаване на разрешения за иновационни бизнес модели, основани на финансови технологии. По-специално те следва да анализират начина, по който националните органи прилагат принципите за пропорционалност и гъвкавост в рамките на законодателството, уреждащо финансовите услуги.  При необходимост ЕНО следва да отправят насоки относно подходите и процедурите или препоръки до Комисията относно необходимостта от адаптиране на законодателството в областта на финансовите услуги.</w:t>
            </w:r>
          </w:p>
        </w:tc>
        <w:tc>
          <w:tcPr>
            <w:tcW w:w="1418" w:type="dxa"/>
            <w:shd w:val="clear" w:color="auto" w:fill="auto"/>
            <w:vAlign w:val="center"/>
          </w:tcPr>
          <w:p>
            <w:pPr>
              <w:jc w:val="center"/>
              <w:rPr>
                <w:noProof/>
                <w:sz w:val="20"/>
              </w:rPr>
            </w:pPr>
            <w:r>
              <w:rPr>
                <w:noProof/>
                <w:sz w:val="20"/>
              </w:rPr>
              <w:t>първо тримесечие на 2019 г.</w:t>
            </w:r>
          </w:p>
        </w:tc>
      </w:tr>
      <w:tr>
        <w:trPr>
          <w:trHeight w:val="472"/>
        </w:trPr>
        <w:tc>
          <w:tcPr>
            <w:tcW w:w="946" w:type="dxa"/>
            <w:vMerge/>
            <w:shd w:val="clear" w:color="auto" w:fill="auto"/>
            <w:vAlign w:val="center"/>
          </w:tcPr>
          <w:p>
            <w:pPr>
              <w:jc w:val="left"/>
              <w:rPr>
                <w:b/>
                <w:noProof/>
                <w:sz w:val="20"/>
              </w:rPr>
            </w:pPr>
          </w:p>
        </w:tc>
        <w:tc>
          <w:tcPr>
            <w:tcW w:w="1889" w:type="dxa"/>
            <w:vMerge/>
            <w:shd w:val="clear" w:color="auto" w:fill="auto"/>
          </w:tcPr>
          <w:p>
            <w:pPr>
              <w:jc w:val="left"/>
              <w:rPr>
                <w:noProof/>
                <w:sz w:val="20"/>
              </w:rPr>
            </w:pPr>
          </w:p>
        </w:tc>
        <w:tc>
          <w:tcPr>
            <w:tcW w:w="4536" w:type="dxa"/>
            <w:shd w:val="clear" w:color="auto" w:fill="auto"/>
          </w:tcPr>
          <w:p>
            <w:pPr>
              <w:rPr>
                <w:noProof/>
                <w:sz w:val="20"/>
              </w:rPr>
            </w:pPr>
            <w:r>
              <w:rPr>
                <w:noProof/>
                <w:sz w:val="20"/>
              </w:rPr>
              <w:t>През 2018 г. Комисията ще продължи да следи развитието в областта на криптоактивите и първоначалното предлагане на монети заедно с ЕНО, Европейската централна банка, Съвета за финансова стабилност, както и други международни определящи стандартите органи.  Въз основа на оценката на рисковете, възможностите и пригодността на приложимата регулаторна рамка Комисията ще оцени дали са необходими регулаторни действия на равнище ЕС.</w:t>
            </w:r>
          </w:p>
        </w:tc>
        <w:tc>
          <w:tcPr>
            <w:tcW w:w="1418" w:type="dxa"/>
            <w:shd w:val="clear" w:color="auto" w:fill="auto"/>
            <w:vAlign w:val="center"/>
          </w:tcPr>
          <w:p>
            <w:pPr>
              <w:jc w:val="center"/>
              <w:rPr>
                <w:noProof/>
                <w:sz w:val="20"/>
              </w:rPr>
            </w:pPr>
            <w:r>
              <w:rPr>
                <w:noProof/>
                <w:sz w:val="20"/>
              </w:rPr>
              <w:t>до четвъртото тримесечие на 2018 г.</w:t>
            </w:r>
          </w:p>
        </w:tc>
      </w:tr>
      <w:tr>
        <w:trPr>
          <w:trHeight w:val="1051"/>
        </w:trPr>
        <w:tc>
          <w:tcPr>
            <w:tcW w:w="946" w:type="dxa"/>
            <w:vMerge w:val="restart"/>
            <w:shd w:val="clear" w:color="auto" w:fill="auto"/>
            <w:vAlign w:val="center"/>
          </w:tcPr>
          <w:p>
            <w:pPr>
              <w:jc w:val="left"/>
              <w:rPr>
                <w:b/>
                <w:noProof/>
                <w:sz w:val="20"/>
              </w:rPr>
            </w:pPr>
            <w:r>
              <w:rPr>
                <w:b/>
                <w:noProof/>
                <w:sz w:val="20"/>
              </w:rPr>
              <w:t>Каре 2</w:t>
            </w:r>
          </w:p>
        </w:tc>
        <w:tc>
          <w:tcPr>
            <w:tcW w:w="1889" w:type="dxa"/>
            <w:vMerge w:val="restart"/>
            <w:shd w:val="clear" w:color="auto" w:fill="auto"/>
            <w:vAlign w:val="center"/>
          </w:tcPr>
          <w:p>
            <w:pPr>
              <w:jc w:val="left"/>
              <w:rPr>
                <w:b/>
                <w:noProof/>
                <w:sz w:val="20"/>
              </w:rPr>
            </w:pPr>
            <w:r>
              <w:rPr>
                <w:b/>
                <w:noProof/>
                <w:sz w:val="20"/>
              </w:rPr>
              <w:t>Общи стандарти и оперативно съвместими решения за финансови технологии</w:t>
            </w:r>
          </w:p>
        </w:tc>
        <w:tc>
          <w:tcPr>
            <w:tcW w:w="4536" w:type="dxa"/>
            <w:shd w:val="clear" w:color="auto" w:fill="auto"/>
          </w:tcPr>
          <w:p>
            <w:pPr>
              <w:pStyle w:val="Text1"/>
              <w:ind w:left="0"/>
              <w:rPr>
                <w:noProof/>
                <w:sz w:val="20"/>
              </w:rPr>
            </w:pPr>
            <w:r>
              <w:rPr>
                <w:noProof/>
                <w:sz w:val="20"/>
              </w:rPr>
              <w:t xml:space="preserve">Комисията ще окаже съдействие за  разработването на по-координирани подходи към стандартите в областта на финансовите технологии посредством поддържане на връзки и съвместна работа с важни международни органи по стандартизация, като Европейския комитет по стандартизация и Международната организация по стандартизация, включително в областта на блоковите вериги.  </w:t>
            </w:r>
          </w:p>
        </w:tc>
        <w:tc>
          <w:tcPr>
            <w:tcW w:w="1418" w:type="dxa"/>
            <w:shd w:val="clear" w:color="auto" w:fill="auto"/>
            <w:vAlign w:val="center"/>
          </w:tcPr>
          <w:p>
            <w:pPr>
              <w:jc w:val="center"/>
              <w:rPr>
                <w:noProof/>
                <w:sz w:val="20"/>
                <w:highlight w:val="yellow"/>
              </w:rPr>
            </w:pPr>
            <w:r>
              <w:rPr>
                <w:noProof/>
                <w:sz w:val="20"/>
              </w:rPr>
              <w:t>четвърто тримесечие на 2018 г.</w:t>
            </w:r>
          </w:p>
        </w:tc>
      </w:tr>
      <w:tr>
        <w:trPr>
          <w:trHeight w:val="288"/>
        </w:trPr>
        <w:tc>
          <w:tcPr>
            <w:tcW w:w="946" w:type="dxa"/>
            <w:vMerge/>
            <w:shd w:val="clear" w:color="auto" w:fill="auto"/>
            <w:vAlign w:val="center"/>
          </w:tcPr>
          <w:p>
            <w:pPr>
              <w:jc w:val="left"/>
              <w:rPr>
                <w:b/>
                <w:noProof/>
                <w:sz w:val="20"/>
              </w:rPr>
            </w:pPr>
          </w:p>
        </w:tc>
        <w:tc>
          <w:tcPr>
            <w:tcW w:w="1889" w:type="dxa"/>
            <w:vMerge/>
            <w:shd w:val="clear" w:color="auto" w:fill="auto"/>
          </w:tcPr>
          <w:p>
            <w:pPr>
              <w:jc w:val="left"/>
              <w:rPr>
                <w:b/>
                <w:noProof/>
                <w:sz w:val="20"/>
              </w:rPr>
            </w:pPr>
          </w:p>
        </w:tc>
        <w:tc>
          <w:tcPr>
            <w:tcW w:w="4536" w:type="dxa"/>
            <w:shd w:val="clear" w:color="auto" w:fill="auto"/>
          </w:tcPr>
          <w:p>
            <w:pPr>
              <w:pStyle w:val="Text1"/>
              <w:ind w:left="0"/>
              <w:rPr>
                <w:bCs/>
                <w:noProof/>
                <w:sz w:val="20"/>
              </w:rPr>
            </w:pPr>
            <w:r>
              <w:rPr>
                <w:noProof/>
                <w:sz w:val="20"/>
              </w:rPr>
              <w:t xml:space="preserve">Комисията насърчава и ще оказва подкрепа за съвместните усилия от страна на пазарните участници за разработването на стандартизирани приложно-програмни интерфейси до средата на 2019 г., които отговарят на изискванията на Директивата за платежните услуги и Общия </w:t>
            </w:r>
            <w:r>
              <w:rPr>
                <w:noProof/>
                <w:sz w:val="20"/>
              </w:rPr>
              <w:lastRenderedPageBreak/>
              <w:t xml:space="preserve">регламент относно защитата на данните и които ще послужат за основа на европейската среда за отворено банкиране, която да обхване платежните сметки и други видове сметки. </w:t>
            </w:r>
          </w:p>
        </w:tc>
        <w:tc>
          <w:tcPr>
            <w:tcW w:w="1418" w:type="dxa"/>
            <w:shd w:val="clear" w:color="auto" w:fill="auto"/>
            <w:vAlign w:val="center"/>
          </w:tcPr>
          <w:p>
            <w:pPr>
              <w:jc w:val="center"/>
              <w:rPr>
                <w:noProof/>
                <w:sz w:val="20"/>
                <w:highlight w:val="yellow"/>
              </w:rPr>
            </w:pPr>
            <w:r>
              <w:rPr>
                <w:noProof/>
                <w:sz w:val="20"/>
              </w:rPr>
              <w:lastRenderedPageBreak/>
              <w:t>второ тримесечие на 2019 г.</w:t>
            </w:r>
          </w:p>
        </w:tc>
      </w:tr>
      <w:tr>
        <w:trPr>
          <w:trHeight w:val="594"/>
        </w:trPr>
        <w:tc>
          <w:tcPr>
            <w:tcW w:w="946" w:type="dxa"/>
            <w:vMerge w:val="restart"/>
            <w:shd w:val="clear" w:color="auto" w:fill="auto"/>
            <w:vAlign w:val="bottom"/>
          </w:tcPr>
          <w:p>
            <w:pPr>
              <w:jc w:val="left"/>
              <w:rPr>
                <w:b/>
                <w:noProof/>
                <w:sz w:val="20"/>
              </w:rPr>
            </w:pPr>
            <w:r>
              <w:rPr>
                <w:b/>
                <w:noProof/>
                <w:sz w:val="20"/>
              </w:rPr>
              <w:lastRenderedPageBreak/>
              <w:t>Каре 3</w:t>
            </w:r>
          </w:p>
          <w:p>
            <w:pPr>
              <w:jc w:val="left"/>
              <w:rPr>
                <w:b/>
                <w:noProof/>
                <w:sz w:val="20"/>
              </w:rPr>
            </w:pPr>
          </w:p>
        </w:tc>
        <w:tc>
          <w:tcPr>
            <w:tcW w:w="1889" w:type="dxa"/>
            <w:vMerge w:val="restart"/>
            <w:shd w:val="clear" w:color="auto" w:fill="auto"/>
            <w:vAlign w:val="center"/>
          </w:tcPr>
          <w:p>
            <w:pPr>
              <w:jc w:val="left"/>
              <w:rPr>
                <w:b/>
                <w:noProof/>
                <w:sz w:val="20"/>
              </w:rPr>
            </w:pPr>
          </w:p>
          <w:p>
            <w:pPr>
              <w:jc w:val="left"/>
              <w:rPr>
                <w:b/>
                <w:noProof/>
                <w:sz w:val="20"/>
              </w:rPr>
            </w:pPr>
            <w:r>
              <w:rPr>
                <w:b/>
                <w:noProof/>
                <w:sz w:val="20"/>
              </w:rPr>
              <w:t xml:space="preserve">Насърчаване на разпространението на иновативните бизнес модели в целия ЕС чрез иновативни центрове </w:t>
            </w:r>
          </w:p>
        </w:tc>
        <w:tc>
          <w:tcPr>
            <w:tcW w:w="4536" w:type="dxa"/>
            <w:shd w:val="clear" w:color="auto" w:fill="auto"/>
            <w:vAlign w:val="center"/>
          </w:tcPr>
          <w:p>
            <w:pPr>
              <w:jc w:val="left"/>
              <w:rPr>
                <w:noProof/>
                <w:sz w:val="20"/>
              </w:rPr>
            </w:pPr>
            <w:r>
              <w:rPr>
                <w:noProof/>
                <w:sz w:val="20"/>
              </w:rPr>
              <w:t>Като се основава на неотдавнашната работа на ЕНО по проучване на създадените от националните надзорни органи центрове за финансови технологии, Комисията приканва ЕНО да извършат по-нататъшен анализ и да определят най-добрите практики, а когато е уместно, да издадат насоки относно тези центрове.</w:t>
            </w:r>
          </w:p>
        </w:tc>
        <w:tc>
          <w:tcPr>
            <w:tcW w:w="1418" w:type="dxa"/>
            <w:shd w:val="clear" w:color="auto" w:fill="auto"/>
            <w:vAlign w:val="center"/>
          </w:tcPr>
          <w:p>
            <w:pPr>
              <w:jc w:val="center"/>
              <w:rPr>
                <w:noProof/>
                <w:sz w:val="20"/>
              </w:rPr>
            </w:pPr>
            <w:r>
              <w:rPr>
                <w:noProof/>
                <w:sz w:val="20"/>
              </w:rPr>
              <w:t>четвърто тримесечие на 2018 г.</w:t>
            </w:r>
          </w:p>
        </w:tc>
      </w:tr>
      <w:tr>
        <w:trPr>
          <w:trHeight w:val="2124"/>
        </w:trPr>
        <w:tc>
          <w:tcPr>
            <w:tcW w:w="946" w:type="dxa"/>
            <w:vMerge/>
            <w:shd w:val="clear" w:color="auto" w:fill="auto"/>
            <w:vAlign w:val="center"/>
          </w:tcPr>
          <w:p>
            <w:pPr>
              <w:jc w:val="left"/>
              <w:rPr>
                <w:b/>
                <w:noProof/>
                <w:sz w:val="20"/>
              </w:rPr>
            </w:pPr>
          </w:p>
        </w:tc>
        <w:tc>
          <w:tcPr>
            <w:tcW w:w="1889" w:type="dxa"/>
            <w:vMerge/>
            <w:shd w:val="clear" w:color="auto" w:fill="auto"/>
          </w:tcPr>
          <w:p>
            <w:pPr>
              <w:jc w:val="left"/>
              <w:rPr>
                <w:b/>
                <w:noProof/>
                <w:sz w:val="20"/>
              </w:rPr>
            </w:pPr>
          </w:p>
        </w:tc>
        <w:tc>
          <w:tcPr>
            <w:tcW w:w="4536" w:type="dxa"/>
            <w:shd w:val="clear" w:color="auto" w:fill="auto"/>
          </w:tcPr>
          <w:p>
            <w:pPr>
              <w:rPr>
                <w:bCs/>
                <w:noProof/>
                <w:sz w:val="20"/>
              </w:rPr>
            </w:pPr>
            <w:r>
              <w:rPr>
                <w:noProof/>
                <w:sz w:val="20"/>
              </w:rPr>
              <w:t>Комисията приканва компетентните органи на равнището на държавите членки и на ЕС да предприемат инициативи за улесняване на иновациите въз основа на тези най-добри практики и приканва ЕНО да насърчават сътрудничеството в областта на надзора, включително координирането и разпространението на информация относно иновативните технологии, създаването и функционирането на иновативни центрове и регулаторни лаборатории, както и съгласуваността на надзорните практики.</w:t>
            </w:r>
          </w:p>
        </w:tc>
        <w:tc>
          <w:tcPr>
            <w:tcW w:w="1418" w:type="dxa"/>
            <w:shd w:val="clear" w:color="auto" w:fill="auto"/>
            <w:vAlign w:val="center"/>
          </w:tcPr>
          <w:p>
            <w:pPr>
              <w:jc w:val="center"/>
              <w:rPr>
                <w:noProof/>
                <w:sz w:val="20"/>
                <w:highlight w:val="yellow"/>
              </w:rPr>
            </w:pPr>
            <w:r>
              <w:rPr>
                <w:noProof/>
                <w:sz w:val="20"/>
              </w:rPr>
              <w:t>първо тримесечие на 2019 г.</w:t>
            </w:r>
          </w:p>
        </w:tc>
      </w:tr>
      <w:tr>
        <w:trPr>
          <w:trHeight w:val="784"/>
        </w:trPr>
        <w:tc>
          <w:tcPr>
            <w:tcW w:w="946" w:type="dxa"/>
            <w:vMerge/>
            <w:shd w:val="clear" w:color="auto" w:fill="auto"/>
            <w:vAlign w:val="center"/>
          </w:tcPr>
          <w:p>
            <w:pPr>
              <w:jc w:val="left"/>
              <w:rPr>
                <w:b/>
                <w:noProof/>
                <w:sz w:val="20"/>
              </w:rPr>
            </w:pPr>
          </w:p>
        </w:tc>
        <w:tc>
          <w:tcPr>
            <w:tcW w:w="1889" w:type="dxa"/>
            <w:vMerge/>
            <w:shd w:val="clear" w:color="auto" w:fill="auto"/>
          </w:tcPr>
          <w:p>
            <w:pPr>
              <w:jc w:val="left"/>
              <w:rPr>
                <w:b/>
                <w:noProof/>
                <w:sz w:val="20"/>
              </w:rPr>
            </w:pPr>
          </w:p>
        </w:tc>
        <w:tc>
          <w:tcPr>
            <w:tcW w:w="4536" w:type="dxa"/>
            <w:shd w:val="clear" w:color="auto" w:fill="auto"/>
          </w:tcPr>
          <w:p>
            <w:pPr>
              <w:rPr>
                <w:bCs/>
                <w:noProof/>
                <w:sz w:val="20"/>
              </w:rPr>
            </w:pPr>
            <w:r>
              <w:rPr>
                <w:noProof/>
                <w:sz w:val="20"/>
              </w:rPr>
              <w:t>Въз основа на постигнатото от ЕНО Комисията ще представи доклад за най-добрите практики относно регулаторните лаборатории.</w:t>
            </w:r>
          </w:p>
        </w:tc>
        <w:tc>
          <w:tcPr>
            <w:tcW w:w="1418" w:type="dxa"/>
            <w:shd w:val="clear" w:color="auto" w:fill="auto"/>
            <w:vAlign w:val="center"/>
          </w:tcPr>
          <w:p>
            <w:pPr>
              <w:jc w:val="center"/>
              <w:rPr>
                <w:noProof/>
                <w:sz w:val="20"/>
                <w:highlight w:val="yellow"/>
              </w:rPr>
            </w:pPr>
            <w:r>
              <w:rPr>
                <w:noProof/>
                <w:sz w:val="20"/>
              </w:rPr>
              <w:t>до първото тримесечие на 2019 г.</w:t>
            </w:r>
          </w:p>
        </w:tc>
      </w:tr>
    </w:tbl>
    <w:p>
      <w:pPr>
        <w:jc w:val="left"/>
        <w:rPr>
          <w:noProof/>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70C0"/>
        <w:tblLayout w:type="fixed"/>
        <w:tblLook w:val="0000" w:firstRow="0" w:lastRow="0" w:firstColumn="0" w:lastColumn="0" w:noHBand="0" w:noVBand="0"/>
      </w:tblPr>
      <w:tblGrid>
        <w:gridCol w:w="932"/>
        <w:gridCol w:w="1903"/>
        <w:gridCol w:w="4536"/>
        <w:gridCol w:w="1418"/>
      </w:tblGrid>
      <w:tr>
        <w:trPr>
          <w:trHeight w:val="526"/>
        </w:trPr>
        <w:tc>
          <w:tcPr>
            <w:tcW w:w="8789" w:type="dxa"/>
            <w:gridSpan w:val="4"/>
            <w:shd w:val="clear" w:color="auto" w:fill="0070C0"/>
          </w:tcPr>
          <w:p>
            <w:pPr>
              <w:spacing w:before="120" w:after="120"/>
              <w:jc w:val="left"/>
              <w:rPr>
                <w:b/>
                <w:noProof/>
                <w:color w:val="FFFFFF" w:themeColor="background1"/>
                <w:szCs w:val="24"/>
              </w:rPr>
            </w:pPr>
            <w:r>
              <w:rPr>
                <w:b/>
                <w:noProof/>
                <w:color w:val="FFFFFF" w:themeColor="background1"/>
              </w:rPr>
              <w:t>ПОДКРЕПА ЗА НАВЛИЗАНЕ НА ТЕХНОЛОГИЧНИТЕ ИНОВАЦИИ ВЪВ ФИНАНСОВИЯ СЕКТОР</w:t>
            </w:r>
          </w:p>
        </w:tc>
      </w:tr>
      <w:tr>
        <w:trPr>
          <w:trHeight w:val="851"/>
        </w:trPr>
        <w:tc>
          <w:tcPr>
            <w:tcW w:w="932" w:type="dxa"/>
            <w:shd w:val="clear" w:color="auto" w:fill="auto"/>
            <w:vAlign w:val="center"/>
          </w:tcPr>
          <w:p>
            <w:pPr>
              <w:jc w:val="left"/>
              <w:rPr>
                <w:b/>
                <w:noProof/>
                <w:sz w:val="20"/>
              </w:rPr>
            </w:pPr>
            <w:r>
              <w:rPr>
                <w:b/>
                <w:noProof/>
                <w:sz w:val="20"/>
              </w:rPr>
              <w:t>Каре 4</w:t>
            </w:r>
          </w:p>
        </w:tc>
        <w:tc>
          <w:tcPr>
            <w:tcW w:w="1903" w:type="dxa"/>
            <w:shd w:val="clear" w:color="auto" w:fill="auto"/>
            <w:vAlign w:val="center"/>
          </w:tcPr>
          <w:p>
            <w:pPr>
              <w:jc w:val="left"/>
              <w:rPr>
                <w:b/>
                <w:noProof/>
                <w:sz w:val="20"/>
              </w:rPr>
            </w:pPr>
            <w:r>
              <w:rPr>
                <w:b/>
                <w:noProof/>
                <w:sz w:val="20"/>
              </w:rPr>
              <w:t>Технологична неутралност Преглед на пригодността</w:t>
            </w:r>
          </w:p>
        </w:tc>
        <w:tc>
          <w:tcPr>
            <w:tcW w:w="4536" w:type="dxa"/>
            <w:shd w:val="clear" w:color="auto" w:fill="auto"/>
          </w:tcPr>
          <w:p>
            <w:pPr>
              <w:rPr>
                <w:noProof/>
                <w:sz w:val="20"/>
              </w:rPr>
            </w:pPr>
            <w:r>
              <w:rPr>
                <w:noProof/>
                <w:sz w:val="20"/>
              </w:rPr>
              <w:t>Комисията ще сформира експертна група, която да оцени дали по отношение на регулаторната рамка за финансовите услуги съществуват необосновани регулаторни пречки за финансовите иновации.</w:t>
            </w:r>
          </w:p>
        </w:tc>
        <w:tc>
          <w:tcPr>
            <w:tcW w:w="1418" w:type="dxa"/>
            <w:shd w:val="clear" w:color="auto" w:fill="auto"/>
            <w:vAlign w:val="center"/>
          </w:tcPr>
          <w:p>
            <w:pPr>
              <w:jc w:val="center"/>
              <w:rPr>
                <w:noProof/>
                <w:sz w:val="20"/>
              </w:rPr>
            </w:pPr>
            <w:r>
              <w:rPr>
                <w:noProof/>
                <w:sz w:val="20"/>
              </w:rPr>
              <w:t>второ тримесечие на 2019 г.</w:t>
            </w:r>
          </w:p>
        </w:tc>
      </w:tr>
      <w:tr>
        <w:trPr>
          <w:trHeight w:val="953"/>
        </w:trPr>
        <w:tc>
          <w:tcPr>
            <w:tcW w:w="932" w:type="dxa"/>
            <w:vMerge w:val="restart"/>
            <w:shd w:val="clear" w:color="auto" w:fill="auto"/>
            <w:vAlign w:val="center"/>
          </w:tcPr>
          <w:p>
            <w:pPr>
              <w:jc w:val="left"/>
              <w:rPr>
                <w:b/>
                <w:noProof/>
                <w:sz w:val="20"/>
              </w:rPr>
            </w:pPr>
            <w:r>
              <w:rPr>
                <w:b/>
                <w:noProof/>
                <w:sz w:val="20"/>
              </w:rPr>
              <w:t>Каре 5</w:t>
            </w:r>
          </w:p>
        </w:tc>
        <w:tc>
          <w:tcPr>
            <w:tcW w:w="1903" w:type="dxa"/>
            <w:vMerge w:val="restart"/>
            <w:shd w:val="clear" w:color="auto" w:fill="auto"/>
            <w:vAlign w:val="center"/>
          </w:tcPr>
          <w:p>
            <w:pPr>
              <w:jc w:val="left"/>
              <w:rPr>
                <w:b/>
                <w:noProof/>
                <w:sz w:val="20"/>
              </w:rPr>
            </w:pPr>
            <w:r>
              <w:rPr>
                <w:b/>
                <w:noProof/>
                <w:sz w:val="20"/>
              </w:rPr>
              <w:t>Премахване на пречките пред използването на услуги в облак</w:t>
            </w:r>
          </w:p>
        </w:tc>
        <w:tc>
          <w:tcPr>
            <w:tcW w:w="4536" w:type="dxa"/>
            <w:shd w:val="clear" w:color="auto" w:fill="auto"/>
          </w:tcPr>
          <w:p>
            <w:pPr>
              <w:pStyle w:val="Text1"/>
              <w:ind w:left="0"/>
              <w:rPr>
                <w:noProof/>
                <w:sz w:val="20"/>
              </w:rPr>
            </w:pPr>
            <w:r>
              <w:rPr>
                <w:noProof/>
                <w:sz w:val="20"/>
              </w:rPr>
              <w:t>Комисията приканва ЕНО до първото тримесечие на 2019 г. да проучат необходимостта от насоки относно възлагането на услуги в облак на външни доставчици.</w:t>
            </w:r>
          </w:p>
        </w:tc>
        <w:tc>
          <w:tcPr>
            <w:tcW w:w="1418" w:type="dxa"/>
            <w:shd w:val="clear" w:color="auto" w:fill="auto"/>
            <w:vAlign w:val="center"/>
          </w:tcPr>
          <w:p>
            <w:pPr>
              <w:jc w:val="center"/>
              <w:rPr>
                <w:noProof/>
                <w:sz w:val="20"/>
              </w:rPr>
            </w:pPr>
            <w:r>
              <w:rPr>
                <w:noProof/>
                <w:sz w:val="20"/>
              </w:rPr>
              <w:t>първо тримесечие на 2019 г.</w:t>
            </w:r>
          </w:p>
        </w:tc>
      </w:tr>
      <w:tr>
        <w:trPr>
          <w:trHeight w:val="729"/>
        </w:trPr>
        <w:tc>
          <w:tcPr>
            <w:tcW w:w="932" w:type="dxa"/>
            <w:vMerge/>
            <w:shd w:val="clear" w:color="auto" w:fill="auto"/>
            <w:vAlign w:val="center"/>
          </w:tcPr>
          <w:p>
            <w:pPr>
              <w:jc w:val="left"/>
              <w:rPr>
                <w:b/>
                <w:noProof/>
                <w:sz w:val="20"/>
              </w:rPr>
            </w:pPr>
          </w:p>
        </w:tc>
        <w:tc>
          <w:tcPr>
            <w:tcW w:w="1903" w:type="dxa"/>
            <w:vMerge/>
            <w:shd w:val="clear" w:color="auto" w:fill="auto"/>
          </w:tcPr>
          <w:p>
            <w:pPr>
              <w:jc w:val="left"/>
              <w:rPr>
                <w:b/>
                <w:noProof/>
                <w:sz w:val="20"/>
              </w:rPr>
            </w:pPr>
          </w:p>
        </w:tc>
        <w:tc>
          <w:tcPr>
            <w:tcW w:w="4536" w:type="dxa"/>
            <w:shd w:val="clear" w:color="auto" w:fill="auto"/>
          </w:tcPr>
          <w:p>
            <w:pPr>
              <w:pStyle w:val="Text1"/>
              <w:ind w:left="0"/>
              <w:rPr>
                <w:noProof/>
                <w:sz w:val="20"/>
              </w:rPr>
            </w:pPr>
            <w:r>
              <w:rPr>
                <w:noProof/>
                <w:sz w:val="20"/>
              </w:rPr>
              <w:t>В контекста на Съобщението „Изграждане на европейска икономика, основана на данни“, Комисията приканва заинтересованите страни в областта на услугите в облак да разработят междусекторни кодекси за саморегулиране с цел да се улесни смяната на доставчиците на услуги в облак. Комисията ще покани и представители на финансовия сектор с оглед по-лесното прехвърляне на данни от гледна точка на финансовите институции.</w:t>
            </w:r>
          </w:p>
        </w:tc>
        <w:tc>
          <w:tcPr>
            <w:tcW w:w="1418" w:type="dxa"/>
            <w:shd w:val="clear" w:color="auto" w:fill="auto"/>
            <w:vAlign w:val="center"/>
          </w:tcPr>
          <w:p>
            <w:pPr>
              <w:jc w:val="center"/>
              <w:rPr>
                <w:noProof/>
                <w:sz w:val="20"/>
              </w:rPr>
            </w:pPr>
          </w:p>
          <w:p>
            <w:pPr>
              <w:jc w:val="center"/>
              <w:rPr>
                <w:noProof/>
                <w:sz w:val="20"/>
              </w:rPr>
            </w:pPr>
            <w:r>
              <w:rPr>
                <w:noProof/>
                <w:sz w:val="20"/>
              </w:rPr>
              <w:t>второ тримесечие на 2018 г.</w:t>
            </w:r>
          </w:p>
        </w:tc>
      </w:tr>
      <w:tr>
        <w:trPr>
          <w:trHeight w:val="216"/>
        </w:trPr>
        <w:tc>
          <w:tcPr>
            <w:tcW w:w="932" w:type="dxa"/>
            <w:vMerge/>
            <w:shd w:val="clear" w:color="auto" w:fill="auto"/>
            <w:vAlign w:val="center"/>
          </w:tcPr>
          <w:p>
            <w:pPr>
              <w:jc w:val="left"/>
              <w:rPr>
                <w:b/>
                <w:noProof/>
                <w:sz w:val="20"/>
              </w:rPr>
            </w:pPr>
          </w:p>
        </w:tc>
        <w:tc>
          <w:tcPr>
            <w:tcW w:w="1903" w:type="dxa"/>
            <w:vMerge/>
            <w:shd w:val="clear" w:color="auto" w:fill="auto"/>
          </w:tcPr>
          <w:p>
            <w:pPr>
              <w:jc w:val="left"/>
              <w:rPr>
                <w:b/>
                <w:noProof/>
                <w:sz w:val="20"/>
              </w:rPr>
            </w:pPr>
          </w:p>
        </w:tc>
        <w:tc>
          <w:tcPr>
            <w:tcW w:w="4536" w:type="dxa"/>
            <w:shd w:val="clear" w:color="auto" w:fill="auto"/>
          </w:tcPr>
          <w:p>
            <w:pPr>
              <w:rPr>
                <w:noProof/>
                <w:sz w:val="20"/>
                <w:highlight w:val="yellow"/>
              </w:rPr>
            </w:pPr>
            <w:r>
              <w:rPr>
                <w:noProof/>
                <w:sz w:val="20"/>
              </w:rPr>
              <w:t xml:space="preserve">Комисията насърчава и улеснява разработването на стандартни договорни клаузи за възлагане на услуги в облак на външни доставчици от страна на финансовите институции, като използва за основа усилията на заинтересованите страни в областта на този вид услуги в няколко сектора, в които Комисията вече оказа съдействие, и като гарантира участието на финансовия сектор в този процес. Тази дейност следва да се осъществи от равномерно представена група от предприятия от финансовия сектор и доставчици на услуги в облак и следва да бъде насочена по-специално към изискванията относно одита и докладването или относно определянето на степента на същественост на дейностите, които да се възлагат на външни изпълнители. </w:t>
            </w:r>
          </w:p>
        </w:tc>
        <w:tc>
          <w:tcPr>
            <w:tcW w:w="1418" w:type="dxa"/>
            <w:shd w:val="clear" w:color="auto" w:fill="auto"/>
            <w:vAlign w:val="center"/>
          </w:tcPr>
          <w:p>
            <w:pPr>
              <w:jc w:val="center"/>
              <w:rPr>
                <w:noProof/>
                <w:sz w:val="20"/>
              </w:rPr>
            </w:pPr>
            <w:r>
              <w:rPr>
                <w:noProof/>
                <w:sz w:val="20"/>
              </w:rPr>
              <w:t>второ тримесечие на 2019 г.</w:t>
            </w:r>
          </w:p>
        </w:tc>
      </w:tr>
      <w:tr>
        <w:trPr>
          <w:trHeight w:val="1652"/>
        </w:trPr>
        <w:tc>
          <w:tcPr>
            <w:tcW w:w="932" w:type="dxa"/>
            <w:vMerge w:val="restart"/>
            <w:shd w:val="clear" w:color="auto" w:fill="auto"/>
            <w:vAlign w:val="center"/>
          </w:tcPr>
          <w:p>
            <w:pPr>
              <w:jc w:val="left"/>
              <w:rPr>
                <w:b/>
                <w:noProof/>
                <w:sz w:val="20"/>
              </w:rPr>
            </w:pPr>
            <w:r>
              <w:rPr>
                <w:b/>
                <w:noProof/>
                <w:sz w:val="20"/>
              </w:rPr>
              <w:t>Каре 6</w:t>
            </w:r>
          </w:p>
        </w:tc>
        <w:tc>
          <w:tcPr>
            <w:tcW w:w="1903" w:type="dxa"/>
            <w:vMerge w:val="restart"/>
            <w:shd w:val="clear" w:color="auto" w:fill="auto"/>
            <w:vAlign w:val="center"/>
          </w:tcPr>
          <w:p>
            <w:pPr>
              <w:jc w:val="left"/>
              <w:rPr>
                <w:b/>
                <w:noProof/>
                <w:sz w:val="20"/>
              </w:rPr>
            </w:pPr>
            <w:r>
              <w:rPr>
                <w:b/>
                <w:noProof/>
                <w:sz w:val="20"/>
              </w:rPr>
              <w:t>Инициатива на ЕС за публична блокова верига</w:t>
            </w:r>
          </w:p>
        </w:tc>
        <w:tc>
          <w:tcPr>
            <w:tcW w:w="4536" w:type="dxa"/>
            <w:shd w:val="clear" w:color="auto" w:fill="auto"/>
          </w:tcPr>
          <w:p>
            <w:pPr>
              <w:rPr>
                <w:noProof/>
                <w:sz w:val="20"/>
              </w:rPr>
            </w:pPr>
            <w:r>
              <w:rPr>
                <w:noProof/>
                <w:sz w:val="20"/>
              </w:rPr>
              <w:t>Комисията ще проведе обществена консултация относно по-нататъшната цифровизация на регулаторната информация за дружествата, регистрирани за борсова търговия на регулираните пазари на ЕС, включително относно евентуалното привеждане в действие на Европейски портал за финансова прозрачност, базиран на технологията на споделения регистър.</w:t>
            </w:r>
          </w:p>
        </w:tc>
        <w:tc>
          <w:tcPr>
            <w:tcW w:w="1418" w:type="dxa"/>
            <w:shd w:val="clear" w:color="auto" w:fill="auto"/>
            <w:vAlign w:val="center"/>
          </w:tcPr>
          <w:p>
            <w:pPr>
              <w:jc w:val="center"/>
              <w:rPr>
                <w:noProof/>
                <w:sz w:val="20"/>
              </w:rPr>
            </w:pPr>
            <w:r>
              <w:rPr>
                <w:noProof/>
                <w:sz w:val="20"/>
              </w:rPr>
              <w:t>второ тримесечие на 2018 г.</w:t>
            </w:r>
          </w:p>
        </w:tc>
      </w:tr>
      <w:tr>
        <w:trPr>
          <w:trHeight w:val="265"/>
        </w:trPr>
        <w:tc>
          <w:tcPr>
            <w:tcW w:w="932" w:type="dxa"/>
            <w:vMerge/>
            <w:shd w:val="clear" w:color="auto" w:fill="auto"/>
            <w:vAlign w:val="center"/>
          </w:tcPr>
          <w:p>
            <w:pPr>
              <w:jc w:val="left"/>
              <w:rPr>
                <w:b/>
                <w:noProof/>
                <w:sz w:val="20"/>
              </w:rPr>
            </w:pPr>
          </w:p>
        </w:tc>
        <w:tc>
          <w:tcPr>
            <w:tcW w:w="1903" w:type="dxa"/>
            <w:vMerge/>
            <w:shd w:val="clear" w:color="auto" w:fill="auto"/>
            <w:vAlign w:val="center"/>
          </w:tcPr>
          <w:p>
            <w:pPr>
              <w:jc w:val="left"/>
              <w:rPr>
                <w:b/>
                <w:noProof/>
                <w:sz w:val="20"/>
              </w:rPr>
            </w:pPr>
          </w:p>
        </w:tc>
        <w:tc>
          <w:tcPr>
            <w:tcW w:w="4536" w:type="dxa"/>
            <w:shd w:val="clear" w:color="auto" w:fill="auto"/>
          </w:tcPr>
          <w:p>
            <w:pPr>
              <w:rPr>
                <w:noProof/>
                <w:sz w:val="20"/>
                <w:highlight w:val="yellow"/>
              </w:rPr>
            </w:pPr>
            <w:r>
              <w:rPr>
                <w:noProof/>
                <w:sz w:val="20"/>
              </w:rPr>
              <w:t>Като отчита всички необходими правни съображения, Комисията ще продължи да работи върху комплексна стратегия относно технологиите на споделения регистър и блоковата верига, която ще бъде насочена към всички сектори на икономиката, включително създаването на възможности за приложение на финансовите и регулаторните технологии в ЕС.</w:t>
            </w:r>
          </w:p>
        </w:tc>
        <w:tc>
          <w:tcPr>
            <w:tcW w:w="1418" w:type="dxa"/>
            <w:shd w:val="clear" w:color="auto" w:fill="auto"/>
            <w:vAlign w:val="center"/>
          </w:tcPr>
          <w:p>
            <w:pPr>
              <w:jc w:val="center"/>
              <w:rPr>
                <w:noProof/>
                <w:sz w:val="20"/>
              </w:rPr>
            </w:pPr>
          </w:p>
        </w:tc>
      </w:tr>
      <w:tr>
        <w:trPr>
          <w:trHeight w:val="1799"/>
        </w:trPr>
        <w:tc>
          <w:tcPr>
            <w:tcW w:w="932" w:type="dxa"/>
            <w:vMerge/>
            <w:shd w:val="clear" w:color="auto" w:fill="auto"/>
            <w:vAlign w:val="center"/>
          </w:tcPr>
          <w:p>
            <w:pPr>
              <w:jc w:val="left"/>
              <w:rPr>
                <w:b/>
                <w:noProof/>
                <w:sz w:val="20"/>
              </w:rPr>
            </w:pPr>
          </w:p>
        </w:tc>
        <w:tc>
          <w:tcPr>
            <w:tcW w:w="1903" w:type="dxa"/>
            <w:vMerge/>
            <w:shd w:val="clear" w:color="auto" w:fill="auto"/>
            <w:vAlign w:val="center"/>
          </w:tcPr>
          <w:p>
            <w:pPr>
              <w:jc w:val="left"/>
              <w:rPr>
                <w:b/>
                <w:noProof/>
                <w:sz w:val="20"/>
              </w:rPr>
            </w:pPr>
          </w:p>
        </w:tc>
        <w:tc>
          <w:tcPr>
            <w:tcW w:w="4536" w:type="dxa"/>
            <w:shd w:val="clear" w:color="auto" w:fill="auto"/>
          </w:tcPr>
          <w:p>
            <w:pPr>
              <w:rPr>
                <w:noProof/>
                <w:sz w:val="20"/>
                <w:highlight w:val="yellow"/>
              </w:rPr>
            </w:pPr>
            <w:r>
              <w:rPr>
                <w:noProof/>
                <w:sz w:val="20"/>
              </w:rPr>
              <w:t xml:space="preserve">През февруари 2018 г. Комисията приведе в действие обсерваторията и форума на ЕС за блоковата верига и предприе проучване на осъществимостта относно публична инфраструктура за блокова верига на ЕС за развитие на трансгранични услуги.  Ще бъде направена оценка на това дали блоковата верига може да бъде използвана като инфраструктура за цифрови услуги по Механизма за свързване на Европа. С подкрепата на обсерваторията и форума на ЕС и на европейските организации по стандартизация Комисията ще продължи да оценява правните аспекти, проблемите, свързани с управлението и съобразяването на мащаба, както и да подкрепя усилията за оперативна съвместимост и стандартизация, включително чрез по-нататъшни оценки на възможностите за използване на блоковата верига и нейните приложения в контекста на интернет от следващо поколение.  </w:t>
            </w:r>
          </w:p>
        </w:tc>
        <w:tc>
          <w:tcPr>
            <w:tcW w:w="1418" w:type="dxa"/>
            <w:shd w:val="clear" w:color="auto" w:fill="auto"/>
            <w:vAlign w:val="center"/>
          </w:tcPr>
          <w:p>
            <w:pPr>
              <w:jc w:val="center"/>
              <w:rPr>
                <w:noProof/>
                <w:sz w:val="20"/>
              </w:rPr>
            </w:pPr>
            <w:r>
              <w:rPr>
                <w:noProof/>
                <w:sz w:val="20"/>
              </w:rPr>
              <w:t>от първото тримесечие на 2018 г.</w:t>
            </w:r>
          </w:p>
        </w:tc>
      </w:tr>
      <w:tr>
        <w:trPr>
          <w:trHeight w:val="651"/>
        </w:trPr>
        <w:tc>
          <w:tcPr>
            <w:tcW w:w="932" w:type="dxa"/>
            <w:shd w:val="clear" w:color="auto" w:fill="auto"/>
            <w:vAlign w:val="center"/>
          </w:tcPr>
          <w:p>
            <w:pPr>
              <w:jc w:val="left"/>
              <w:rPr>
                <w:b/>
                <w:noProof/>
                <w:sz w:val="20"/>
              </w:rPr>
            </w:pPr>
            <w:r>
              <w:rPr>
                <w:b/>
                <w:noProof/>
                <w:sz w:val="20"/>
              </w:rPr>
              <w:t>Каре 7</w:t>
            </w:r>
          </w:p>
        </w:tc>
        <w:tc>
          <w:tcPr>
            <w:tcW w:w="1903" w:type="dxa"/>
            <w:shd w:val="clear" w:color="auto" w:fill="auto"/>
          </w:tcPr>
          <w:p>
            <w:pPr>
              <w:jc w:val="left"/>
              <w:rPr>
                <w:b/>
                <w:noProof/>
                <w:sz w:val="20"/>
              </w:rPr>
            </w:pPr>
            <w:r>
              <w:rPr>
                <w:b/>
                <w:noProof/>
                <w:sz w:val="20"/>
              </w:rPr>
              <w:t>Изграждане на капацитет и набиране на познания чрез лабораторията на ЕС за финансови технологии</w:t>
            </w:r>
          </w:p>
        </w:tc>
        <w:tc>
          <w:tcPr>
            <w:tcW w:w="4536" w:type="dxa"/>
            <w:shd w:val="clear" w:color="auto" w:fill="auto"/>
          </w:tcPr>
          <w:p>
            <w:pPr>
              <w:rPr>
                <w:noProof/>
                <w:sz w:val="20"/>
              </w:rPr>
            </w:pPr>
            <w:r>
              <w:rPr>
                <w:noProof/>
                <w:sz w:val="20"/>
              </w:rPr>
              <w:t>Комисията ще организира лаборатория на ЕС за финансови технологии, в рамките на която европейските и националните органи ще бъдат приканени да установят взаимодействие с доставчици на технологични решения в некомерсиални и неутрални условия под формата на целенасочени сесии относно конкретни иновации.</w:t>
            </w:r>
          </w:p>
        </w:tc>
        <w:tc>
          <w:tcPr>
            <w:tcW w:w="1418" w:type="dxa"/>
            <w:shd w:val="clear" w:color="auto" w:fill="auto"/>
            <w:vAlign w:val="center"/>
          </w:tcPr>
          <w:p>
            <w:pPr>
              <w:jc w:val="center"/>
              <w:rPr>
                <w:noProof/>
                <w:sz w:val="20"/>
              </w:rPr>
            </w:pPr>
            <w:r>
              <w:rPr>
                <w:noProof/>
                <w:sz w:val="20"/>
              </w:rPr>
              <w:t>второ тримесечие на 2018 г.</w:t>
            </w:r>
          </w:p>
        </w:tc>
      </w:tr>
    </w:tbl>
    <w:p>
      <w:pPr>
        <w:jc w:val="left"/>
        <w:rPr>
          <w:noProof/>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70C0"/>
        <w:tblLook w:val="0000" w:firstRow="0" w:lastRow="0" w:firstColumn="0" w:lastColumn="0" w:noHBand="0" w:noVBand="0"/>
      </w:tblPr>
      <w:tblGrid>
        <w:gridCol w:w="972"/>
        <w:gridCol w:w="2180"/>
        <w:gridCol w:w="4394"/>
        <w:gridCol w:w="1418"/>
      </w:tblGrid>
      <w:tr>
        <w:trPr>
          <w:trHeight w:val="526"/>
        </w:trPr>
        <w:tc>
          <w:tcPr>
            <w:tcW w:w="8789" w:type="dxa"/>
            <w:gridSpan w:val="4"/>
            <w:shd w:val="clear" w:color="auto" w:fill="0070C0"/>
          </w:tcPr>
          <w:p>
            <w:pPr>
              <w:spacing w:before="120" w:after="120"/>
              <w:rPr>
                <w:b/>
                <w:noProof/>
                <w:color w:val="FFFFFF" w:themeColor="background1"/>
                <w:szCs w:val="24"/>
              </w:rPr>
            </w:pPr>
            <w:r>
              <w:rPr>
                <w:b/>
                <w:noProof/>
                <w:color w:val="FFFFFF" w:themeColor="background1"/>
              </w:rPr>
              <w:t>УКРЕПВАНЕ НА СИГУРНОСТТА И УСТОЙЧИВОСТТА НА ФИНАНСОВИЯ СЕКТОР</w:t>
            </w:r>
          </w:p>
        </w:tc>
      </w:tr>
      <w:tr>
        <w:trPr>
          <w:trHeight w:val="1489"/>
        </w:trPr>
        <w:tc>
          <w:tcPr>
            <w:tcW w:w="972" w:type="dxa"/>
            <w:vMerge w:val="restart"/>
            <w:shd w:val="clear" w:color="auto" w:fill="auto"/>
            <w:vAlign w:val="center"/>
          </w:tcPr>
          <w:p>
            <w:pPr>
              <w:jc w:val="center"/>
              <w:rPr>
                <w:b/>
                <w:noProof/>
                <w:sz w:val="20"/>
              </w:rPr>
            </w:pPr>
            <w:r>
              <w:rPr>
                <w:b/>
                <w:noProof/>
                <w:sz w:val="20"/>
              </w:rPr>
              <w:t>Каре 8</w:t>
            </w:r>
          </w:p>
          <w:p>
            <w:pPr>
              <w:jc w:val="center"/>
              <w:rPr>
                <w:b/>
                <w:noProof/>
                <w:sz w:val="20"/>
              </w:rPr>
            </w:pPr>
          </w:p>
        </w:tc>
        <w:tc>
          <w:tcPr>
            <w:tcW w:w="2005" w:type="dxa"/>
            <w:vMerge w:val="restart"/>
            <w:shd w:val="clear" w:color="auto" w:fill="auto"/>
            <w:vAlign w:val="center"/>
          </w:tcPr>
          <w:p>
            <w:pPr>
              <w:rPr>
                <w:b/>
                <w:noProof/>
                <w:sz w:val="20"/>
              </w:rPr>
            </w:pPr>
            <w:r>
              <w:rPr>
                <w:b/>
                <w:noProof/>
                <w:sz w:val="20"/>
              </w:rPr>
              <w:t>Укрепване на устойчивостта на киберпространството във финансовия сектор</w:t>
            </w:r>
          </w:p>
        </w:tc>
        <w:tc>
          <w:tcPr>
            <w:tcW w:w="4394" w:type="dxa"/>
            <w:shd w:val="clear" w:color="auto" w:fill="auto"/>
          </w:tcPr>
          <w:p>
            <w:pPr>
              <w:rPr>
                <w:noProof/>
                <w:sz w:val="20"/>
                <w:highlight w:val="yellow"/>
              </w:rPr>
            </w:pPr>
            <w:r>
              <w:rPr>
                <w:noProof/>
                <w:sz w:val="20"/>
              </w:rPr>
              <w:t>Комисията ще организира работна среща за представители на публичния и частния сектор, за да се проучат и оценят пречките, ограничаващи споделянето на информация относно заплахите за киберсигурността между участниците на финансовите пазари, и да се идентифицират потенциалните решения, като същевременно се гарантира спазването на стандартите за защита на данните.</w:t>
            </w:r>
          </w:p>
        </w:tc>
        <w:tc>
          <w:tcPr>
            <w:tcW w:w="1418" w:type="dxa"/>
            <w:shd w:val="clear" w:color="auto" w:fill="auto"/>
            <w:vAlign w:val="center"/>
          </w:tcPr>
          <w:p>
            <w:pPr>
              <w:jc w:val="center"/>
              <w:rPr>
                <w:noProof/>
                <w:sz w:val="20"/>
              </w:rPr>
            </w:pPr>
            <w:r>
              <w:rPr>
                <w:noProof/>
                <w:sz w:val="20"/>
              </w:rPr>
              <w:t>второ тримесечие на 2018 г.</w:t>
            </w:r>
          </w:p>
        </w:tc>
      </w:tr>
      <w:tr>
        <w:trPr>
          <w:trHeight w:val="2327"/>
        </w:trPr>
        <w:tc>
          <w:tcPr>
            <w:tcW w:w="972" w:type="dxa"/>
            <w:vMerge/>
            <w:shd w:val="clear" w:color="auto" w:fill="auto"/>
            <w:vAlign w:val="center"/>
          </w:tcPr>
          <w:p>
            <w:pPr>
              <w:jc w:val="center"/>
              <w:rPr>
                <w:b/>
                <w:noProof/>
                <w:sz w:val="20"/>
              </w:rPr>
            </w:pPr>
          </w:p>
        </w:tc>
        <w:tc>
          <w:tcPr>
            <w:tcW w:w="2005" w:type="dxa"/>
            <w:vMerge/>
            <w:shd w:val="clear" w:color="auto" w:fill="auto"/>
          </w:tcPr>
          <w:p>
            <w:pPr>
              <w:rPr>
                <w:noProof/>
                <w:sz w:val="20"/>
              </w:rPr>
            </w:pPr>
          </w:p>
        </w:tc>
        <w:tc>
          <w:tcPr>
            <w:tcW w:w="4394" w:type="dxa"/>
            <w:shd w:val="clear" w:color="auto" w:fill="auto"/>
          </w:tcPr>
          <w:p>
            <w:pPr>
              <w:rPr>
                <w:noProof/>
                <w:sz w:val="20"/>
              </w:rPr>
            </w:pPr>
            <w:r>
              <w:rPr>
                <w:noProof/>
                <w:sz w:val="20"/>
              </w:rPr>
              <w:t>Комисията приканва ЕНО да очертаят съществуващите надзорни практики във всички финансови сектори, свързани с изискванията за сигурност и управление в рамките на ИКТ, и когато е уместно: а) да обмислят издаването на насоки за сближаване на надзорните практики и прилагане на изискванията за управление и намаляване на риска в областта на ИКТ във финансовия сектор на ЕС, и б) при необходимост да предоставят на Комисията технически съвети относно необходимостта от законодателни подобрения.</w:t>
            </w:r>
          </w:p>
        </w:tc>
        <w:tc>
          <w:tcPr>
            <w:tcW w:w="1418" w:type="dxa"/>
            <w:shd w:val="clear" w:color="auto" w:fill="auto"/>
            <w:vAlign w:val="center"/>
          </w:tcPr>
          <w:p>
            <w:pPr>
              <w:jc w:val="center"/>
              <w:rPr>
                <w:noProof/>
                <w:sz w:val="20"/>
              </w:rPr>
            </w:pPr>
            <w:r>
              <w:rPr>
                <w:noProof/>
                <w:sz w:val="20"/>
              </w:rPr>
              <w:t>първо тримесечие на 2019 г.</w:t>
            </w:r>
          </w:p>
        </w:tc>
      </w:tr>
      <w:tr>
        <w:trPr>
          <w:trHeight w:val="1276"/>
        </w:trPr>
        <w:tc>
          <w:tcPr>
            <w:tcW w:w="972" w:type="dxa"/>
            <w:vMerge/>
            <w:shd w:val="clear" w:color="auto" w:fill="auto"/>
            <w:vAlign w:val="center"/>
          </w:tcPr>
          <w:p>
            <w:pPr>
              <w:jc w:val="center"/>
              <w:rPr>
                <w:b/>
                <w:noProof/>
                <w:sz w:val="20"/>
              </w:rPr>
            </w:pPr>
          </w:p>
        </w:tc>
        <w:tc>
          <w:tcPr>
            <w:tcW w:w="2005" w:type="dxa"/>
            <w:vMerge/>
            <w:shd w:val="clear" w:color="auto" w:fill="auto"/>
          </w:tcPr>
          <w:p>
            <w:pPr>
              <w:rPr>
                <w:noProof/>
                <w:sz w:val="20"/>
              </w:rPr>
            </w:pPr>
          </w:p>
        </w:tc>
        <w:tc>
          <w:tcPr>
            <w:tcW w:w="4394" w:type="dxa"/>
            <w:shd w:val="clear" w:color="auto" w:fill="auto"/>
          </w:tcPr>
          <w:p>
            <w:pPr>
              <w:rPr>
                <w:noProof/>
                <w:sz w:val="20"/>
              </w:rPr>
            </w:pPr>
            <w:r>
              <w:rPr>
                <w:noProof/>
                <w:sz w:val="20"/>
              </w:rPr>
              <w:t>Комисията приканва ЕНО да направят оценка на разходите и ползите от разработването на съгласувана рамка за изпитване на устойчивостта срещу кибератаки за значими пазарни участници и инфраструктури в целия финансов сектор на ЕС.</w:t>
            </w:r>
          </w:p>
        </w:tc>
        <w:tc>
          <w:tcPr>
            <w:tcW w:w="1418" w:type="dxa"/>
            <w:shd w:val="clear" w:color="auto" w:fill="auto"/>
            <w:vAlign w:val="center"/>
          </w:tcPr>
          <w:p>
            <w:pPr>
              <w:jc w:val="center"/>
              <w:rPr>
                <w:noProof/>
                <w:sz w:val="20"/>
              </w:rPr>
            </w:pPr>
            <w:r>
              <w:rPr>
                <w:noProof/>
                <w:sz w:val="20"/>
              </w:rPr>
              <w:t>четвърто тримесечие на 2018 г.</w:t>
            </w:r>
          </w:p>
        </w:tc>
      </w:tr>
    </w:tbl>
    <w:p>
      <w:pPr>
        <w:rPr>
          <w:noProof/>
          <w:szCs w:val="24"/>
        </w:rPr>
      </w:pPr>
    </w:p>
    <w:p>
      <w:pPr>
        <w:rPr>
          <w:noProof/>
        </w:rPr>
      </w:pP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9929069"/>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734306"/>
    <w:multiLevelType w:val="multilevel"/>
    <w:tmpl w:val="3760AEE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580C0EF5"/>
    <w:multiLevelType w:val="hybridMultilevel"/>
    <w:tmpl w:val="1B526A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removePersonalInformation/>
  <w:removeDateAndTime/>
  <w:hideSpellingErrors/>
  <w:hideGrammaticalErrors/>
  <w:revisionView w:markup="0"/>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u1082?\u1098?\u1084?"/>
    <w:docVar w:name="LW_ANNEX_NBR_FIRST" w:val="1"/>
    <w:docVar w:name="LW_ANNEX_NBR_LAST" w:val="1"/>
    <w:docVar w:name="LW_ANNEX_UNIQUE" w:val="0"/>
    <w:docVar w:name="LW_CORRIGENDUM" w:val="&lt;UNUSED&gt;"/>
    <w:docVar w:name="LW_COVERPAGE_EXISTS" w:val="True"/>
    <w:docVar w:name="LW_COVERPAGE_GUID" w:val="F47206AC-B03C-462A-B9CF-A28D3FB5DF68"/>
    <w:docVar w:name="LW_COVERPAGE_TYPE" w:val="1"/>
    <w:docVar w:name="LW_CROSSREFERENCE" w:val="&lt;UNUSED&gt;"/>
    <w:docVar w:name="LW_DocType" w:val="NORMAL"/>
    <w:docVar w:name="LW_EMISSION" w:val="8.3.2018"/>
    <w:docVar w:name="LW_EMISSION_ISODATE" w:val="2018-03-08"/>
    <w:docVar w:name="LW_EMISSION_LOCATION" w:val="BRX"/>
    <w:docVar w:name="LW_EMISSION_PREFIX" w:val="Брюксел, "/>
    <w:docVar w:name="LW_EMISSION_SUFFIX" w:val="\u1075?."/>
    <w:docVar w:name="LW_ID_DOCTYPE_NONLW" w:val="CP-039"/>
    <w:docVar w:name="LW_LANGUE" w:val="BG"/>
    <w:docVar w:name="LW_LEVEL_OF_SENSITIVITY" w:val="Standard treatment"/>
    <w:docVar w:name="LW_NOM.INST" w:val="\u1045?\u1042?\u1056?\u1054?\u1055?\u1045?\u1049?\u1057?\u1050?\u1040? \u1050?\u1054?\u1052?\u1048?\u1057?\u1048?\u1071?"/>
    <w:docVar w:name="LW_NOM.INST_JOINTDOC" w:val="&lt;EMPTY&gt;"/>
    <w:docVar w:name="LW_OBJETACTEPRINCIPAL.CP" w:val="\u1055?\u1083?\u1072?\u1085? \u1079?\u1072? \u1076?\u1077?\u1081?\u1089?\u1090?\u1074?\u1080?\u1077? \u1074? \u1086?\u1073?\u1083?\u1072?\u1089?\u1090?\u1090?\u1072? \u1085?\u1072? \u1092?\u1080?\u1085?\u1072?\u1085?\u1089?\u1086?\u1074?\u1080?\u1090?\u1077? \u1090?\u1077?\u1093?\u1085?\u1086?\u1083?\u1086?\u1075?\u1080?\u1080? \u8212? \u1079?\u1072? \u1087?\u1086?-\u1082?\u1086?\u1085?\u1082?\u1091?\u1088?\u1077?\u1085?\u1090?\u1086?\u1089?\u1087?\u1086?\u1089?\u1086?\u1073?\u1077?\u1085? \u1080? \u1080?\u1085?\u1086?\u1074?\u1072?\u1090?\u1080?\u1074?\u1077?\u1085? \u1077?\u1074?\u1088?\u1086?\u1087?\u1077?\u1081?\u1089?\u1082?\u1080? \u1092?\u1080?\u1085?\u1072?\u1085?\u1089?\u1086?\u1074? \u1089?\u1077?\u1082?\u1090?\u1086?\u1088?_x000b_"/>
    <w:docVar w:name="LW_PART_NBR" w:val="1"/>
    <w:docVar w:name="LW_PART_NBR_TOTAL" w:val="1"/>
    <w:docVar w:name="LW_REF.INST.NEW" w:val="COM"/>
    <w:docVar w:name="LW_REF.INST.NEW_ADOPTED" w:val="final"/>
    <w:docVar w:name="LW_REF.INST.NEW_TEXT" w:val="(2018) 10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CP" w:val="\u1055?\u1056?\u1048?\u1051?\u1054?\u1046?\u1045?\u1053?\u1048?\u1045?_x000b_"/>
    <w:docVar w:name="LW_TYPEACTEPRINCIPAL.CP" w:val="\u1057?\u1066?\u1054?\u1041?\u1065?\u1045?\u1053?\u1048?\u1045? \u1053?\u1040? \u1050?\u1054?\u1052?\u1048?\u1057?\u1048?\u1071?\u1058?\u1040? \u1044?\u1054? \u1045?\u1042?\u1056?\u1054?\u1055?\u1045?\u1049?\u1057?\u1050?\u1048?\u1071? \u1055?\u1040?\u1056?\u1051?\u1040?\u1052?\u1045?\u1053?\u1058?, \u1057?\u1066?\u1042?\u1045?\u1058?\u1040?, \u1045?\u1042?\u1056?\u1054?\u1055?\u1045?\u1049?\u1057?\u1050?\u1040?\u1058?\u1040? \u1062?\u1045?\u1053?\u1058?\u1056?\u1040?\u1051?\u1053?\u1040? \u1041?\u1040?\u1053?\u1050?\u1040?, \u1045?\u1042?\u1056?\u1054?\u1055?\u1045?\u1049?\u1057?\u1050?\u1048?\u1071? \u1048?\u1050?\u1054?\u1053?\u1054?\u1052?\u1048?\u1063?\u1045?\u1057?\u1050?\u1048? \u1048? \u1057?\u1054?\u1062?\u1048?\u1040?\u1051?\u1045?\u1053? \u1050?\u1054?\u1052?\u1048?\u1058?\u1045?\u1058? \u1048? \u1050?\u1054?\u1052?\u1048?\u1058?\u1045?\u1058?\u1040? \u1053?\u1040? \u1056?\u1045?\u1043?\u1048?\u1054?\u1053?\u1048?\u1058?\u1045?"/>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40" w:line="240" w:lineRule="auto"/>
      <w:jc w:val="both"/>
    </w:pPr>
    <w:rPr>
      <w:rFonts w:ascii="Times New Roman" w:eastAsia="Times New Roman" w:hAnsi="Times New Roman" w:cs="Times New Roman"/>
      <w:sz w:val="24"/>
      <w:szCs w:val="20"/>
    </w:rPr>
  </w:style>
  <w:style w:type="paragraph" w:styleId="Heading1">
    <w:name w:val="heading 1"/>
    <w:basedOn w:val="Normal"/>
    <w:next w:val="Text1"/>
    <w:link w:val="Heading1Char"/>
    <w:qFormat/>
    <w:pPr>
      <w:keepNext/>
      <w:numPr>
        <w:numId w:val="1"/>
      </w:numPr>
      <w:spacing w:before="240"/>
      <w:outlineLvl w:val="0"/>
    </w:pPr>
    <w:rPr>
      <w:b/>
      <w:smallCaps/>
    </w:rPr>
  </w:style>
  <w:style w:type="paragraph" w:styleId="Heading2">
    <w:name w:val="heading 2"/>
    <w:basedOn w:val="Normal"/>
    <w:next w:val="Normal"/>
    <w:link w:val="Heading2Char"/>
    <w:qFormat/>
    <w:pPr>
      <w:keepNext/>
      <w:numPr>
        <w:ilvl w:val="1"/>
        <w:numId w:val="1"/>
      </w:numPr>
      <w:outlineLvl w:val="1"/>
    </w:pPr>
    <w:rPr>
      <w:b/>
    </w:rPr>
  </w:style>
  <w:style w:type="paragraph" w:styleId="Heading3">
    <w:name w:val="heading 3"/>
    <w:basedOn w:val="Normal"/>
    <w:next w:val="Normal"/>
    <w:link w:val="Heading3Char"/>
    <w:qFormat/>
    <w:pPr>
      <w:keepNext/>
      <w:numPr>
        <w:ilvl w:val="2"/>
        <w:numId w:val="1"/>
      </w:numPr>
      <w:outlineLvl w:val="2"/>
    </w:pPr>
    <w:rPr>
      <w:i/>
    </w:rPr>
  </w:style>
  <w:style w:type="paragraph" w:styleId="Heading4">
    <w:name w:val="heading 4"/>
    <w:basedOn w:val="Normal"/>
    <w:next w:val="Normal"/>
    <w:link w:val="Heading4Char"/>
    <w:qFormat/>
    <w:pPr>
      <w:keepNext/>
      <w:numPr>
        <w:ilvl w:val="3"/>
        <w:numId w:val="1"/>
      </w:numPr>
      <w:outlineLvl w:val="3"/>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styleId="Header">
    <w:name w:val="header"/>
    <w:basedOn w:val="Normal"/>
    <w:link w:val="HeaderChar"/>
    <w:uiPriority w:val="99"/>
    <w:unhideWhenUsed/>
    <w:pPr>
      <w:tabs>
        <w:tab w:val="center" w:pos="4513"/>
        <w:tab w:val="right" w:pos="9026"/>
      </w:tabs>
      <w:spacing w:after="0"/>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0"/>
      <w:lang w:eastAsia="bg-BG"/>
    </w:rPr>
  </w:style>
  <w:style w:type="paragraph" w:styleId="Footer">
    <w:name w:val="footer"/>
    <w:basedOn w:val="Normal"/>
    <w:link w:val="FooterChar"/>
    <w:uiPriority w:val="99"/>
    <w:unhideWhenUsed/>
    <w:pPr>
      <w:tabs>
        <w:tab w:val="center" w:pos="4513"/>
        <w:tab w:val="right" w:pos="9026"/>
      </w:tabs>
      <w:spacing w:after="0"/>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0"/>
      <w:lang w:eastAsia="bg-BG"/>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0"/>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rFonts w:ascii="Times New Roman" w:eastAsia="Times New Roman" w:hAnsi="Times New Roman" w:cs="Times New Roman"/>
      <w:b/>
      <w:sz w:val="32"/>
      <w:szCs w:val="20"/>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0"/>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rFonts w:ascii="Times New Roman" w:eastAsia="Times New Roman" w:hAnsi="Times New Roman" w:cs="Times New Roman"/>
      <w:b/>
      <w:sz w:val="32"/>
      <w:szCs w:val="20"/>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bg-BG"/>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eastAsia="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eastAsia="bg-BG"/>
    </w:rPr>
  </w:style>
  <w:style w:type="character" w:customStyle="1" w:styleId="Heading1Char">
    <w:name w:val="Heading 1 Char"/>
    <w:basedOn w:val="DefaultParagraphFont"/>
    <w:link w:val="Heading1"/>
    <w:rPr>
      <w:rFonts w:ascii="Times New Roman" w:eastAsia="Times New Roman" w:hAnsi="Times New Roman" w:cs="Times New Roman"/>
      <w:b/>
      <w:smallCaps/>
      <w:sz w:val="24"/>
      <w:szCs w:val="20"/>
      <w:lang w:eastAsia="bg-BG"/>
    </w:rPr>
  </w:style>
  <w:style w:type="character" w:customStyle="1" w:styleId="Heading2Char">
    <w:name w:val="Heading 2 Char"/>
    <w:basedOn w:val="DefaultParagraphFont"/>
    <w:link w:val="Heading2"/>
    <w:rPr>
      <w:rFonts w:ascii="Times New Roman" w:eastAsia="Times New Roman" w:hAnsi="Times New Roman" w:cs="Times New Roman"/>
      <w:b/>
      <w:sz w:val="24"/>
      <w:szCs w:val="20"/>
      <w:lang w:eastAsia="bg-BG"/>
    </w:rPr>
  </w:style>
  <w:style w:type="character" w:customStyle="1" w:styleId="Heading3Char">
    <w:name w:val="Heading 3 Char"/>
    <w:basedOn w:val="DefaultParagraphFont"/>
    <w:link w:val="Heading3"/>
    <w:rPr>
      <w:rFonts w:ascii="Times New Roman" w:eastAsia="Times New Roman" w:hAnsi="Times New Roman" w:cs="Times New Roman"/>
      <w:i/>
      <w:sz w:val="24"/>
      <w:szCs w:val="20"/>
      <w:lang w:eastAsia="bg-BG"/>
    </w:rPr>
  </w:style>
  <w:style w:type="character" w:customStyle="1" w:styleId="Heading4Char">
    <w:name w:val="Heading 4 Char"/>
    <w:basedOn w:val="DefaultParagraphFont"/>
    <w:link w:val="Heading4"/>
    <w:rPr>
      <w:rFonts w:ascii="Times New Roman" w:eastAsia="Times New Roman" w:hAnsi="Times New Roman" w:cs="Times New Roman"/>
      <w:sz w:val="24"/>
      <w:szCs w:val="20"/>
      <w:lang w:eastAsia="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40" w:line="240" w:lineRule="auto"/>
      <w:jc w:val="both"/>
    </w:pPr>
    <w:rPr>
      <w:rFonts w:ascii="Times New Roman" w:eastAsia="Times New Roman" w:hAnsi="Times New Roman" w:cs="Times New Roman"/>
      <w:sz w:val="24"/>
      <w:szCs w:val="20"/>
    </w:rPr>
  </w:style>
  <w:style w:type="paragraph" w:styleId="Heading1">
    <w:name w:val="heading 1"/>
    <w:basedOn w:val="Normal"/>
    <w:next w:val="Text1"/>
    <w:link w:val="Heading1Char"/>
    <w:qFormat/>
    <w:pPr>
      <w:keepNext/>
      <w:numPr>
        <w:numId w:val="1"/>
      </w:numPr>
      <w:spacing w:before="240"/>
      <w:outlineLvl w:val="0"/>
    </w:pPr>
    <w:rPr>
      <w:b/>
      <w:smallCaps/>
    </w:rPr>
  </w:style>
  <w:style w:type="paragraph" w:styleId="Heading2">
    <w:name w:val="heading 2"/>
    <w:basedOn w:val="Normal"/>
    <w:next w:val="Normal"/>
    <w:link w:val="Heading2Char"/>
    <w:qFormat/>
    <w:pPr>
      <w:keepNext/>
      <w:numPr>
        <w:ilvl w:val="1"/>
        <w:numId w:val="1"/>
      </w:numPr>
      <w:outlineLvl w:val="1"/>
    </w:pPr>
    <w:rPr>
      <w:b/>
    </w:rPr>
  </w:style>
  <w:style w:type="paragraph" w:styleId="Heading3">
    <w:name w:val="heading 3"/>
    <w:basedOn w:val="Normal"/>
    <w:next w:val="Normal"/>
    <w:link w:val="Heading3Char"/>
    <w:qFormat/>
    <w:pPr>
      <w:keepNext/>
      <w:numPr>
        <w:ilvl w:val="2"/>
        <w:numId w:val="1"/>
      </w:numPr>
      <w:outlineLvl w:val="2"/>
    </w:pPr>
    <w:rPr>
      <w:i/>
    </w:rPr>
  </w:style>
  <w:style w:type="paragraph" w:styleId="Heading4">
    <w:name w:val="heading 4"/>
    <w:basedOn w:val="Normal"/>
    <w:next w:val="Normal"/>
    <w:link w:val="Heading4Char"/>
    <w:qFormat/>
    <w:pPr>
      <w:keepNext/>
      <w:numPr>
        <w:ilvl w:val="3"/>
        <w:numId w:val="1"/>
      </w:numPr>
      <w:outlineLvl w:val="3"/>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styleId="Header">
    <w:name w:val="header"/>
    <w:basedOn w:val="Normal"/>
    <w:link w:val="HeaderChar"/>
    <w:uiPriority w:val="99"/>
    <w:unhideWhenUsed/>
    <w:pPr>
      <w:tabs>
        <w:tab w:val="center" w:pos="4513"/>
        <w:tab w:val="right" w:pos="9026"/>
      </w:tabs>
      <w:spacing w:after="0"/>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0"/>
      <w:lang w:eastAsia="bg-BG"/>
    </w:rPr>
  </w:style>
  <w:style w:type="paragraph" w:styleId="Footer">
    <w:name w:val="footer"/>
    <w:basedOn w:val="Normal"/>
    <w:link w:val="FooterChar"/>
    <w:uiPriority w:val="99"/>
    <w:unhideWhenUsed/>
    <w:pPr>
      <w:tabs>
        <w:tab w:val="center" w:pos="4513"/>
        <w:tab w:val="right" w:pos="9026"/>
      </w:tabs>
      <w:spacing w:after="0"/>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0"/>
      <w:lang w:eastAsia="bg-BG"/>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0"/>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rFonts w:ascii="Times New Roman" w:eastAsia="Times New Roman" w:hAnsi="Times New Roman" w:cs="Times New Roman"/>
      <w:b/>
      <w:sz w:val="32"/>
      <w:szCs w:val="20"/>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0"/>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rFonts w:ascii="Times New Roman" w:eastAsia="Times New Roman" w:hAnsi="Times New Roman" w:cs="Times New Roman"/>
      <w:b/>
      <w:sz w:val="32"/>
      <w:szCs w:val="20"/>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bg-BG"/>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eastAsia="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eastAsia="bg-BG"/>
    </w:rPr>
  </w:style>
  <w:style w:type="character" w:customStyle="1" w:styleId="Heading1Char">
    <w:name w:val="Heading 1 Char"/>
    <w:basedOn w:val="DefaultParagraphFont"/>
    <w:link w:val="Heading1"/>
    <w:rPr>
      <w:rFonts w:ascii="Times New Roman" w:eastAsia="Times New Roman" w:hAnsi="Times New Roman" w:cs="Times New Roman"/>
      <w:b/>
      <w:smallCaps/>
      <w:sz w:val="24"/>
      <w:szCs w:val="20"/>
      <w:lang w:eastAsia="bg-BG"/>
    </w:rPr>
  </w:style>
  <w:style w:type="character" w:customStyle="1" w:styleId="Heading2Char">
    <w:name w:val="Heading 2 Char"/>
    <w:basedOn w:val="DefaultParagraphFont"/>
    <w:link w:val="Heading2"/>
    <w:rPr>
      <w:rFonts w:ascii="Times New Roman" w:eastAsia="Times New Roman" w:hAnsi="Times New Roman" w:cs="Times New Roman"/>
      <w:b/>
      <w:sz w:val="24"/>
      <w:szCs w:val="20"/>
      <w:lang w:eastAsia="bg-BG"/>
    </w:rPr>
  </w:style>
  <w:style w:type="character" w:customStyle="1" w:styleId="Heading3Char">
    <w:name w:val="Heading 3 Char"/>
    <w:basedOn w:val="DefaultParagraphFont"/>
    <w:link w:val="Heading3"/>
    <w:rPr>
      <w:rFonts w:ascii="Times New Roman" w:eastAsia="Times New Roman" w:hAnsi="Times New Roman" w:cs="Times New Roman"/>
      <w:i/>
      <w:sz w:val="24"/>
      <w:szCs w:val="20"/>
      <w:lang w:eastAsia="bg-BG"/>
    </w:rPr>
  </w:style>
  <w:style w:type="character" w:customStyle="1" w:styleId="Heading4Char">
    <w:name w:val="Heading 4 Char"/>
    <w:basedOn w:val="DefaultParagraphFont"/>
    <w:link w:val="Heading4"/>
    <w:rPr>
      <w:rFonts w:ascii="Times New Roman" w:eastAsia="Times New Roman" w:hAnsi="Times New Roman" w:cs="Times New Roman"/>
      <w:sz w:val="24"/>
      <w:szCs w:val="20"/>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DD2639-9BBC-491E-942E-7EAB14E4FC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1233</Words>
  <Characters>7602</Characters>
  <Application>Microsoft Office Word</Application>
  <DocSecurity>0</DocSecurity>
  <Lines>330</Lines>
  <Paragraphs>67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2018-03-06T09:12:00Z</dcterms:created>
  <dcterms:modified xsi:type="dcterms:W3CDTF">2018-03-19T08:31:00Z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First annex">
    <vt:lpwstr>1</vt:lpwstr>
  </property>
  <property fmtid="{D5CDD505-2E9C-101B-9397-08002B2CF9AE}" pid="4" name="Last annex">
    <vt:lpwstr>1</vt:lpwstr>
  </property>
  <property fmtid="{D5CDD505-2E9C-101B-9397-08002B2CF9AE}" pid="5" name="Unique annex">
    <vt:lpwstr>0</vt:lpwstr>
  </property>
  <property fmtid="{D5CDD505-2E9C-101B-9397-08002B2CF9AE}" pid="6" name="Part">
    <vt:lpwstr>1</vt:lpwstr>
  </property>
  <property fmtid="{D5CDD505-2E9C-101B-9397-08002B2CF9AE}" pid="7" name="Total parts">
    <vt:lpwstr>1</vt:lpwstr>
  </property>
  <property fmtid="{D5CDD505-2E9C-101B-9397-08002B2CF9AE}" pid="8" name="DocStatus">
    <vt:lpwstr>Green</vt:lpwstr>
  </property>
</Properties>
</file>