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A345B796-38E2-4195-A62D-FFC654D36D57" style="width:450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jc w:val="center"/>
        <w:rPr>
          <w:b/>
          <w:noProof/>
        </w:rPr>
      </w:pPr>
      <w:r>
        <w:rPr>
          <w:b/>
          <w:noProof/>
        </w:rPr>
        <w:t>Modifications de l’annexe IV du règlement (UE) nº 168/2013</w:t>
      </w:r>
    </w:p>
    <w:p>
      <w:pPr>
        <w:rPr>
          <w:noProof/>
        </w:rPr>
      </w:pPr>
      <w:r>
        <w:rPr>
          <w:noProof/>
        </w:rPr>
        <w:t>Dans l’annexe IV du règlement (UE) nº 168/2013, le tableau est modifié comme suit:</w:t>
      </w:r>
    </w:p>
    <w:p>
      <w:pPr>
        <w:pStyle w:val="Point0"/>
        <w:ind w:left="1570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les points 1.1.2.1, 1.1.2.2 et 1.1.2.3 sont remplacés par le texte suivant: </w:t>
      </w:r>
    </w:p>
    <w:tbl>
      <w:tblPr>
        <w:tblW w:w="4594" w:type="pct"/>
        <w:tblCellSpacing w:w="0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944"/>
        <w:gridCol w:w="1393"/>
        <w:gridCol w:w="1201"/>
        <w:gridCol w:w="1136"/>
        <w:gridCol w:w="1838"/>
      </w:tblGrid>
      <w:tr>
        <w:trPr>
          <w:tblCellSpacing w:w="0" w:type="dxa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«1.1.2.1.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Euro 4: annexe VI, section A1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L1e, L2e, L6e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1.1.2017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1.1.2018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31.12.2020;</w:t>
            </w:r>
            <w:r>
              <w:rPr>
                <w:noProof/>
              </w:rPr>
              <w:t xml:space="preserve"> pour L2e-U et </w:t>
            </w:r>
            <w:r>
              <w:rPr>
                <w:noProof/>
                <w:sz w:val="22"/>
              </w:rPr>
              <w:t>L6e-B: 31.12.2022</w:t>
            </w:r>
          </w:p>
        </w:tc>
      </w:tr>
      <w:tr>
        <w:trPr>
          <w:tblCellSpacing w:w="0" w:type="dxa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1.1.2.2.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Euro 4: annexe VI, section A1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L3e, L4e, L5e,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L7e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1.1.2016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1.1.2017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31.12.2020; pour L3e-AxE et L3e-AxT: 31.12.2022</w:t>
            </w:r>
          </w:p>
        </w:tc>
      </w:tr>
      <w:tr>
        <w:trPr>
          <w:tblCellSpacing w:w="0" w:type="dxa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1.1.2.3.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Euro 5: annexe VI, section A2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L1e-L7e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1.1.2020;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pour L2e-U, L3e-AxE ,L3e-AxT et L6e-B: 1.1.2022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1.1.2021;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pour L2e-U, L3e-AxE, L3e-AxT et L6e-B: 1.1.2023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»;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b)</w:t>
      </w:r>
      <w:r>
        <w:rPr>
          <w:noProof/>
        </w:rPr>
        <w:tab/>
        <w:t xml:space="preserve">les points 1.8.1, 1.8.2 et 1.8.3 sont remplacés par le texte suivant: </w:t>
      </w:r>
    </w:p>
    <w:tbl>
      <w:tblPr>
        <w:tblW w:w="4594" w:type="pct"/>
        <w:tblCellSpacing w:w="0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253"/>
        <w:gridCol w:w="1420"/>
        <w:gridCol w:w="852"/>
        <w:gridCol w:w="853"/>
        <w:gridCol w:w="1276"/>
      </w:tblGrid>
      <w:tr>
        <w:trPr>
          <w:tblCellSpacing w:w="0" w:type="dxa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«1.8.1.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Exigences fonctionnelles OBD I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L3e, L4e, </w:t>
            </w:r>
            <w:r>
              <w:rPr>
                <w:rFonts w:eastAsia="Times New Roman"/>
                <w:noProof/>
                <w:sz w:val="22"/>
              </w:rPr>
              <w:br/>
            </w:r>
            <w:r>
              <w:rPr>
                <w:noProof/>
                <w:sz w:val="22"/>
              </w:rPr>
              <w:t>L5e-A, L7e-A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1.1.2016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1.1.2017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31.12.2020</w:t>
            </w: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Procédure d’essai environnemental OBD I (essai de type VIII)</w:t>
            </w: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Seuils des essais environnementaux OBD I, annexe VI, section B1</w:t>
            </w: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1.8.2.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Exigences fonctionnelles OBD I, y compris tout mode opératoire qui réduit de façon significative le couple moteur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L3e, L4e, L5e, L7e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1.1.2020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31.12.2024</w:t>
            </w: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Procédure d’essai environnemental OBD I (essai de type VIII)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Seuils des essais environnementaux OBD I, annexe VI, section B1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1.8.3.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Exigences fonctionnelles OBD I, y compris tout mode opératoire qui réduit de façon significative le couple moteur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L3e, L4e, L5e, L7e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1.1.2024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»;</w:t>
            </w: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Procédure d’essai environnemental OBD I (essai de type VIII)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Seuils des essais environnementaux OBD I, annexe VI, section B2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lastRenderedPageBreak/>
        <w:t>c)</w:t>
      </w:r>
      <w:r>
        <w:rPr>
          <w:noProof/>
        </w:rPr>
        <w:tab/>
        <w:t>les points suivants sont insérés:</w:t>
      </w:r>
    </w:p>
    <w:tbl>
      <w:tblPr>
        <w:tblW w:w="4594" w:type="pct"/>
        <w:tblCellSpacing w:w="0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377"/>
        <w:gridCol w:w="1245"/>
        <w:gridCol w:w="846"/>
        <w:gridCol w:w="846"/>
        <w:gridCol w:w="1365"/>
      </w:tblGrid>
      <w:tr>
        <w:trPr>
          <w:tblCellSpacing w:w="0" w:type="dxa"/>
        </w:trPr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«1.8.4.</w:t>
            </w: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Exigences fonctionnelles OBD II</w:t>
            </w:r>
          </w:p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à l’exception de la surveillance du catalyseur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L3e, L4e,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L5e-A, L7e-A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1.1.2020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1.1.2021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31.12.2024</w:t>
            </w:r>
          </w:p>
        </w:tc>
      </w:tr>
      <w:tr>
        <w:trPr>
          <w:tblCellSpacing w:w="0" w:type="dxa"/>
        </w:trPr>
        <w:tc>
          <w:tcPr>
            <w:tcW w:w="4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Procédures d’essai environnemental OBD II (essai de type VIII)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  <w:tr>
        <w:trPr>
          <w:tblCellSpacing w:w="0" w:type="dxa"/>
        </w:trPr>
        <w:tc>
          <w:tcPr>
            <w:tcW w:w="4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Seuils des essais environnementaux OBD II, annexe VI, section B1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  <w:tr>
        <w:trPr>
          <w:tblCellSpacing w:w="0" w:type="dxa"/>
        </w:trPr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1.8.5.</w:t>
            </w: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Exigences fonctionnelles OBD II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L3e, L4e, L5e</w:t>
            </w:r>
            <w:r>
              <w:rPr>
                <w:noProof/>
              </w:rPr>
              <w:noBreakHyphen/>
            </w:r>
            <w:r>
              <w:rPr>
                <w:noProof/>
                <w:sz w:val="22"/>
              </w:rPr>
              <w:t>A, L7e-A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1.1.2024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1.1.2025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»;</w:t>
            </w:r>
          </w:p>
        </w:tc>
      </w:tr>
      <w:tr>
        <w:trPr>
          <w:tblCellSpacing w:w="0" w:type="dxa"/>
        </w:trPr>
        <w:tc>
          <w:tcPr>
            <w:tcW w:w="4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Procédures d’essai environnemental OBD II (essai de type VIII)</w:t>
            </w:r>
          </w:p>
        </w:tc>
        <w:tc>
          <w:tcPr>
            <w:tcW w:w="7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  <w:tr>
        <w:trPr>
          <w:tblCellSpacing w:w="0" w:type="dxa"/>
        </w:trPr>
        <w:tc>
          <w:tcPr>
            <w:tcW w:w="4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Seuils des essais environnementaux OBD II, annexe VI, section B2</w:t>
            </w:r>
          </w:p>
        </w:tc>
        <w:tc>
          <w:tcPr>
            <w:tcW w:w="7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</w:tbl>
    <w:p>
      <w:pPr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d)</w:t>
      </w:r>
      <w:r>
        <w:rPr>
          <w:noProof/>
        </w:rPr>
        <w:tab/>
        <w:t>les points 1.9.1 et 1.9.2 sont remplacés par le texte suivant:</w:t>
      </w:r>
    </w:p>
    <w:tbl>
      <w:tblPr>
        <w:tblW w:w="4592" w:type="pct"/>
        <w:tblCellSpacing w:w="0" w:type="dxa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078"/>
        <w:gridCol w:w="1394"/>
        <w:gridCol w:w="1393"/>
        <w:gridCol w:w="1393"/>
        <w:gridCol w:w="1394"/>
      </w:tblGrid>
      <w:tr>
        <w:trPr>
          <w:trHeight w:val="626"/>
          <w:tblCellSpacing w:w="0" w:type="dxa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«1.9.1.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Procédure d’essai de niveau sonore et valeurs limites, annexe VI, section D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L1e, L2e, L6e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1.1.2017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  <w:tr>
        <w:trPr>
          <w:trHeight w:val="626"/>
          <w:tblCellSpacing w:w="0" w:type="dxa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1.9.2.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Procédure d’essai de niveau sonore et valeurs limites (3), annexe VI, section D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L3e, L4e, L5e, L7e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1.1.2017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»;</w:t>
            </w:r>
          </w:p>
        </w:tc>
      </w:tr>
    </w:tbl>
    <w:p>
      <w:pPr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e)</w:t>
      </w:r>
      <w:r>
        <w:rPr>
          <w:noProof/>
        </w:rPr>
        <w:tab/>
        <w:t>le point 1.9.4 est remplacé par le texte suivant:</w:t>
      </w:r>
    </w:p>
    <w:tbl>
      <w:tblPr>
        <w:tblW w:w="4594" w:type="pct"/>
        <w:tblCellSpacing w:w="0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388"/>
        <w:gridCol w:w="1403"/>
        <w:gridCol w:w="856"/>
        <w:gridCol w:w="670"/>
        <w:gridCol w:w="1412"/>
      </w:tblGrid>
      <w:tr>
        <w:trPr>
          <w:tblCellSpacing w:w="0" w:type="dxa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«1.9.4.</w:t>
            </w:r>
          </w:p>
        </w:tc>
        <w:tc>
          <w:tcPr>
            <w:tcW w:w="2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Règlements CEE-ONU n</w:t>
            </w:r>
            <w:r>
              <w:rPr>
                <w:noProof/>
                <w:sz w:val="22"/>
                <w:vertAlign w:val="superscript"/>
              </w:rPr>
              <w:t>os</w:t>
            </w:r>
            <w:r>
              <w:rPr>
                <w:noProof/>
                <w:sz w:val="22"/>
              </w:rPr>
              <w:t xml:space="preserve"> 9, 41, 63 et 92 ainsi que nouvelles valeurs limites correspondantes proposées par la Commission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L1e-L7e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».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3EA69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02C33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D63E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9640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C1276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E7CA5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DAA58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1CE2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9 09:27:4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 proposition de "/>
    <w:docVar w:name="LW_ACCOMPAGNANT.CP" w:val="de la proposition d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345B796-38E2-4195-A62D-FFC654D36D57"/>
    <w:docVar w:name="LW_COVERPAGE_TYPE" w:val="1"/>
    <w:docVar w:name="LW_CROSSREFERENCE" w:val="&lt;UNUSED&gt;"/>
    <w:docVar w:name="LW_DocType" w:val="ANNEX"/>
    <w:docVar w:name="LW_EMISSION" w:val="19.3.2018"/>
    <w:docVar w:name="LW_EMISSION_ISODATE" w:val="2018-03-19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portant modification du règlement (UE) nº&lt;LWCR:NBS&gt;168/2013 en ce qui concerne l'application de la phase Euro&lt;LWCR:NBS&gt;5 à la réception par type des véhicules à deux ou trois roues et des quadricycles"/>
    <w:docVar w:name="LW_OBJETACTEPRINCIPAL.CP" w:val="portant modification du règlement (UE) nº 168/2013 en ce qui concerne l'application de la phase Euro 5 à la réception par type des véhicules à deux ou trois roues et des quadricycles"/>
    <w:docVar w:name="LW_PART_NBR" w:val="1"/>
    <w:docVar w:name="LW_PART_NBR_TOTAL" w:val="1"/>
    <w:docVar w:name="LW_REF.INST.NEW" w:val="COM"/>
    <w:docVar w:name="LW_REF.INST.NEW_ADOPTED" w:val="final"/>
    <w:docVar w:name="LW_REF.INST.NEW_TEXT" w:val="(2018) 1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RÈGLEMENT DU PARLEMENT EUROPÉEN ET DU CONSEIL"/>
    <w:docVar w:name="LW_TYPEACTEPRINCIPAL.CP" w:val="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402</Words>
  <Characters>2203</Characters>
  <Application>Microsoft Office Word</Application>
  <DocSecurity>0</DocSecurity>
  <Lines>220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BRASSART Odile (GROW)</dc:creator>
  <cp:lastModifiedBy>DIGIT/A3</cp:lastModifiedBy>
  <cp:revision>7</cp:revision>
  <cp:lastPrinted>2018-01-23T10:15:00Z</cp:lastPrinted>
  <dcterms:created xsi:type="dcterms:W3CDTF">2018-02-12T15:49:00Z</dcterms:created>
  <dcterms:modified xsi:type="dcterms:W3CDTF">2018-03-09T08:27:00Z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