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FD99FD3-9857-4A44-A69A-88F6325468E9"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ПРИЛОЖЕНИЕ 2 — Механизъм за бежанците в Турция</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От оперативна гледна точка в края на 2017 г. по целия пакет за Механизма, възлизащ на 3 милиарда евро, са поети ангажименти и са сключени договори</w:t>
      </w:r>
      <w:r>
        <w:rPr>
          <w:rStyle w:val="FootnoteReference"/>
          <w:rFonts w:ascii="Times New Roman" w:hAnsi="Times New Roman"/>
          <w:noProof/>
          <w:sz w:val="24"/>
        </w:rPr>
        <w:footnoteReference w:id="1"/>
      </w:r>
      <w:r>
        <w:rPr>
          <w:rFonts w:ascii="Times New Roman" w:hAnsi="Times New Roman"/>
          <w:noProof/>
          <w:sz w:val="24"/>
        </w:rPr>
        <w:t xml:space="preserve"> на практика по 72 проекта. Всички тези договори</w:t>
      </w:r>
      <w:r>
        <w:rPr>
          <w:rStyle w:val="FootnoteReference"/>
          <w:rFonts w:ascii="Times New Roman" w:hAnsi="Times New Roman"/>
          <w:noProof/>
          <w:sz w:val="24"/>
        </w:rPr>
        <w:footnoteReference w:id="2"/>
      </w:r>
      <w:r>
        <w:rPr>
          <w:rFonts w:ascii="Times New Roman" w:hAnsi="Times New Roman"/>
          <w:noProof/>
          <w:sz w:val="24"/>
        </w:rPr>
        <w:t xml:space="preserve"> са в процес на изпълнение. Плащанията достигнаха над 1,85 милиарда евро, или 62 % от целия пакет, като салдото ще бъде платено в хода на изпълнението на проектите по Механизма и не по-късно от края на 2021 г. Допълнителна информация може да бъде намерена в онлайн таблицата за проектите</w:t>
      </w:r>
      <w:r>
        <w:rPr>
          <w:rStyle w:val="FootnoteReference"/>
          <w:rFonts w:ascii="Times New Roman" w:hAnsi="Times New Roman"/>
          <w:noProof/>
          <w:sz w:val="24"/>
        </w:rPr>
        <w:footnoteReference w:id="3"/>
      </w:r>
      <w:r>
        <w:rPr>
          <w:rFonts w:ascii="Times New Roman" w:hAnsi="Times New Roman"/>
          <w:noProof/>
          <w:sz w:val="24"/>
        </w:rPr>
        <w:t xml:space="preserve"> и във Втория годишен доклад относно Механизма за бежанците в Турция, приет на 13 март 2018 г.</w:t>
      </w:r>
      <w:r>
        <w:rPr>
          <w:rStyle w:val="FootnoteReference"/>
          <w:rFonts w:ascii="Times New Roman" w:hAnsi="Times New Roman"/>
          <w:noProof/>
          <w:sz w:val="24"/>
        </w:rPr>
        <w:footnoteReference w:id="4"/>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b/>
          <w:i/>
          <w:noProof/>
          <w:sz w:val="24"/>
        </w:rPr>
        <w:t>Хуманитарна помощ</w:t>
      </w:r>
      <w:r>
        <w:rPr>
          <w:rFonts w:ascii="Times New Roman" w:hAnsi="Times New Roman"/>
          <w:noProof/>
          <w:sz w:val="24"/>
          <w:vertAlign w:val="superscript"/>
        </w:rPr>
        <w:footnoteReference w:id="5"/>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Подписаните в края на 2017 г. договори включват удължаване на действието на Мрежата за социална закрила при извънредни обстоятелства и на обвързаното с условия предоставяне на парични обезщетения за образователни проекти, както и на проекти, насочени към неформално образование и към нуждите от закрила на уязвими бежанци. До момента са постигнати следните основни резултати: </w:t>
      </w:r>
    </w:p>
    <w:p>
      <w:pPr>
        <w:widowControl w:val="0"/>
        <w:spacing w:after="0" w:line="240" w:lineRule="auto"/>
        <w:jc w:val="both"/>
        <w:rPr>
          <w:rFonts w:ascii="Times New Roman" w:hAnsi="Times New Roman" w:cs="Times New Roman"/>
          <w:noProof/>
          <w:sz w:val="24"/>
          <w:szCs w:val="24"/>
        </w:rPr>
      </w:pPr>
    </w:p>
    <w:p>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 xml:space="preserve">През февруари 2018 г. почти 1,2 милиона бежанци са се възползвали от месечни парични преводи по линия на Мрежата за социална закрила при извънредни обстоятелства. Семействата на повече от 260 000 деца бежанци се възползват от програмата за обвързано с условия предоставяне на парични обезщетения за образование и всички деца ходят редовно на училище. </w:t>
      </w:r>
    </w:p>
    <w:p>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Мрежата за социална закрила при извънредни обстоятелства и обвързаното с условия предоставяне на парични обезщетения за образование се допълват от други проекти с акцент върху здравеопазването, образованието, осигуряването на подслон, задоволяването на основните нужди и гарантирането на защита за уязвимите бежанци. В рамките на Механизма са одобрени общо 45 хуманитарни проекта.</w:t>
      </w:r>
    </w:p>
    <w:p>
      <w:pPr>
        <w:spacing w:after="0" w:line="240" w:lineRule="auto"/>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b/>
          <w:i/>
          <w:noProof/>
          <w:sz w:val="24"/>
        </w:rPr>
        <w:t>Нехуманитарна помощ</w:t>
      </w:r>
    </w:p>
    <w:p>
      <w:pPr>
        <w:pStyle w:val="ListParagraph"/>
        <w:widowControl w:val="0"/>
        <w:spacing w:after="0" w:line="240" w:lineRule="auto"/>
        <w:ind w:left="0"/>
        <w:jc w:val="both"/>
        <w:rPr>
          <w:rFonts w:ascii="Times New Roman" w:hAnsi="Times New Roman" w:cs="Times New Roman"/>
          <w:noProof/>
          <w:sz w:val="24"/>
          <w:szCs w:val="24"/>
        </w:rPr>
      </w:pPr>
    </w:p>
    <w:p>
      <w:pPr>
        <w:pStyle w:val="ListParagraph"/>
        <w:widowControl w:val="0"/>
        <w:spacing w:after="0" w:line="240" w:lineRule="auto"/>
        <w:ind w:left="0"/>
        <w:jc w:val="both"/>
        <w:rPr>
          <w:rFonts w:ascii="Times New Roman" w:hAnsi="Times New Roman" w:cs="Times New Roman"/>
          <w:noProof/>
          <w:sz w:val="24"/>
          <w:szCs w:val="24"/>
        </w:rPr>
      </w:pPr>
      <w:r>
        <w:rPr>
          <w:rFonts w:ascii="Times New Roman" w:hAnsi="Times New Roman"/>
          <w:noProof/>
          <w:sz w:val="24"/>
        </w:rPr>
        <w:t>Подписаните в края на 2017 г. договори са съсредоточени върху дългосрочния поминък и социално-икономическото сближаване. Те подкрепят пригодността за заетост и интеграцията на пазара на труда (професионално обучение, часове по турски език, предприемачество и др.) и обръщат специално внимание на уязвимите групи, включително на бежанците, които не са сирийци, на търсещите убежище лица и на приемащите общности. Текущите дейности по линия на Механизма оказаха съществено въздействие на място:</w:t>
      </w:r>
    </w:p>
    <w:p>
      <w:pPr>
        <w:pStyle w:val="ListParagraph"/>
        <w:widowControl w:val="0"/>
        <w:spacing w:after="0" w:line="240" w:lineRule="auto"/>
        <w:ind w:left="0"/>
        <w:jc w:val="both"/>
        <w:rPr>
          <w:rFonts w:ascii="Times New Roman" w:hAnsi="Times New Roman" w:cs="Times New Roman"/>
          <w:noProof/>
          <w:sz w:val="24"/>
          <w:szCs w:val="24"/>
        </w:rPr>
      </w:pPr>
    </w:p>
    <w:p>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По договора за отпускане на преки безвъзмездни средства, подписан с Министерството на здравеопазването, вече функционират 12 здравни центъра за мигранти, които помагат за подобряването на първичните здравни услуги. В тези центрове и във вече установените 86 други центъра</w:t>
      </w:r>
      <w:r>
        <w:rPr>
          <w:noProof/>
        </w:rPr>
        <w:t xml:space="preserve"> </w:t>
      </w:r>
      <w:r>
        <w:rPr>
          <w:rFonts w:ascii="Times New Roman" w:hAnsi="Times New Roman"/>
          <w:noProof/>
          <w:sz w:val="24"/>
        </w:rPr>
        <w:t>са наети 813 служители. От здравни консултации са се възползвали 763 963 бежанци, а на 217 511 бебета на сирийски бежанци са сложени всички необходими ваксини</w:t>
      </w:r>
      <w:r>
        <w:rPr>
          <w:rStyle w:val="FootnoteReference"/>
          <w:rFonts w:ascii="Times New Roman" w:hAnsi="Times New Roman"/>
          <w:noProof/>
          <w:sz w:val="24"/>
        </w:rPr>
        <w:footnoteReference w:id="6"/>
      </w:r>
      <w:r>
        <w:rPr>
          <w:rFonts w:ascii="Times New Roman" w:hAnsi="Times New Roman"/>
          <w:noProof/>
          <w:sz w:val="24"/>
        </w:rPr>
        <w:t>. Освен това започна работа по учредяването на две болници в Килис и в Хатай с капацитет съответно 300 и 250 легла.</w:t>
      </w:r>
    </w:p>
    <w:p>
      <w:pPr>
        <w:pStyle w:val="ListParagraph"/>
        <w:widowControl w:val="0"/>
        <w:numPr>
          <w:ilvl w:val="0"/>
          <w:numId w:val="1"/>
        </w:numPr>
        <w:spacing w:after="0" w:line="240" w:lineRule="auto"/>
        <w:ind w:left="360"/>
        <w:jc w:val="both"/>
        <w:rPr>
          <w:rFonts w:ascii="Times New Roman" w:hAnsi="Times New Roman" w:cs="Times New Roman"/>
          <w:noProof/>
          <w:sz w:val="24"/>
          <w:szCs w:val="24"/>
        </w:rPr>
      </w:pPr>
      <w:r>
        <w:rPr>
          <w:rFonts w:ascii="Times New Roman" w:hAnsi="Times New Roman"/>
          <w:noProof/>
          <w:sz w:val="24"/>
        </w:rPr>
        <w:t>По договора за отпускане на преки безвъзмездни средства, подписан с Министерството на здравеопазването, е осигурено обучение по турски език на 312 151 деца от 5 486 учители по турски език, наети благодарение на Механизма. Започна разпространението на канцеларски материали и учебници, предназначени за 500 000 ученици, както и изграждането на 175 училища.</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noProof/>
        </w:rPr>
      </w:pPr>
      <w:r>
        <w:rPr>
          <w:rFonts w:ascii="Times New Roman" w:hAnsi="Times New Roman"/>
          <w:noProof/>
          <w:sz w:val="24"/>
        </w:rPr>
        <w:t>В Изявлението на ЕС и Турция от март 2016 г. се посочва, че „при почти пълното изчерпване на тези средства“ ЕС ще „мобилизира допълнително финансиране […] от още 3 милиарда евро до края на 2018 г.“. Понастоящем ЕС е в процес на подготовка за следващия транш от 3 милиарда евро. За да се избегнат пропуски във финансирането по Механизма, първите договори от следващия транш ще трябва да бъдат подписани през лятото на 2018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44429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В съответствие с Финансовия регламент договори за административните разходи и техническата подкрепа, както и за мониторинга, оценката и одита могат да бъдат сключвани след 2017 г.</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Един от проектите все още трябва да бъде приподписан.</w:t>
      </w:r>
    </w:p>
  </w:footnote>
  <w:footnote w:id="3">
    <w:p>
      <w:pPr>
        <w:pStyle w:val="FootnoteText"/>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https://ec.europa.eu/neighbourhood-enlargement/news_corner/migration_en</w:t>
        </w:r>
      </w:hyperlink>
      <w:r>
        <w:rPr>
          <w:rStyle w:val="Hyperlink"/>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91/3 final от 13.3.2018 г.</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Предоставянето на хуманитарна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 w:id="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Към 31 октомври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3FD99FD3-9857-4A44-A69A-88F6325468E9"/>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6?\u1090?\u1085?\u1086?\u1089?\u1085?\u1086? \u1080?\u1079?\u1087?\u1098?\u1083?\u1085?\u1077?\u1085?\u1080?\u1077?\u1090?\u1086? \u1085?\u1072? \u1077?\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news_corner/mi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CFF1-8126-45C6-8B71-5B4BFF45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551</Words>
  <Characters>3058</Characters>
  <Application>Microsoft Office Word</Application>
  <DocSecurity>0</DocSecurity>
  <Lines>65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12</cp:revision>
  <dcterms:created xsi:type="dcterms:W3CDTF">2018-03-13T14:00:00Z</dcterms:created>
  <dcterms:modified xsi:type="dcterms:W3CDTF">2018-03-20T08:51:00Z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