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5A87AC7-F73C-4C9C-AE32-52693181C07E" style="width:450.35pt;height:393.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rPr>
          <w:noProof/>
        </w:rPr>
        <w:sectPr>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708" w:footer="708" w:gutter="0"/>
          <w:cols w:space="708"/>
          <w:docGrid w:linePitch="360"/>
        </w:sectPr>
      </w:pPr>
      <w:bookmarkStart w:id="1" w:name="_GoBack"/>
      <w:bookmarkEnd w:id="1"/>
    </w:p>
    <w:p>
      <w:pPr>
        <w:jc w:val="center"/>
        <w:rPr>
          <w:rFonts w:ascii="Times New Roman" w:hAnsi="Times New Roman" w:cs="Times New Roman"/>
          <w:b/>
          <w:noProof/>
          <w:sz w:val="24"/>
          <w:szCs w:val="24"/>
          <w:u w:val="single"/>
        </w:rPr>
      </w:pPr>
      <w:r>
        <w:rPr>
          <w:rFonts w:ascii="Times New Roman" w:hAnsi="Times New Roman"/>
          <w:b/>
          <w:noProof/>
          <w:sz w:val="24"/>
          <w:u w:val="single"/>
        </w:rPr>
        <w:lastRenderedPageBreak/>
        <w:t>ПРИЛОЖЕНИЕ 6 — Основни елементи за разработването на европейската стратегия за интегрирано управление на границите</w:t>
      </w:r>
    </w:p>
    <w:p>
      <w:pPr>
        <w:spacing w:line="240" w:lineRule="auto"/>
        <w:jc w:val="both"/>
        <w:rPr>
          <w:rFonts w:ascii="Times New Roman" w:hAnsi="Times New Roman" w:cs="Times New Roman"/>
          <w:noProof/>
          <w:sz w:val="24"/>
          <w:szCs w:val="24"/>
        </w:rPr>
      </w:pPr>
      <w:r>
        <w:rPr>
          <w:rFonts w:ascii="Times New Roman" w:hAnsi="Times New Roman"/>
          <w:noProof/>
          <w:sz w:val="24"/>
        </w:rPr>
        <w:t>Европейската стратегия за интегрирано управление на границите следва да бъде разработена така, че да отразява по-добре факта, че външните граници на ЕС са общи граници, които изискват колективни и единни действия на компетентните национални органи и органите на ЕС, както и от страна на Съюза като цяло.</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Европейското интегрирано управление на границите служи за укрепване на защитата на общите външни граници, като отчита специфичното положение на държавите членки, и по-специално географското им разположение.</w:t>
      </w:r>
      <w:r>
        <w:rPr>
          <w:rFonts w:ascii="Times New Roman" w:hAnsi="Times New Roman"/>
          <w:b/>
          <w:noProof/>
          <w:sz w:val="24"/>
        </w:rPr>
        <w:t xml:space="preserve"> Принципите на солидарност и на справедливо разпределение на отговорностите</w:t>
      </w:r>
      <w:r>
        <w:rPr>
          <w:rFonts w:ascii="Times New Roman" w:hAnsi="Times New Roman"/>
          <w:noProof/>
          <w:sz w:val="24"/>
        </w:rPr>
        <w:t xml:space="preserve"> между държавите членки, както е предвидено в Договора от Лисабон</w:t>
      </w:r>
      <w:r>
        <w:rPr>
          <w:rStyle w:val="FootnoteReference"/>
          <w:rFonts w:ascii="Times New Roman" w:hAnsi="Times New Roman"/>
          <w:noProof/>
          <w:sz w:val="24"/>
        </w:rPr>
        <w:footnoteReference w:id="1"/>
      </w:r>
      <w:r>
        <w:rPr>
          <w:rFonts w:ascii="Times New Roman" w:hAnsi="Times New Roman"/>
          <w:noProof/>
          <w:sz w:val="24"/>
        </w:rPr>
        <w:t xml:space="preserve">, следва да бъдат изцяло интегрирани в разработването на това интегрирано управление на границите. Не е редно да се допуска държави членки, които се нуждаят от подкрепа, да действат сами. В същото време държавите членки следва да използват пълноценно всички налични средства и инструменти на равнище ЕС и на национално равнище и това следва да бъде направено по напълно интегриран начин, за да може да се реагира на всяко фрагментиране и всеки пропуск и да се гарантира осъществяването на непрекъснати действия, като се започне от граничния контрол и се стигне до връщането. Това са основни елементи за запазването и укрепването на </w:t>
      </w:r>
      <w:r>
        <w:rPr>
          <w:rFonts w:ascii="Times New Roman" w:hAnsi="Times New Roman"/>
          <w:b/>
          <w:noProof/>
          <w:sz w:val="24"/>
        </w:rPr>
        <w:t>взаимното доверие между всички държави от Шенгенското пространство.</w:t>
      </w:r>
    </w:p>
    <w:p>
      <w:pPr>
        <w:spacing w:line="240" w:lineRule="auto"/>
        <w:rPr>
          <w:rFonts w:ascii="Times New Roman" w:hAnsi="Times New Roman" w:cs="Times New Roman"/>
          <w:b/>
          <w:noProof/>
          <w:sz w:val="24"/>
          <w:szCs w:val="24"/>
        </w:rPr>
      </w:pPr>
      <w:r>
        <w:rPr>
          <w:rFonts w:ascii="Times New Roman" w:hAnsi="Times New Roman"/>
          <w:b/>
          <w:noProof/>
          <w:sz w:val="24"/>
        </w:rPr>
        <w:t>Основни принципи на европейското интегрирано управление на границите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основата на интегрираното управление на границите стои фактът, че интеграцията се осъществява на всички равнища и във всички форми на сътрудничество за управление на границите и на обмен на информация. </w:t>
      </w:r>
    </w:p>
    <w:p>
      <w:pPr>
        <w:spacing w:line="240" w:lineRule="auto"/>
        <w:jc w:val="both"/>
        <w:rPr>
          <w:rFonts w:ascii="Times New Roman" w:hAnsi="Times New Roman" w:cs="Times New Roman"/>
          <w:b/>
          <w:noProof/>
          <w:sz w:val="24"/>
          <w:szCs w:val="24"/>
        </w:rPr>
      </w:pPr>
      <w:r>
        <w:rPr>
          <w:rFonts w:ascii="Times New Roman" w:hAnsi="Times New Roman"/>
          <w:noProof/>
          <w:sz w:val="24"/>
        </w:rPr>
        <w:t xml:space="preserve">Ето защо европейското интегрирано управление на границите следва да се изпълнява чрез </w:t>
      </w:r>
      <w:r>
        <w:rPr>
          <w:rFonts w:ascii="Times New Roman" w:hAnsi="Times New Roman"/>
          <w:b/>
          <w:noProof/>
          <w:sz w:val="24"/>
        </w:rPr>
        <w:t>междуведомствено сътрудничество</w:t>
      </w:r>
      <w:r>
        <w:rPr>
          <w:rFonts w:ascii="Times New Roman" w:hAnsi="Times New Roman"/>
          <w:noProof/>
          <w:sz w:val="24"/>
        </w:rPr>
        <w:t xml:space="preserve"> на европейско и на национално равнище, за да се гарантира прилагането на цялостен, междусекторен и ефективен от гледна точка на разходите подход. Това включва обмен на информация, съвместен анализ на риска, съвместни операции, както и съвместно използване на европейските и националните способности и ресурси.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да може </w:t>
      </w:r>
      <w:r>
        <w:rPr>
          <w:rFonts w:ascii="Times New Roman" w:hAnsi="Times New Roman"/>
          <w:b/>
          <w:noProof/>
          <w:sz w:val="24"/>
        </w:rPr>
        <w:t>европейската гранична и брегова охрана</w:t>
      </w:r>
      <w:r>
        <w:rPr>
          <w:rFonts w:ascii="Times New Roman" w:hAnsi="Times New Roman"/>
          <w:noProof/>
          <w:sz w:val="24"/>
        </w:rPr>
        <w:t xml:space="preserve"> да изпълнява ефективно европейското интегрирано управление на границите, е от ключово значение тясното сътрудничество между нейните компоненти, а именно Европейската агенция за гранична и брегова охрана и граничната охрана на държавите членки. Това тясно сътрудничество е особено необходимо, за да се гарантира обединяването на ресурси за осигуряване на ефективен капацитет за реагиране на ЕС и за обмен на информация с цел да се постигне ситуационна осведоменост в Европа. Европейската гранична и брегова охрана трябва да разполага с цялостен правен, институционален, административен и оперативен капацитет и с необходимите ресурси, за да може да осъществи ефективни и ефикасни дейности в рамките на своя мандат.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да се укрепи способността за реагиране на национално равнище и на равнище ЕС, следва способностите на европейската гранична и брегова охрана да </w:t>
      </w:r>
      <w:r>
        <w:rPr>
          <w:rFonts w:ascii="Times New Roman" w:hAnsi="Times New Roman"/>
          <w:b/>
          <w:noProof/>
          <w:sz w:val="24"/>
        </w:rPr>
        <w:t>се развиват</w:t>
      </w:r>
      <w:r>
        <w:rPr>
          <w:rFonts w:ascii="Times New Roman" w:hAnsi="Times New Roman"/>
          <w:noProof/>
          <w:sz w:val="24"/>
        </w:rPr>
        <w:t xml:space="preserve"> и това да бъде подкрепено с превантивни инструменти, като например осъществяваните </w:t>
      </w:r>
      <w:r>
        <w:rPr>
          <w:rFonts w:ascii="Times New Roman" w:hAnsi="Times New Roman"/>
          <w:noProof/>
          <w:sz w:val="24"/>
        </w:rPr>
        <w:lastRenderedPageBreak/>
        <w:t xml:space="preserve">от Агенцията оценки на уязвимостта, с цел да се установят недостатъците по отношение на капацитета. </w:t>
      </w:r>
    </w:p>
    <w:p>
      <w:pPr>
        <w:spacing w:line="240" w:lineRule="auto"/>
        <w:jc w:val="both"/>
        <w:rPr>
          <w:rFonts w:ascii="Times New Roman" w:hAnsi="Times New Roman" w:cs="Times New Roman"/>
          <w:b/>
          <w:noProof/>
          <w:vanish/>
          <w:sz w:val="24"/>
          <w:szCs w:val="24"/>
          <w:specVanish/>
        </w:rPr>
      </w:pPr>
      <w:r>
        <w:rPr>
          <w:rFonts w:ascii="Times New Roman" w:hAnsi="Times New Roman"/>
          <w:noProof/>
          <w:sz w:val="24"/>
        </w:rPr>
        <w:t xml:space="preserve">За да се гарантира взаимното доверие, </w:t>
      </w:r>
      <w:r>
        <w:rPr>
          <w:rFonts w:ascii="Times New Roman" w:hAnsi="Times New Roman"/>
          <w:b/>
          <w:noProof/>
          <w:sz w:val="24"/>
        </w:rPr>
        <w:t>европейското интегрирано управление на границите следва да гарантира</w:t>
      </w:r>
      <w:r>
        <w:rPr>
          <w:rFonts w:ascii="Times New Roman" w:hAnsi="Times New Roman"/>
          <w:noProof/>
          <w:sz w:val="24"/>
        </w:rPr>
        <w:t xml:space="preserve"> </w:t>
      </w:r>
      <w:r>
        <w:rPr>
          <w:rFonts w:ascii="Times New Roman" w:hAnsi="Times New Roman"/>
          <w:b/>
          <w:noProof/>
          <w:sz w:val="24"/>
        </w:rPr>
        <w:t>пълното</w:t>
      </w:r>
      <w:r>
        <w:rPr>
          <w:rFonts w:ascii="Times New Roman" w:hAnsi="Times New Roman"/>
          <w:noProof/>
          <w:sz w:val="24"/>
        </w:rPr>
        <w:t xml:space="preserve"> зачитане на </w:t>
      </w:r>
      <w:r>
        <w:rPr>
          <w:rFonts w:ascii="Times New Roman" w:hAnsi="Times New Roman"/>
          <w:b/>
          <w:noProof/>
          <w:sz w:val="24"/>
        </w:rPr>
        <w:t>основните права</w:t>
      </w:r>
      <w:r>
        <w:rPr>
          <w:rFonts w:ascii="Times New Roman" w:hAnsi="Times New Roman"/>
          <w:noProof/>
          <w:sz w:val="24"/>
        </w:rPr>
        <w:t xml:space="preserve">, като се обръща специално внимание на уязвимите групи и на малолетните и непълнолетните лица, във всички дейности за управление на границите и за връщане, включително по отношение на зачитането на принципа на </w:t>
      </w:r>
      <w:r>
        <w:rPr>
          <w:rFonts w:ascii="Times New Roman" w:hAnsi="Times New Roman"/>
          <w:i/>
          <w:noProof/>
          <w:sz w:val="24"/>
        </w:rPr>
        <w:t>забрана за връщане</w:t>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b/>
          <w:noProof/>
          <w:sz w:val="24"/>
        </w:rPr>
        <w:t>Лицата, които охраняват европейските граници или извършват дейности по връщане, следва да изпълняват тези задължения изключително професионално</w:t>
      </w:r>
      <w:r>
        <w:rPr>
          <w:noProof/>
        </w:rPr>
        <w:t xml:space="preserve"> </w:t>
      </w:r>
      <w:r>
        <w:rPr>
          <w:rFonts w:ascii="Times New Roman" w:hAnsi="Times New Roman"/>
          <w:noProof/>
          <w:sz w:val="24"/>
        </w:rPr>
        <w:t>и да се придържат към високи етични ценности. Следва да се осигури подходящ учебен капацитет на европейско и национално равнище, включително по отношение на зачитането на основните права.</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По-нататъшно разработване на инструментите, позволяващи осъществяването на европейско интегрирано управление на границите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Европейското интегрирано управление на границите следва </w:t>
      </w:r>
      <w:r>
        <w:rPr>
          <w:rFonts w:ascii="Times New Roman" w:hAnsi="Times New Roman"/>
          <w:b/>
          <w:noProof/>
          <w:sz w:val="24"/>
        </w:rPr>
        <w:t>да допринася за единното и хармонизирано прилагане на правилата и стандартите за граничен контрол</w:t>
      </w:r>
      <w:r>
        <w:rPr>
          <w:rFonts w:ascii="Times New Roman" w:hAnsi="Times New Roman"/>
          <w:noProof/>
          <w:sz w:val="24"/>
        </w:rPr>
        <w:t xml:space="preserve"> в съответствие с разпоредбите на Кодекса на шенгенските граници и със стандартите на Съюза за управление на границите. Граничният контрол следва да се основава на анализ на риска и да се осъществява посредством използването на най-съвременно оборудване и на модерни информационни системи. </w:t>
      </w:r>
    </w:p>
    <w:p>
      <w:pPr>
        <w:spacing w:line="240" w:lineRule="auto"/>
        <w:jc w:val="both"/>
        <w:rPr>
          <w:rFonts w:ascii="Times New Roman" w:hAnsi="Times New Roman" w:cs="Times New Roman"/>
          <w:noProof/>
          <w:sz w:val="24"/>
          <w:szCs w:val="24"/>
        </w:rPr>
      </w:pPr>
      <w:r>
        <w:rPr>
          <w:rFonts w:ascii="Times New Roman" w:hAnsi="Times New Roman"/>
          <w:b/>
          <w:noProof/>
          <w:sz w:val="24"/>
        </w:rPr>
        <w:t xml:space="preserve">Следва да се поддържа надеждна и подробна ситуационна осведоменост относно граничната обстановка, за да се осигури висока степен на способност за предприемане на подходящи мерки на европейско и национално равнище. </w:t>
      </w:r>
      <w:r>
        <w:rPr>
          <w:rFonts w:ascii="Times New Roman" w:hAnsi="Times New Roman"/>
          <w:noProof/>
          <w:sz w:val="24"/>
        </w:rPr>
        <w:t xml:space="preserve">В рамките на EUROSUR следва да се изгради и разпространи цялостна представа за ситуацията, близка до тази в реално време, включително проследяване на положението с миграцията във всички съответни трети държави и на вторичните движения в рамките на ЕС.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Следва да се извършват </w:t>
      </w:r>
      <w:r>
        <w:rPr>
          <w:rFonts w:ascii="Times New Roman" w:hAnsi="Times New Roman"/>
          <w:b/>
          <w:noProof/>
          <w:sz w:val="24"/>
        </w:rPr>
        <w:t>анализи на риска</w:t>
      </w:r>
      <w:r>
        <w:rPr>
          <w:rFonts w:ascii="Times New Roman" w:hAnsi="Times New Roman"/>
          <w:noProof/>
          <w:sz w:val="24"/>
        </w:rPr>
        <w:t xml:space="preserve"> в подкрепа на стратегическото и оперативното планиране и на вземането на решения. Съответните данни следва да се събират и обменят в рамките на европейската гранична и брегова охрана, особено що се отнася до подпомагането на Агенцията в осигуряването на централизирана осведоменост от европейска гледна точка.</w:t>
      </w:r>
    </w:p>
    <w:p>
      <w:pPr>
        <w:spacing w:line="240" w:lineRule="auto"/>
        <w:jc w:val="both"/>
        <w:rPr>
          <w:rFonts w:ascii="Times New Roman" w:hAnsi="Times New Roman" w:cs="Times New Roman"/>
          <w:b/>
          <w:noProof/>
          <w:sz w:val="24"/>
          <w:szCs w:val="24"/>
        </w:rPr>
      </w:pPr>
      <w:r>
        <w:rPr>
          <w:rFonts w:ascii="Times New Roman" w:hAnsi="Times New Roman"/>
          <w:noProof/>
          <w:sz w:val="24"/>
        </w:rPr>
        <w:t xml:space="preserve">На национално равнище следва да се осигури </w:t>
      </w:r>
      <w:r>
        <w:rPr>
          <w:rFonts w:ascii="Times New Roman" w:hAnsi="Times New Roman"/>
          <w:b/>
          <w:noProof/>
          <w:sz w:val="24"/>
        </w:rPr>
        <w:t>непрекъсната (24/7)</w:t>
      </w:r>
      <w:r>
        <w:rPr>
          <w:rFonts w:ascii="Times New Roman" w:hAnsi="Times New Roman"/>
          <w:noProof/>
          <w:sz w:val="24"/>
        </w:rPr>
        <w:t xml:space="preserve"> и адекватна способност за реагиране, за да може да се реагира по подходящ начин на всички гранични инциденти и непредвидими промени по външните граници, включително широкомащабни миграционни потоци</w:t>
      </w:r>
      <w:r>
        <w:rPr>
          <w:noProof/>
        </w:rPr>
        <w:t>.</w:t>
      </w:r>
      <w:r>
        <w:rPr>
          <w:rFonts w:ascii="Times New Roman" w:hAnsi="Times New Roman"/>
          <w:b/>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Следва да се въведат цялостни, изпитани и постоянно </w:t>
      </w:r>
      <w:r>
        <w:rPr>
          <w:rFonts w:ascii="Times New Roman" w:hAnsi="Times New Roman"/>
          <w:b/>
          <w:noProof/>
          <w:sz w:val="24"/>
        </w:rPr>
        <w:t>актуализирани планове за действие при извънредни ситуации</w:t>
      </w:r>
      <w:r>
        <w:rPr>
          <w:rFonts w:ascii="Times New Roman" w:hAnsi="Times New Roman"/>
          <w:noProof/>
          <w:sz w:val="24"/>
        </w:rPr>
        <w:t xml:space="preserve">, включително относно използването на капацитета и инструментите, налични на европейско и национално равнище. Тези планове следва да се оценяват от Агенцията посредством оценките на уязвимостта (т.е. симулационни учения).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Съвместните усилия на Европейската агенция за гранична и брегова охрана и държавите членки следва да гарантират, че е изграден </w:t>
      </w:r>
      <w:r>
        <w:rPr>
          <w:rFonts w:ascii="Times New Roman" w:hAnsi="Times New Roman"/>
          <w:b/>
          <w:noProof/>
          <w:sz w:val="24"/>
        </w:rPr>
        <w:t>капацитет за бързо реагиране на ЕС</w:t>
      </w:r>
      <w:r>
        <w:rPr>
          <w:rFonts w:ascii="Times New Roman" w:hAnsi="Times New Roman"/>
          <w:noProof/>
          <w:sz w:val="24"/>
        </w:rPr>
        <w:t xml:space="preserve">, за да може в зависимост от нуждите да се укрепи бързо граничният контрол на </w:t>
      </w:r>
      <w:r>
        <w:rPr>
          <w:rFonts w:ascii="Times New Roman" w:hAnsi="Times New Roman"/>
          <w:noProof/>
          <w:sz w:val="24"/>
        </w:rPr>
        <w:lastRenderedPageBreak/>
        <w:t xml:space="preserve">засегнатите гранични контролно-пропускателни пунктове или гранични участъци чрез съответните механизми на европейската гранична и брегова охрана (т.е. резервите за бързо реагиране) в отговор на всяко развитие на ситуацията, което излага на риск доброто функциониране на Шенгенското пространство. </w:t>
      </w:r>
    </w:p>
    <w:p>
      <w:pPr>
        <w:spacing w:line="240" w:lineRule="auto"/>
        <w:jc w:val="both"/>
        <w:rPr>
          <w:rFonts w:ascii="Times New Roman" w:hAnsi="Times New Roman" w:cs="Times New Roman"/>
          <w:noProof/>
          <w:sz w:val="24"/>
          <w:szCs w:val="24"/>
        </w:rPr>
      </w:pPr>
      <w:r>
        <w:rPr>
          <w:rFonts w:ascii="Times New Roman" w:hAnsi="Times New Roman"/>
          <w:b/>
          <w:noProof/>
          <w:sz w:val="24"/>
        </w:rPr>
        <w:t>Защитата на човешкия живот и неговото спасяване по външните граници са основен приоритет</w:t>
      </w:r>
      <w:r>
        <w:rPr>
          <w:rFonts w:ascii="Times New Roman" w:hAnsi="Times New Roman"/>
          <w:noProof/>
          <w:sz w:val="24"/>
        </w:rPr>
        <w:t xml:space="preserve"> в европейското интегрирано управление на границите; капацитетът и оперативната готовност за провеждане на </w:t>
      </w:r>
      <w:r>
        <w:rPr>
          <w:rFonts w:ascii="Times New Roman" w:hAnsi="Times New Roman"/>
          <w:b/>
          <w:noProof/>
          <w:sz w:val="24"/>
        </w:rPr>
        <w:t>издирвателни и спасителни</w:t>
      </w:r>
      <w:r>
        <w:rPr>
          <w:rFonts w:ascii="Times New Roman" w:hAnsi="Times New Roman"/>
          <w:noProof/>
          <w:sz w:val="24"/>
        </w:rPr>
        <w:t xml:space="preserve"> операции следва да бъде неразделна част от всички операции по наблюдение на външните морски граници.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Едновременно с това връщането е неразделна част от веригата за управление на миграцията и функционирането на европейското интегрирано управление на границите. Всички граждани на трети държави, които са обект на решение за връщане, издадено от дадена държава членка, следва да бъдат връщани ефективно и бързо. За тази цел е необходимо да се осигури адекватен капацитет за връщане на европейско и национално равнище. </w:t>
      </w:r>
    </w:p>
    <w:p>
      <w:pPr>
        <w:spacing w:line="240" w:lineRule="auto"/>
        <w:jc w:val="both"/>
        <w:rPr>
          <w:rFonts w:ascii="Times New Roman" w:hAnsi="Times New Roman" w:cs="Times New Roman"/>
          <w:b/>
          <w:noProof/>
          <w:sz w:val="24"/>
          <w:szCs w:val="24"/>
        </w:rPr>
      </w:pPr>
      <w:r>
        <w:rPr>
          <w:rFonts w:ascii="Times New Roman" w:hAnsi="Times New Roman"/>
          <w:b/>
          <w:noProof/>
          <w:sz w:val="24"/>
        </w:rPr>
        <w:t>По-добро интегриране с дейностите по вътрешните граници</w:t>
      </w:r>
    </w:p>
    <w:p>
      <w:pPr>
        <w:spacing w:line="240" w:lineRule="auto"/>
        <w:jc w:val="both"/>
        <w:rPr>
          <w:rFonts w:ascii="Times New Roman" w:hAnsi="Times New Roman" w:cs="Times New Roman"/>
          <w:noProof/>
          <w:sz w:val="24"/>
          <w:szCs w:val="24"/>
        </w:rPr>
      </w:pPr>
      <w:r>
        <w:rPr>
          <w:rFonts w:ascii="Times New Roman" w:hAnsi="Times New Roman"/>
          <w:b/>
          <w:noProof/>
          <w:sz w:val="24"/>
        </w:rPr>
        <w:t>Европейският контрол на качеството посредством оценките по Шенген и оценките на уязвимостта</w:t>
      </w:r>
      <w:r>
        <w:rPr>
          <w:noProof/>
        </w:rPr>
        <w:t xml:space="preserve"> </w:t>
      </w:r>
      <w:r>
        <w:rPr>
          <w:rFonts w:ascii="Times New Roman" w:hAnsi="Times New Roman"/>
          <w:noProof/>
          <w:sz w:val="24"/>
        </w:rPr>
        <w:t>е основен инструмент за гарантиране на непрекъснатото проследяване на състоянието във връзка с ефективното осъществяване на европейското интегрирано управление на границите и с постоянната готовност за реагиране на всякакви предизвикателства. Резултатите от контрола на качеството следва да бъдат взети предвид при определянето на приоритетите по отношение на използването на фондовете на ЕС на национално и на европейско равнище.</w:t>
      </w:r>
    </w:p>
    <w:p>
      <w:pPr>
        <w:spacing w:line="240" w:lineRule="auto"/>
        <w:jc w:val="both"/>
        <w:rPr>
          <w:rFonts w:ascii="Times New Roman" w:hAnsi="Times New Roman" w:cs="Times New Roman"/>
          <w:noProof/>
          <w:sz w:val="24"/>
          <w:szCs w:val="24"/>
        </w:rPr>
      </w:pPr>
      <w:r>
        <w:rPr>
          <w:rFonts w:ascii="Times New Roman" w:hAnsi="Times New Roman"/>
          <w:noProof/>
          <w:sz w:val="24"/>
        </w:rPr>
        <w:t>Държавите членки следва да предприемат подходящи технически и оперативни мерки в рамките на Шенгенското пространство, за да</w:t>
      </w:r>
      <w:r>
        <w:rPr>
          <w:rFonts w:ascii="Times New Roman" w:hAnsi="Times New Roman"/>
          <w:b/>
          <w:noProof/>
          <w:sz w:val="24"/>
        </w:rPr>
        <w:t xml:space="preserve"> гарантират ефективно противодействие на вторичните движения, незаконната миграция и трансграничната престъпност във връзка с външните граници. </w:t>
      </w:r>
      <w:r>
        <w:rPr>
          <w:rFonts w:ascii="Times New Roman" w:hAnsi="Times New Roman"/>
          <w:noProof/>
          <w:sz w:val="24"/>
        </w:rPr>
        <w:t>В съответствие с Препоръката на Комисията относно пропорционалните полицейски проверки и полицейското сътрудничество в Шенгенското пространство националният капацитет за засилване на полицейските проверки във вътрешността на територията, включително в граничните зони, следва да бъде увеличен.</w:t>
      </w:r>
    </w:p>
    <w:p>
      <w:pPr>
        <w:spacing w:line="240" w:lineRule="auto"/>
        <w:jc w:val="both"/>
        <w:rPr>
          <w:rFonts w:ascii="Times New Roman" w:hAnsi="Times New Roman" w:cs="Times New Roman"/>
          <w:b/>
          <w:noProof/>
          <w:sz w:val="24"/>
          <w:szCs w:val="24"/>
        </w:rPr>
      </w:pPr>
      <w:r>
        <w:rPr>
          <w:rFonts w:ascii="Times New Roman" w:hAnsi="Times New Roman"/>
          <w:b/>
          <w:noProof/>
          <w:sz w:val="24"/>
        </w:rPr>
        <w:t>По-добро интегриране на съответните политики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Европейското интегрирано управление на границите е в полза на </w:t>
      </w:r>
      <w:r>
        <w:rPr>
          <w:rFonts w:ascii="Times New Roman" w:hAnsi="Times New Roman"/>
          <w:b/>
          <w:noProof/>
          <w:sz w:val="24"/>
        </w:rPr>
        <w:t>политиката на Съюза както в сферата на миграцията, така и по отношение на сигурността</w:t>
      </w:r>
      <w:r>
        <w:rPr>
          <w:rFonts w:ascii="Times New Roman" w:hAnsi="Times New Roman"/>
          <w:noProof/>
          <w:sz w:val="24"/>
        </w:rPr>
        <w:t>.</w:t>
      </w:r>
    </w:p>
    <w:p>
      <w:pPr>
        <w:spacing w:line="240" w:lineRule="auto"/>
        <w:jc w:val="both"/>
        <w:rPr>
          <w:rFonts w:ascii="Times New Roman" w:hAnsi="Times New Roman" w:cs="Times New Roman"/>
          <w:b/>
          <w:noProof/>
          <w:sz w:val="24"/>
          <w:szCs w:val="24"/>
        </w:rPr>
      </w:pPr>
      <w:r>
        <w:rPr>
          <w:rFonts w:ascii="Times New Roman" w:hAnsi="Times New Roman"/>
          <w:b/>
          <w:noProof/>
          <w:sz w:val="24"/>
        </w:rPr>
        <w:t>Капацитетът за борба с трансграничната престъпност и тероризма по външните граници следва да се укрепи</w:t>
      </w:r>
      <w:r>
        <w:rPr>
          <w:rFonts w:ascii="Times New Roman" w:hAnsi="Times New Roman"/>
          <w:noProof/>
          <w:sz w:val="24"/>
        </w:rPr>
        <w:t>, за да може компетентните органи да установяват и предотвратяват трансграничната престъпност и да откриват чуждестранни бойци терористи по външните граници. В тази връзка следва да бъде засилено сътрудничеството между европейската гранична и брегова охрана, Европол, Евроюст и когато е необходимо — Интерпол.</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Всички съответни агенции на ЕС (Европейската агенция за гранична и брегова охрана, Европейската служба за подкрепа в областта на убежището, Европол и Агенцията за основните права) следва да са в постоянна готовност за </w:t>
      </w:r>
      <w:r>
        <w:rPr>
          <w:rFonts w:ascii="Times New Roman" w:hAnsi="Times New Roman"/>
          <w:b/>
          <w:noProof/>
          <w:sz w:val="24"/>
        </w:rPr>
        <w:t>разполагане на екипи за съдействие при управлението на миграцията по примера на вече установени горещи точки</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Държавите членки следва да разполагат с необходимата правна уредба и оперативна готовност, за да могат да разполагат европейски горещи точки на своя територия или да подкрепят тези точки. </w:t>
      </w:r>
    </w:p>
    <w:p>
      <w:pPr>
        <w:spacing w:line="240" w:lineRule="auto"/>
        <w:jc w:val="both"/>
        <w:rPr>
          <w:rFonts w:ascii="Times New Roman" w:hAnsi="Times New Roman" w:cs="Times New Roman"/>
          <w:b/>
          <w:noProof/>
          <w:sz w:val="24"/>
          <w:szCs w:val="24"/>
        </w:rPr>
      </w:pPr>
      <w:r>
        <w:rPr>
          <w:rFonts w:ascii="Times New Roman" w:hAnsi="Times New Roman"/>
          <w:b/>
          <w:noProof/>
          <w:sz w:val="24"/>
        </w:rPr>
        <w:t>По-добро интегриране със съответните дейности на трети държави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Тясното практическо </w:t>
      </w:r>
      <w:r>
        <w:rPr>
          <w:rFonts w:ascii="Times New Roman" w:hAnsi="Times New Roman"/>
          <w:b/>
          <w:noProof/>
          <w:sz w:val="24"/>
        </w:rPr>
        <w:t>сътрудничество с трети държави</w:t>
      </w:r>
      <w:r>
        <w:rPr>
          <w:rFonts w:ascii="Times New Roman" w:hAnsi="Times New Roman"/>
          <w:noProof/>
          <w:sz w:val="24"/>
        </w:rPr>
        <w:t xml:space="preserve"> е от ключово значение за предотвратяването на незаконната миграция и трансграничната престъпност, за увеличаването на ефективните връщания и за улесняването на законните пътувания. Следва да се даде приоритет на страните — кандидатки за членство в ЕС, страните на произход и на транзитно преминаване на незаконна миграция и други трансгранични престъпления. Следва да се положат специални усилия в подкрепа на </w:t>
      </w:r>
      <w:r>
        <w:rPr>
          <w:rFonts w:ascii="Times New Roman" w:hAnsi="Times New Roman"/>
          <w:b/>
          <w:noProof/>
          <w:sz w:val="24"/>
        </w:rPr>
        <w:t>ефективното връщане</w:t>
      </w:r>
      <w:r>
        <w:rPr>
          <w:rFonts w:ascii="Times New Roman" w:hAnsi="Times New Roman"/>
          <w:noProof/>
          <w:sz w:val="24"/>
        </w:rPr>
        <w:t>. Сътрудничеството с трети държави следва да включва широк спектър от мерки (служители за връзка, обмен на информация за общата представа за ситуацията и изграждане на капацитет), като се използват и всички налични средства на ЕС за насърчаване на това сътрудничество.</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По-добро интегриране с наличното финансиране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Необходимо е </w:t>
      </w:r>
      <w:r>
        <w:rPr>
          <w:rFonts w:ascii="Times New Roman" w:hAnsi="Times New Roman"/>
          <w:b/>
          <w:noProof/>
          <w:sz w:val="24"/>
        </w:rPr>
        <w:t>предвидените за тази цел финансови средства от ЕС да бъдат разпределени по подходящ начин</w:t>
      </w:r>
      <w:r>
        <w:rPr>
          <w:rFonts w:ascii="Times New Roman" w:hAnsi="Times New Roman"/>
          <w:noProof/>
          <w:sz w:val="24"/>
        </w:rPr>
        <w:t xml:space="preserve">, за да се гарантира, че държавите членки по външните граници разполагат с достатъчен капацитет за справяне с предизвикателствата, пред които са изправени, в полза на ЕС като цяло. За да може европейската гранична и брегова охрана да осъществява съответните оперативни дейности, държавите членки допринасят с </w:t>
      </w:r>
      <w:r>
        <w:rPr>
          <w:rFonts w:ascii="Times New Roman" w:hAnsi="Times New Roman"/>
          <w:b/>
          <w:noProof/>
          <w:sz w:val="24"/>
        </w:rPr>
        <w:t>достатъчно човешки и технически ресурси</w:t>
      </w:r>
      <w:r>
        <w:rPr>
          <w:rFonts w:ascii="Times New Roman" w:hAnsi="Times New Roman"/>
          <w:noProof/>
          <w:sz w:val="24"/>
        </w:rPr>
        <w:t>.</w:t>
      </w:r>
    </w:p>
    <w:p>
      <w:pPr>
        <w:spacing w:line="240" w:lineRule="auto"/>
        <w:jc w:val="both"/>
        <w:rPr>
          <w:rFonts w:ascii="Times New Roman" w:hAnsi="Times New Roman" w:cs="Times New Roman"/>
          <w:b/>
          <w:noProof/>
          <w:sz w:val="24"/>
          <w:szCs w:val="24"/>
        </w:rPr>
      </w:pPr>
      <w:r>
        <w:rPr>
          <w:rFonts w:ascii="Times New Roman" w:hAnsi="Times New Roman"/>
          <w:noProof/>
          <w:sz w:val="24"/>
        </w:rPr>
        <w:t>Европейското интегрирано управление на границите следва да бъде подкрепено от специални фондове на ЕС, като се използват пълноценно съществуващите национални програми по линия на фонд „Вътрешна сигурност“ и фонд „Убежище, миграция и интеграция“, както и други подходящи източници, като например Инструмента за предприсъединителна помощ, за да се подкрепя сътрудничеството с трети държави. В дългосрочен план ефективното изпълнение на европейското интегрирано управление на границите ще зависи от стратегическите варианти, както е посочено в съобщението на Комисията относно бъдещата многогодишна финансова рамка.</w:t>
      </w:r>
    </w:p>
    <w:sectPr>
      <w:headerReference w:type="even" r:id="rId21"/>
      <w:headerReference w:type="default" r:id="rId22"/>
      <w:footerReference w:type="even" r:id="rId23"/>
      <w:footerReference w:type="default" r:id="rId24"/>
      <w:headerReference w:type="first" r:id="rId25"/>
      <w:footerReference w:type="first" r:id="rId26"/>
      <w:pgSz w:w="11907" w:h="16839" w:code="9"/>
      <w:pgMar w:top="1440" w:right="1440" w:bottom="1440" w:left="1440" w:header="34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6374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6"/>
    <w:docVar w:name="LW_ANNEX_NBR_LAST" w:val="6"/>
    <w:docVar w:name="LW_ANNEX_UNIQUE" w:val="0"/>
    <w:docVar w:name="LW_CORRIGENDUM" w:val="&lt;UNUSED&gt;"/>
    <w:docVar w:name="LW_COVERPAGE_EXISTS" w:val="True"/>
    <w:docVar w:name="LW_COVERPAGE_GUID" w:val="35A87AC7-F73C-4C9C-AE32-52693181C07E"/>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79?\u1072? \u1085?\u1072?\u1087?\u1088?\u1077?\u1076?\u1098?\u1082?\u1072? \u1086?\u1090?\u1085?\u1086?\u1089?\u1085?\u1086? \u1080?\u1079?\u1087?\u1098?\u1083?\u1085?\u1077?\u1085?\u1080?\u1077?\u1090?\u1086? \u1085?\u1072? \u1077?\u1074?\u1088?\u1086?\u1087?\u1077?\u1081?\u1089?\u1082?\u1072?\u1090?\u1072? \u1087?\u1088?\u1086?\u1075?\u1088?\u1072?\u1084?\u1072? \u1079?\u1072? \u1084?\u1080?\u1075?\u1088?\u1072?\u1094?\u1080?\u1103?\u1090?\u1072?"/>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22DAC-8E03-4BE1-8123-E5A78BA4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1604</Words>
  <Characters>9821</Characters>
  <Application>Microsoft Office Word</Application>
  <DocSecurity>0</DocSecurity>
  <Lines>166</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14</cp:revision>
  <dcterms:created xsi:type="dcterms:W3CDTF">2018-03-13T10:49:00Z</dcterms:created>
  <dcterms:modified xsi:type="dcterms:W3CDTF">2018-03-20T08:57:00Z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6</vt:lpwstr>
  </property>
  <property fmtid="{D5CDD505-2E9C-101B-9397-08002B2CF9AE}" pid="4" name="Last annex">
    <vt:lpwstr>6</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