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D8" w:rsidRDefault="002D1C76" w:rsidP="002D1C7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7092D47-33D0-4EE0-86FA-63F121DD6353" style="width:450.75pt;height:406.5pt">
            <v:imagedata r:id="rId8" o:title=""/>
          </v:shape>
        </w:pict>
      </w:r>
    </w:p>
    <w:bookmarkEnd w:id="0"/>
    <w:p w:rsidR="003C16D8" w:rsidRDefault="003C16D8">
      <w:pPr>
        <w:rPr>
          <w:noProof/>
        </w:rPr>
        <w:sectPr w:rsidR="003C16D8" w:rsidSect="002D1C7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C16D8" w:rsidRDefault="003C16D8">
      <w:pPr>
        <w:rPr>
          <w:noProof/>
        </w:rPr>
        <w:sectPr w:rsidR="003C16D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pPr>
      <w:bookmarkStart w:id="1" w:name="_GoBack"/>
      <w:bookmarkEnd w:id="1"/>
    </w:p>
    <w:p w:rsidR="003C16D8" w:rsidRDefault="002D1C76">
      <w:pPr>
        <w:jc w:val="center"/>
        <w:rPr>
          <w:rFonts w:ascii="Times New Roman" w:hAnsi="Times New Roman" w:cs="Times New Roman"/>
          <w:b/>
          <w:noProof/>
          <w:sz w:val="24"/>
          <w:szCs w:val="24"/>
          <w:u w:val="single"/>
        </w:rPr>
      </w:pPr>
      <w:r>
        <w:rPr>
          <w:rFonts w:ascii="Times New Roman" w:hAnsi="Times New Roman"/>
          <w:b/>
          <w:noProof/>
          <w:sz w:val="24"/>
          <w:u w:val="single"/>
        </w:rPr>
        <w:lastRenderedPageBreak/>
        <w:t>ANNEXE 6 - Les principaux éléments relatifs à l’élaboration de la stratégie européenne pour la gestion intégrée des frontières</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noProof/>
          <w:sz w:val="24"/>
        </w:rPr>
        <w:t>mise en place de la stratégie pour la gestion européenne intégrée des frontières devrait davantage prendre en compte le fait que les frontières extérieures de l’UE sont des frontières communes nécessitant des actions collectives et coordonnées de la part d</w:t>
      </w:r>
      <w:r>
        <w:rPr>
          <w:rFonts w:ascii="Times New Roman" w:hAnsi="Times New Roman"/>
          <w:noProof/>
          <w:sz w:val="24"/>
        </w:rPr>
        <w:t>es autorités nationales compétentes et des autorités de l’UE, ainsi que de la part de l’Union dans son ensemble.</w:t>
      </w:r>
    </w:p>
    <w:p w:rsidR="003C16D8" w:rsidRDefault="002D1C76">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gestion européenne intégrée des frontières sert à renforcer la protection de la frontière extérieure commune, en tenant dûment compte de la </w:t>
      </w:r>
      <w:r>
        <w:rPr>
          <w:rFonts w:ascii="Times New Roman" w:hAnsi="Times New Roman"/>
          <w:noProof/>
          <w:sz w:val="24"/>
        </w:rPr>
        <w:t>situation propre à chaque État membre, en particulier la position géographique.</w:t>
      </w:r>
      <w:r>
        <w:rPr>
          <w:rFonts w:ascii="Times New Roman" w:hAnsi="Times New Roman"/>
          <w:b/>
          <w:noProof/>
          <w:sz w:val="24"/>
        </w:rPr>
        <w:t xml:space="preserve"> Les principes de solidarité et de partage équitable des responsabilités </w:t>
      </w:r>
      <w:r>
        <w:rPr>
          <w:rFonts w:ascii="Times New Roman" w:hAnsi="Times New Roman"/>
          <w:noProof/>
          <w:sz w:val="24"/>
        </w:rPr>
        <w:t>entre États membres énoncés dans le traité de Lisbonne</w:t>
      </w:r>
      <w:r>
        <w:rPr>
          <w:rStyle w:val="FootnoteReference"/>
          <w:rFonts w:ascii="Times New Roman" w:hAnsi="Times New Roman"/>
          <w:noProof/>
          <w:sz w:val="24"/>
        </w:rPr>
        <w:footnoteReference w:id="1"/>
      </w:r>
      <w:r>
        <w:rPr>
          <w:rFonts w:ascii="Times New Roman" w:hAnsi="Times New Roman"/>
          <w:noProof/>
          <w:sz w:val="24"/>
        </w:rPr>
        <w:t xml:space="preserve"> devraient être pleinement intégrés dans l’élabor</w:t>
      </w:r>
      <w:r>
        <w:rPr>
          <w:rFonts w:ascii="Times New Roman" w:hAnsi="Times New Roman"/>
          <w:noProof/>
          <w:sz w:val="24"/>
        </w:rPr>
        <w:t>ation de cette stratégie. Aucun État membre ne devrait se retrouver livré à lui-même lorsqu’il a besoin d’aide. Dans le même temps, les États membres devraient tirer pleinement parti de tous les outils et moyens disponibles au niveau de l’UE et au niveau n</w:t>
      </w:r>
      <w:r>
        <w:rPr>
          <w:rFonts w:ascii="Times New Roman" w:hAnsi="Times New Roman"/>
          <w:noProof/>
          <w:sz w:val="24"/>
        </w:rPr>
        <w:t xml:space="preserve">ational, d’une manière pleinement intégrée afin de traiter les éventuelles fragmentations et lacunes et de garantir un continuum d’actions, du contrôle aux frontières au retour. Ces éléments sont essentiels pour préserver et renforcer la </w:t>
      </w:r>
      <w:r>
        <w:rPr>
          <w:rFonts w:ascii="Times New Roman" w:hAnsi="Times New Roman"/>
          <w:b/>
          <w:noProof/>
          <w:sz w:val="24"/>
        </w:rPr>
        <w:t>confiance mutuelle</w:t>
      </w:r>
      <w:r>
        <w:rPr>
          <w:rFonts w:ascii="Times New Roman" w:hAnsi="Times New Roman"/>
          <w:b/>
          <w:noProof/>
          <w:sz w:val="24"/>
        </w:rPr>
        <w:t xml:space="preserve"> entre tous les pays de l’espace Schengen</w:t>
      </w:r>
      <w:r>
        <w:rPr>
          <w:rFonts w:ascii="Times New Roman" w:hAnsi="Times New Roman"/>
          <w:noProof/>
          <w:sz w:val="24"/>
        </w:rPr>
        <w:t>.</w:t>
      </w:r>
    </w:p>
    <w:p w:rsidR="003C16D8" w:rsidRDefault="002D1C76">
      <w:pPr>
        <w:spacing w:line="240" w:lineRule="auto"/>
        <w:rPr>
          <w:rFonts w:ascii="Times New Roman" w:hAnsi="Times New Roman" w:cs="Times New Roman"/>
          <w:b/>
          <w:noProof/>
          <w:sz w:val="24"/>
          <w:szCs w:val="24"/>
        </w:rPr>
      </w:pPr>
      <w:r>
        <w:rPr>
          <w:rFonts w:ascii="Times New Roman" w:hAnsi="Times New Roman"/>
          <w:b/>
          <w:noProof/>
          <w:sz w:val="24"/>
        </w:rPr>
        <w:t>Les principes fondamentaux de la gestion européenne intégrée des frontières</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L’essence d’une gestion intégrée des frontières est une intégration à tous les niveaux, pour toutes les formes de coopération en matière de gestion des frontières et de partage d’informations. </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noProof/>
          <w:sz w:val="24"/>
        </w:rPr>
        <w:t>Une gestion européenne intégrée des frontières devrait dès lor</w:t>
      </w:r>
      <w:r>
        <w:rPr>
          <w:rFonts w:ascii="Times New Roman" w:hAnsi="Times New Roman"/>
          <w:noProof/>
          <w:sz w:val="24"/>
        </w:rPr>
        <w:t xml:space="preserve">s être mise en œuvre au moyen d’une </w:t>
      </w:r>
      <w:r>
        <w:rPr>
          <w:rFonts w:ascii="Times New Roman" w:hAnsi="Times New Roman"/>
          <w:b/>
          <w:noProof/>
          <w:sz w:val="24"/>
        </w:rPr>
        <w:t>coopération interservices</w:t>
      </w:r>
      <w:r>
        <w:rPr>
          <w:rFonts w:ascii="Times New Roman" w:hAnsi="Times New Roman"/>
          <w:noProof/>
          <w:sz w:val="24"/>
        </w:rPr>
        <w:t xml:space="preserve"> aux niveaux européen et national afin de garantir une approche globale, transsectorielle et rentable. Cela suppose l’échange d’informations, une analyse commune des risques, des opérations conjo</w:t>
      </w:r>
      <w:r>
        <w:rPr>
          <w:rFonts w:ascii="Times New Roman" w:hAnsi="Times New Roman"/>
          <w:noProof/>
          <w:sz w:val="24"/>
        </w:rPr>
        <w:t>intes et l’utilisation partagée de capacités et de ressources européennes et nationales.</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Pour que le </w:t>
      </w:r>
      <w:r>
        <w:rPr>
          <w:rFonts w:ascii="Times New Roman" w:hAnsi="Times New Roman"/>
          <w:b/>
          <w:noProof/>
          <w:sz w:val="24"/>
        </w:rPr>
        <w:t>corps européen de garde-frontières et de garde-côtes</w:t>
      </w:r>
      <w:r>
        <w:rPr>
          <w:rFonts w:ascii="Times New Roman" w:hAnsi="Times New Roman"/>
          <w:noProof/>
          <w:sz w:val="24"/>
        </w:rPr>
        <w:t xml:space="preserve"> puisse mettre en œuvre efficacement la gestion européenne intégrée des frontières, une coopération étr</w:t>
      </w:r>
      <w:r>
        <w:rPr>
          <w:rFonts w:ascii="Times New Roman" w:hAnsi="Times New Roman"/>
          <w:noProof/>
          <w:sz w:val="24"/>
        </w:rPr>
        <w:t>oite entre ses différents éléments constitutifs, à savoir l’Agence européenne de garde-frontières et de garde-côtes et les garde-frontières des États membres, est essentielle. Cette coopération étroite est notamment nécessaire pour garantir la mise en comm</w:t>
      </w:r>
      <w:r>
        <w:rPr>
          <w:rFonts w:ascii="Times New Roman" w:hAnsi="Times New Roman"/>
          <w:noProof/>
          <w:sz w:val="24"/>
        </w:rPr>
        <w:t>un des ressources, permettant d’obtenir de bonnes capacités de réaction de l’UE et d’échanger des informations destinées à apprécier la situation au niveau européen. Le corps européen de garde-frontières et de garde-côtes doit être doté de toutes les capac</w:t>
      </w:r>
      <w:r>
        <w:rPr>
          <w:rFonts w:ascii="Times New Roman" w:hAnsi="Times New Roman"/>
          <w:noProof/>
          <w:sz w:val="24"/>
        </w:rPr>
        <w:t xml:space="preserve">ités juridiques, institutionnelles, administratives et opérationnelles et des ressources nécessaires pour mener des actions efficaces et efficientes dans le cadre de son mandat.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Afin de renforcer les capacités de réaction au niveau national et de l’UE, le</w:t>
      </w:r>
      <w:r>
        <w:rPr>
          <w:rFonts w:ascii="Times New Roman" w:hAnsi="Times New Roman"/>
          <w:noProof/>
          <w:sz w:val="24"/>
        </w:rPr>
        <w:t xml:space="preserve"> </w:t>
      </w:r>
      <w:r>
        <w:rPr>
          <w:rFonts w:ascii="Times New Roman" w:hAnsi="Times New Roman"/>
          <w:b/>
          <w:noProof/>
          <w:sz w:val="24"/>
        </w:rPr>
        <w:t>renforcement</w:t>
      </w:r>
      <w:r>
        <w:rPr>
          <w:rFonts w:ascii="Times New Roman" w:hAnsi="Times New Roman"/>
          <w:noProof/>
          <w:sz w:val="24"/>
        </w:rPr>
        <w:t xml:space="preserve"> des capacités du corps européen de garde-frontières et de garde-côtes devrait être mis en place et soutenu par des outils préventifs tels que des évaluations des vulnérabilités effectuées par l’Agence pour recenser les lacunes en matière de c</w:t>
      </w:r>
      <w:r>
        <w:rPr>
          <w:rFonts w:ascii="Times New Roman" w:hAnsi="Times New Roman"/>
          <w:noProof/>
          <w:sz w:val="24"/>
        </w:rPr>
        <w:t xml:space="preserve">apacités. </w:t>
      </w:r>
    </w:p>
    <w:p w:rsidR="003C16D8" w:rsidRDefault="002D1C76">
      <w:pPr>
        <w:spacing w:line="240" w:lineRule="auto"/>
        <w:jc w:val="both"/>
        <w:rPr>
          <w:rFonts w:ascii="Times New Roman" w:hAnsi="Times New Roman" w:cs="Times New Roman"/>
          <w:b/>
          <w:noProof/>
          <w:vanish/>
          <w:sz w:val="24"/>
          <w:szCs w:val="24"/>
        </w:rPr>
      </w:pPr>
      <w:r>
        <w:rPr>
          <w:rFonts w:ascii="Times New Roman" w:hAnsi="Times New Roman"/>
          <w:noProof/>
          <w:sz w:val="24"/>
        </w:rPr>
        <w:lastRenderedPageBreak/>
        <w:t xml:space="preserve">Pour assurer la confiance mutuelle, </w:t>
      </w:r>
      <w:r>
        <w:rPr>
          <w:rFonts w:ascii="Times New Roman" w:hAnsi="Times New Roman"/>
          <w:b/>
          <w:noProof/>
          <w:sz w:val="24"/>
        </w:rPr>
        <w:t>la gestion européenne intégrée des frontières devrait garantir le plein respect des droits fondamentaux</w:t>
      </w:r>
      <w:r>
        <w:rPr>
          <w:rFonts w:ascii="Times New Roman" w:hAnsi="Times New Roman"/>
          <w:noProof/>
          <w:sz w:val="24"/>
        </w:rPr>
        <w:t>, en accordant une attention particulière aux groupes vulnérables et aux mineurs, dans toutes les activité</w:t>
      </w:r>
      <w:r>
        <w:rPr>
          <w:rFonts w:ascii="Times New Roman" w:hAnsi="Times New Roman"/>
          <w:noProof/>
          <w:sz w:val="24"/>
        </w:rPr>
        <w:t xml:space="preserve">s liées à la gestion des frontières et au retour, y compris le respect du principe de non-refoulement.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b/>
          <w:noProof/>
          <w:sz w:val="24"/>
        </w:rPr>
        <w:t>Les personnes exerçant des fonctions liées à la surveillance des frontières européennes et au retour devraient s’en acquitter avec un grand professionna</w:t>
      </w:r>
      <w:r>
        <w:rPr>
          <w:rFonts w:ascii="Times New Roman" w:hAnsi="Times New Roman"/>
          <w:b/>
          <w:noProof/>
          <w:sz w:val="24"/>
        </w:rPr>
        <w:t xml:space="preserve">lisme </w:t>
      </w:r>
      <w:r>
        <w:rPr>
          <w:rFonts w:ascii="Times New Roman" w:hAnsi="Times New Roman"/>
          <w:noProof/>
          <w:sz w:val="24"/>
        </w:rPr>
        <w:t>et adhérer à des valeurs éthiques élevées. Des capacités adéquates en matière de formation devraient être garanties aux niveaux européen et national, y compris pour ce qui est du respect des droits fondamentaux.</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b/>
          <w:noProof/>
          <w:sz w:val="24"/>
        </w:rPr>
        <w:t>La poursuite du développement des outi</w:t>
      </w:r>
      <w:r>
        <w:rPr>
          <w:rFonts w:ascii="Times New Roman" w:hAnsi="Times New Roman"/>
          <w:b/>
          <w:noProof/>
          <w:sz w:val="24"/>
        </w:rPr>
        <w:t xml:space="preserve">ls permettant une gestion européenne intégrée des frontières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La gestion européenne intégrée des frontières devrait </w:t>
      </w:r>
      <w:r>
        <w:rPr>
          <w:rFonts w:ascii="Times New Roman" w:hAnsi="Times New Roman"/>
          <w:b/>
          <w:noProof/>
          <w:sz w:val="24"/>
        </w:rPr>
        <w:t>contribuer à la mise en œuvre unifiée et harmonisée des règles et normes en matière de contrôle aux frontières</w:t>
      </w:r>
      <w:r>
        <w:rPr>
          <w:rFonts w:ascii="Times New Roman" w:hAnsi="Times New Roman"/>
          <w:noProof/>
          <w:sz w:val="24"/>
        </w:rPr>
        <w:t xml:space="preserve"> conformément aux dispositions</w:t>
      </w:r>
      <w:r>
        <w:rPr>
          <w:rFonts w:ascii="Times New Roman" w:hAnsi="Times New Roman"/>
          <w:noProof/>
          <w:sz w:val="24"/>
        </w:rPr>
        <w:t xml:space="preserve"> du code frontières Schengen et aux normes de l’Union en matière de gestion des frontières. Le contrôle aux frontières devrait être fondé sur l’analyse des risques et soutenu par l’utilisation d’équipements de pointe et de systèmes informatiques modernes.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b/>
          <w:noProof/>
          <w:sz w:val="24"/>
        </w:rPr>
        <w:t xml:space="preserve">Une appréciation fiable et complète de la situation aux frontières devrait être maintenue afin de garantir un niveau élevé de capacité à prendre les mesures adéquates aux niveaux européen et national. </w:t>
      </w:r>
      <w:r>
        <w:rPr>
          <w:rFonts w:ascii="Times New Roman" w:hAnsi="Times New Roman"/>
          <w:noProof/>
          <w:sz w:val="24"/>
        </w:rPr>
        <w:t>Un tableau de situation complet en temps quasi réel de</w:t>
      </w:r>
      <w:r>
        <w:rPr>
          <w:rFonts w:ascii="Times New Roman" w:hAnsi="Times New Roman"/>
          <w:noProof/>
          <w:sz w:val="24"/>
        </w:rPr>
        <w:t xml:space="preserve">vrait être élaboré et partagé dans le cadre d’EUROSUR, comprenant le suivi de la situation migratoire dans tous les pays tiers concernés ainsi que les mouvements secondaires au sein de l’UE.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Des</w:t>
      </w:r>
      <w:r>
        <w:rPr>
          <w:rFonts w:ascii="Times New Roman" w:hAnsi="Times New Roman"/>
          <w:b/>
          <w:noProof/>
          <w:sz w:val="24"/>
        </w:rPr>
        <w:t xml:space="preserve"> analyses des risques </w:t>
      </w:r>
      <w:r>
        <w:rPr>
          <w:rFonts w:ascii="Times New Roman" w:hAnsi="Times New Roman"/>
          <w:noProof/>
          <w:sz w:val="24"/>
        </w:rPr>
        <w:t>devraient être effectuées pour soutenir</w:t>
      </w:r>
      <w:r>
        <w:rPr>
          <w:rFonts w:ascii="Times New Roman" w:hAnsi="Times New Roman"/>
          <w:noProof/>
          <w:sz w:val="24"/>
        </w:rPr>
        <w:t xml:space="preserve"> la planification stratégique et opérationnelle et la prise de décisions. Les données pertinentes devraient être recueillies et partagées dans le cadre du corps européen de garde-frontières et de garde-côtes, en particulier pour aider l’Agence à fournir de</w:t>
      </w:r>
      <w:r>
        <w:rPr>
          <w:rFonts w:ascii="Times New Roman" w:hAnsi="Times New Roman"/>
          <w:noProof/>
          <w:sz w:val="24"/>
        </w:rPr>
        <w:t>s informations centralisées dans une perspective européenne.</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noProof/>
          <w:sz w:val="24"/>
        </w:rPr>
        <w:t>Des capacités de réaction adéquates et</w:t>
      </w:r>
      <w:r>
        <w:rPr>
          <w:rFonts w:ascii="Times New Roman" w:hAnsi="Times New Roman"/>
          <w:b/>
          <w:noProof/>
          <w:sz w:val="24"/>
        </w:rPr>
        <w:t xml:space="preserve"> continues (24 heures sur 24, 7 jours sur 7) </w:t>
      </w:r>
      <w:r>
        <w:rPr>
          <w:rFonts w:ascii="Times New Roman" w:hAnsi="Times New Roman"/>
          <w:noProof/>
          <w:sz w:val="24"/>
        </w:rPr>
        <w:t>devraient être assurées au niveau national pour réagir correctement à tous les incidents qui se produisent aux f</w:t>
      </w:r>
      <w:r>
        <w:rPr>
          <w:rFonts w:ascii="Times New Roman" w:hAnsi="Times New Roman"/>
          <w:noProof/>
          <w:sz w:val="24"/>
        </w:rPr>
        <w:t>rontières et aux changements imprévisibles aux frontières extérieures, notamment les flux migratoires à grande échelle.</w:t>
      </w:r>
      <w:r>
        <w:rPr>
          <w:rFonts w:ascii="Times New Roman" w:hAnsi="Times New Roman"/>
          <w:b/>
          <w:noProof/>
          <w:sz w:val="24"/>
        </w:rPr>
        <w:t xml:space="preserve">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Des </w:t>
      </w:r>
      <w:r>
        <w:rPr>
          <w:rFonts w:ascii="Times New Roman" w:hAnsi="Times New Roman"/>
          <w:b/>
          <w:noProof/>
          <w:sz w:val="24"/>
        </w:rPr>
        <w:t>plans d’urgence</w:t>
      </w:r>
      <w:r>
        <w:rPr>
          <w:rFonts w:ascii="Times New Roman" w:hAnsi="Times New Roman"/>
          <w:noProof/>
          <w:sz w:val="24"/>
        </w:rPr>
        <w:t xml:space="preserve"> complets, testés et constamment </w:t>
      </w:r>
      <w:r>
        <w:rPr>
          <w:rFonts w:ascii="Times New Roman" w:hAnsi="Times New Roman"/>
          <w:b/>
          <w:noProof/>
          <w:sz w:val="24"/>
        </w:rPr>
        <w:t>mis à jour</w:t>
      </w:r>
      <w:r>
        <w:rPr>
          <w:rFonts w:ascii="Times New Roman" w:hAnsi="Times New Roman"/>
          <w:noProof/>
          <w:sz w:val="24"/>
        </w:rPr>
        <w:t xml:space="preserve"> devraient être mis en place, notamment en ce qui concerne l’utilisation </w:t>
      </w:r>
      <w:r>
        <w:rPr>
          <w:rFonts w:ascii="Times New Roman" w:hAnsi="Times New Roman"/>
          <w:noProof/>
          <w:sz w:val="24"/>
        </w:rPr>
        <w:t xml:space="preserve">des capacités et instruments européens et nationaux. Ils devraient être évalués par l’Agence au moyen des évaluations des vulnérabilités (exercices de simulation).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Les efforts conjoints de l’Agence européenne de garde-frontières et de garde-côtes et des É</w:t>
      </w:r>
      <w:r>
        <w:rPr>
          <w:rFonts w:ascii="Times New Roman" w:hAnsi="Times New Roman"/>
          <w:noProof/>
          <w:sz w:val="24"/>
        </w:rPr>
        <w:t xml:space="preserve">tats membres devraient garantir que les </w:t>
      </w:r>
      <w:r>
        <w:rPr>
          <w:rFonts w:ascii="Times New Roman" w:hAnsi="Times New Roman"/>
          <w:b/>
          <w:noProof/>
          <w:sz w:val="24"/>
        </w:rPr>
        <w:t>capacités de réaction rapide de l’UE</w:t>
      </w:r>
      <w:r>
        <w:rPr>
          <w:rFonts w:ascii="Times New Roman" w:hAnsi="Times New Roman"/>
          <w:noProof/>
          <w:sz w:val="24"/>
        </w:rPr>
        <w:t xml:space="preserve"> sont en place afin de renforcer rapidement, en fonction des besoins, le contrôle aux frontières aux points de passage frontaliers ou aux tronçons de frontières touchés, par l’inte</w:t>
      </w:r>
      <w:r>
        <w:rPr>
          <w:rFonts w:ascii="Times New Roman" w:hAnsi="Times New Roman"/>
          <w:noProof/>
          <w:sz w:val="24"/>
        </w:rPr>
        <w:t xml:space="preserve">rmédiaire des mécanismes adéquats du corps européen de garde-frontières et de garde-côtes (réserves de réaction rapide), afin de réagir à toute évolution compromettant le bon fonctionnement de l’espace Schengen.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b/>
          <w:noProof/>
          <w:sz w:val="24"/>
        </w:rPr>
        <w:t>Protéger les personnes et sauver des vies a</w:t>
      </w:r>
      <w:r>
        <w:rPr>
          <w:rFonts w:ascii="Times New Roman" w:hAnsi="Times New Roman"/>
          <w:b/>
          <w:noProof/>
          <w:sz w:val="24"/>
        </w:rPr>
        <w:t>ux frontières extérieures est une priorité essentielle</w:t>
      </w:r>
      <w:r>
        <w:rPr>
          <w:rFonts w:ascii="Times New Roman" w:hAnsi="Times New Roman"/>
          <w:noProof/>
          <w:sz w:val="24"/>
        </w:rPr>
        <w:t xml:space="preserve"> de la gestion européenne intégrée des frontières; la capacité à mener des opérations de </w:t>
      </w:r>
      <w:r>
        <w:rPr>
          <w:rFonts w:ascii="Times New Roman" w:hAnsi="Times New Roman"/>
          <w:b/>
          <w:noProof/>
          <w:sz w:val="24"/>
        </w:rPr>
        <w:t>recherche et de sauvetage</w:t>
      </w:r>
      <w:r>
        <w:rPr>
          <w:rFonts w:ascii="Times New Roman" w:hAnsi="Times New Roman"/>
          <w:noProof/>
          <w:sz w:val="24"/>
        </w:rPr>
        <w:t xml:space="preserve"> et l’état de préparation opérationnelle en la matière </w:t>
      </w:r>
      <w:r>
        <w:rPr>
          <w:rFonts w:ascii="Times New Roman" w:hAnsi="Times New Roman"/>
          <w:noProof/>
          <w:sz w:val="24"/>
        </w:rPr>
        <w:lastRenderedPageBreak/>
        <w:t>devraient faire partie intégrante</w:t>
      </w:r>
      <w:r>
        <w:rPr>
          <w:rFonts w:ascii="Times New Roman" w:hAnsi="Times New Roman"/>
          <w:noProof/>
          <w:sz w:val="24"/>
        </w:rPr>
        <w:t xml:space="preserve"> de toutes les opérations de surveillance aux frontières maritimes extérieures.</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En parallèle, les retours font partie intégrante de la chaîne de gestion des migrations et du fonctionnement de la gestion européenne intégrée des frontières. Tous les ressorti</w:t>
      </w:r>
      <w:r>
        <w:rPr>
          <w:rFonts w:ascii="Times New Roman" w:hAnsi="Times New Roman"/>
          <w:noProof/>
          <w:sz w:val="24"/>
        </w:rPr>
        <w:t>ssants de pays tiers faisant l’objet d’une décision de retour prise par un État membre devraient être renvoyés rapidement et de manière effective. À cette fin, des capacités adéquates en matière de retour aux niveaux européen et national doivent être garan</w:t>
      </w:r>
      <w:r>
        <w:rPr>
          <w:rFonts w:ascii="Times New Roman" w:hAnsi="Times New Roman"/>
          <w:noProof/>
          <w:sz w:val="24"/>
        </w:rPr>
        <w:t xml:space="preserve">ties. </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b/>
          <w:noProof/>
          <w:sz w:val="24"/>
        </w:rPr>
        <w:t>Une meilleure intégration avec les activités aux frontières intérieures</w:t>
      </w:r>
    </w:p>
    <w:p w:rsidR="003C16D8" w:rsidRDefault="002D1C76">
      <w:pPr>
        <w:spacing w:line="240" w:lineRule="auto"/>
        <w:jc w:val="both"/>
        <w:rPr>
          <w:rFonts w:ascii="Times New Roman" w:hAnsi="Times New Roman" w:cs="Times New Roman"/>
          <w:noProof/>
          <w:sz w:val="24"/>
          <w:szCs w:val="24"/>
        </w:rPr>
      </w:pPr>
      <w:r>
        <w:rPr>
          <w:rFonts w:ascii="Times New Roman" w:hAnsi="Times New Roman"/>
          <w:b/>
          <w:noProof/>
          <w:sz w:val="24"/>
        </w:rPr>
        <w:t xml:space="preserve">Un contrôle de qualité européen au moyen des évaluations Schengen et des évaluations des vulnérabilités </w:t>
      </w:r>
      <w:r>
        <w:rPr>
          <w:rFonts w:ascii="Times New Roman" w:hAnsi="Times New Roman"/>
          <w:noProof/>
          <w:sz w:val="24"/>
        </w:rPr>
        <w:t>est un outil essentiel pour garantir le contrôle continu de la bonne mise</w:t>
      </w:r>
      <w:r>
        <w:rPr>
          <w:rFonts w:ascii="Times New Roman" w:hAnsi="Times New Roman"/>
          <w:noProof/>
          <w:sz w:val="24"/>
        </w:rPr>
        <w:t xml:space="preserve"> en œuvre de la gestion européenne intégrée des frontières ainsi qu’une capacité à réagir à tout moment aux défis qui se posent. Les résultats du contrôle de qualité devraient être pris en considération à l’heure de définir des priorités pour l’utilisation</w:t>
      </w:r>
      <w:r>
        <w:rPr>
          <w:rFonts w:ascii="Times New Roman" w:hAnsi="Times New Roman"/>
          <w:noProof/>
          <w:sz w:val="24"/>
        </w:rPr>
        <w:t xml:space="preserve"> des fonds de l’UE aux niveaux national et européen.</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Les États membres devraient prendre les mesures techniques et opérationnelles appropriées au sein de l’espace Schengen pour </w:t>
      </w:r>
      <w:r>
        <w:rPr>
          <w:rFonts w:ascii="Times New Roman" w:hAnsi="Times New Roman"/>
          <w:b/>
          <w:noProof/>
          <w:sz w:val="24"/>
        </w:rPr>
        <w:t>lutter efficacement contre les mouvements secondaires, la migration irrégulière</w:t>
      </w:r>
      <w:r>
        <w:rPr>
          <w:rFonts w:ascii="Times New Roman" w:hAnsi="Times New Roman"/>
          <w:b/>
          <w:noProof/>
          <w:sz w:val="24"/>
        </w:rPr>
        <w:t xml:space="preserve"> et la criminalité transfrontière ayant trait aux frontières extérieures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Conformément à la recommandation de la Commission relative à des contrôles de police proportionnés et à la coopération policière dans l’espace Schengen, les capacités nationales devr</w:t>
      </w:r>
      <w:r>
        <w:rPr>
          <w:rFonts w:ascii="Times New Roman" w:hAnsi="Times New Roman"/>
          <w:noProof/>
          <w:sz w:val="24"/>
        </w:rPr>
        <w:t>aient être renforcées pour intensifier les contrôles de police sur le territoire, y compris les zones frontalières.</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b/>
          <w:noProof/>
          <w:sz w:val="24"/>
        </w:rPr>
        <w:t>Une meilleure intégration des politiques concernées</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La gestion européenne intégrée des frontières concerne tant la </w:t>
      </w:r>
      <w:r>
        <w:rPr>
          <w:rFonts w:ascii="Times New Roman" w:hAnsi="Times New Roman"/>
          <w:b/>
          <w:noProof/>
          <w:sz w:val="24"/>
        </w:rPr>
        <w:t>politique migratoire</w:t>
      </w:r>
      <w:r>
        <w:rPr>
          <w:rFonts w:ascii="Times New Roman" w:hAnsi="Times New Roman"/>
          <w:noProof/>
          <w:sz w:val="24"/>
        </w:rPr>
        <w:t xml:space="preserve"> que la </w:t>
      </w:r>
      <w:r>
        <w:rPr>
          <w:rFonts w:ascii="Times New Roman" w:hAnsi="Times New Roman"/>
          <w:b/>
          <w:noProof/>
          <w:sz w:val="24"/>
        </w:rPr>
        <w:t>politique de sécurité</w:t>
      </w:r>
      <w:r>
        <w:rPr>
          <w:rFonts w:ascii="Times New Roman" w:hAnsi="Times New Roman"/>
          <w:noProof/>
          <w:sz w:val="24"/>
        </w:rPr>
        <w:t xml:space="preserve"> de l’Union.</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La capacité à lutter contre la criminalité transfrontière et le terrorisme aux frontières extérieures devrait être renforcée, </w:t>
      </w:r>
      <w:r>
        <w:rPr>
          <w:rFonts w:ascii="Times New Roman" w:hAnsi="Times New Roman"/>
          <w:noProof/>
          <w:sz w:val="24"/>
        </w:rPr>
        <w:t>de manière à ce que les autorités compétentes puissent détecter et prévenir la criminali</w:t>
      </w:r>
      <w:r>
        <w:rPr>
          <w:rFonts w:ascii="Times New Roman" w:hAnsi="Times New Roman"/>
          <w:noProof/>
          <w:sz w:val="24"/>
        </w:rPr>
        <w:t>té transfrontière et repérer les combattants terroristes étrangers aux frontières extérieures. À cet égard, la coopération entre le corps européen de garde-frontières et de garde-côtes, Europol, Eurojust et, si nécessaire, Interpol devrait être renforcée.</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Toutes les agences concernées de l’UE (corps européen de garde-frontières et de garde-côtes, Bureau européen d’appui en matière d’asile, EUROPOL et Agence des droits fondamentaux) devraient être constamment prêtes à</w:t>
      </w:r>
      <w:r>
        <w:rPr>
          <w:rFonts w:ascii="Times New Roman" w:hAnsi="Times New Roman"/>
          <w:b/>
          <w:noProof/>
          <w:sz w:val="24"/>
        </w:rPr>
        <w:t xml:space="preserve"> déployer des équipes d’appui à la gestio</w:t>
      </w:r>
      <w:r>
        <w:rPr>
          <w:rFonts w:ascii="Times New Roman" w:hAnsi="Times New Roman"/>
          <w:b/>
          <w:noProof/>
          <w:sz w:val="24"/>
        </w:rPr>
        <w:t xml:space="preserve">n des flux migratoires selon l’exemple des zones d’urgence migratoire déjà établies. </w:t>
      </w:r>
      <w:r>
        <w:rPr>
          <w:rFonts w:ascii="Times New Roman" w:hAnsi="Times New Roman"/>
          <w:noProof/>
          <w:sz w:val="24"/>
        </w:rPr>
        <w:t>Les États membres devraient disposer du cadre juridique et de l’état de préparation opérationnelle requis pour accueillir ou soutenir des zones d’urgence migratoire au niv</w:t>
      </w:r>
      <w:r>
        <w:rPr>
          <w:rFonts w:ascii="Times New Roman" w:hAnsi="Times New Roman"/>
          <w:noProof/>
          <w:sz w:val="24"/>
        </w:rPr>
        <w:t xml:space="preserve">eau européen. </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b/>
          <w:noProof/>
          <w:sz w:val="24"/>
        </w:rPr>
        <w:t>Une meilleure intégration avec les actions pertinentes menées dans les pays tiers</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Une </w:t>
      </w:r>
      <w:r>
        <w:rPr>
          <w:rFonts w:ascii="Times New Roman" w:hAnsi="Times New Roman"/>
          <w:b/>
          <w:noProof/>
          <w:sz w:val="24"/>
        </w:rPr>
        <w:t>coopération</w:t>
      </w:r>
      <w:r>
        <w:rPr>
          <w:rFonts w:ascii="Times New Roman" w:hAnsi="Times New Roman"/>
          <w:noProof/>
          <w:sz w:val="24"/>
        </w:rPr>
        <w:t xml:space="preserve"> étroite et concrète </w:t>
      </w:r>
      <w:r>
        <w:rPr>
          <w:rFonts w:ascii="Times New Roman" w:hAnsi="Times New Roman"/>
          <w:b/>
          <w:noProof/>
          <w:sz w:val="24"/>
        </w:rPr>
        <w:t>avec les pays tiers</w:t>
      </w:r>
      <w:r>
        <w:rPr>
          <w:rFonts w:ascii="Times New Roman" w:hAnsi="Times New Roman"/>
          <w:noProof/>
          <w:sz w:val="24"/>
        </w:rPr>
        <w:t xml:space="preserve"> est essentielle pour prévenir la migration irrégulière et la criminalité transfrontière, renforcer les </w:t>
      </w:r>
      <w:r>
        <w:rPr>
          <w:rFonts w:ascii="Times New Roman" w:hAnsi="Times New Roman"/>
          <w:noProof/>
          <w:sz w:val="24"/>
        </w:rPr>
        <w:t>retours effectifs et faciliter les voyages effectués de façon légitime. La priorité devrait être accordée aux pays candidats à l’adhésion à l’UE ainsi qu’aux pays d’origine et de transit pour la migration irrégulière et d’autres délits transfrontières. Des</w:t>
      </w:r>
      <w:r>
        <w:rPr>
          <w:rFonts w:ascii="Times New Roman" w:hAnsi="Times New Roman"/>
          <w:noProof/>
          <w:sz w:val="24"/>
        </w:rPr>
        <w:t xml:space="preserve"> efforts particuliers devraient être consentis pour soutenir les </w:t>
      </w:r>
      <w:r>
        <w:rPr>
          <w:rFonts w:ascii="Times New Roman" w:hAnsi="Times New Roman"/>
          <w:b/>
          <w:noProof/>
          <w:sz w:val="24"/>
        </w:rPr>
        <w:t>retours effectifs</w:t>
      </w:r>
      <w:r>
        <w:rPr>
          <w:rFonts w:ascii="Times New Roman" w:hAnsi="Times New Roman"/>
          <w:noProof/>
          <w:sz w:val="24"/>
        </w:rPr>
        <w:t>. Tous les fonds disponibles de l’UE devraient être utilisés pour promouvoir la coopération avec les pays tiers, qui devrait inclure un large éventail de mesures (officiers d</w:t>
      </w:r>
      <w:r>
        <w:rPr>
          <w:rFonts w:ascii="Times New Roman" w:hAnsi="Times New Roman"/>
          <w:noProof/>
          <w:sz w:val="24"/>
        </w:rPr>
        <w:t>e liaison, tableau de situation commun partagé et renforcement des capacités).</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Une meilleure intégration avec les financements disponibles </w:t>
      </w:r>
    </w:p>
    <w:p w:rsidR="003C16D8" w:rsidRDefault="002D1C76">
      <w:pPr>
        <w:spacing w:line="240" w:lineRule="auto"/>
        <w:jc w:val="both"/>
        <w:rPr>
          <w:rFonts w:ascii="Times New Roman" w:hAnsi="Times New Roman" w:cs="Times New Roman"/>
          <w:noProof/>
          <w:sz w:val="24"/>
          <w:szCs w:val="24"/>
        </w:rPr>
      </w:pPr>
      <w:r>
        <w:rPr>
          <w:rFonts w:ascii="Times New Roman" w:hAnsi="Times New Roman"/>
          <w:noProof/>
          <w:sz w:val="24"/>
        </w:rPr>
        <w:t xml:space="preserve">Une </w:t>
      </w:r>
      <w:r>
        <w:rPr>
          <w:rFonts w:ascii="Times New Roman" w:hAnsi="Times New Roman"/>
          <w:b/>
          <w:noProof/>
          <w:sz w:val="24"/>
        </w:rPr>
        <w:t>répartition adéquate des ressources financières de l’UE</w:t>
      </w:r>
      <w:r>
        <w:rPr>
          <w:rFonts w:ascii="Times New Roman" w:hAnsi="Times New Roman"/>
          <w:noProof/>
          <w:sz w:val="24"/>
        </w:rPr>
        <w:t xml:space="preserve"> est nécessaire afin que les États membres qui sont en pr</w:t>
      </w:r>
      <w:r>
        <w:rPr>
          <w:rFonts w:ascii="Times New Roman" w:hAnsi="Times New Roman"/>
          <w:noProof/>
          <w:sz w:val="24"/>
        </w:rPr>
        <w:t xml:space="preserve">emière ligne disposent des capacités suffisantes pour faire face aux défis qui se posent, dans l’intérêt de l’ensemble de l’UE. Les </w:t>
      </w:r>
      <w:r>
        <w:rPr>
          <w:rFonts w:ascii="Times New Roman" w:hAnsi="Times New Roman"/>
          <w:b/>
          <w:noProof/>
          <w:sz w:val="24"/>
        </w:rPr>
        <w:t>contributions sous la forme de ressources humaines et techniques suffisantes</w:t>
      </w:r>
      <w:r>
        <w:rPr>
          <w:rFonts w:ascii="Times New Roman" w:hAnsi="Times New Roman"/>
          <w:noProof/>
          <w:sz w:val="24"/>
        </w:rPr>
        <w:t xml:space="preserve"> sont fournies par les États membres afin de per</w:t>
      </w:r>
      <w:r>
        <w:rPr>
          <w:rFonts w:ascii="Times New Roman" w:hAnsi="Times New Roman"/>
          <w:noProof/>
          <w:sz w:val="24"/>
        </w:rPr>
        <w:t>mettre au corps européen de garde-frontières et de garde-côtes de mener les activités opérationnelles pertinentes.</w:t>
      </w:r>
    </w:p>
    <w:p w:rsidR="003C16D8" w:rsidRDefault="002D1C76">
      <w:pPr>
        <w:spacing w:line="240" w:lineRule="auto"/>
        <w:jc w:val="both"/>
        <w:rPr>
          <w:rFonts w:ascii="Times New Roman" w:hAnsi="Times New Roman" w:cs="Times New Roman"/>
          <w:b/>
          <w:noProof/>
          <w:sz w:val="24"/>
          <w:szCs w:val="24"/>
        </w:rPr>
      </w:pPr>
      <w:r>
        <w:rPr>
          <w:rFonts w:ascii="Times New Roman" w:hAnsi="Times New Roman"/>
          <w:noProof/>
          <w:sz w:val="24"/>
        </w:rPr>
        <w:t>La gestion européenne intégrée des frontières devrait bénéficier des fonds de l’UE concernés, en utilisant pleinement les programmes nationau</w:t>
      </w:r>
      <w:r>
        <w:rPr>
          <w:rFonts w:ascii="Times New Roman" w:hAnsi="Times New Roman"/>
          <w:noProof/>
          <w:sz w:val="24"/>
        </w:rPr>
        <w:t>x existants au titre du Fonds pour la sécurité intérieure et du Fonds «Asile, migration et intégration», ainsi que les autres ressources appropriées telles que l’instrument d’aide de préadhésion pour soutenir la coopération avec les pays tiers.</w:t>
      </w:r>
      <w:r>
        <w:rPr>
          <w:noProof/>
        </w:rPr>
        <w:t xml:space="preserve"> </w:t>
      </w:r>
      <w:r>
        <w:rPr>
          <w:rFonts w:ascii="Times New Roman" w:hAnsi="Times New Roman"/>
          <w:noProof/>
          <w:sz w:val="24"/>
        </w:rPr>
        <w:t>À long term</w:t>
      </w:r>
      <w:r>
        <w:rPr>
          <w:rFonts w:ascii="Times New Roman" w:hAnsi="Times New Roman"/>
          <w:noProof/>
          <w:sz w:val="24"/>
        </w:rPr>
        <w:t>e, l’efficacité de la mise en œuvre de la gestion européenne intégrée des frontières dépendra des options stratégiques visées dans la communication de la Commission sur le futur cadre financier pluriannuel.</w:t>
      </w:r>
    </w:p>
    <w:sectPr w:rsidR="003C16D8">
      <w:headerReference w:type="even" r:id="rId21"/>
      <w:headerReference w:type="default" r:id="rId22"/>
      <w:footerReference w:type="even" r:id="rId23"/>
      <w:footerReference w:type="default" r:id="rId24"/>
      <w:headerReference w:type="first" r:id="rId25"/>
      <w:footerReference w:type="first" r:id="rId26"/>
      <w:pgSz w:w="11907" w:h="16839" w:code="9"/>
      <w:pgMar w:top="1440" w:right="1440" w:bottom="1440" w:left="1440" w:header="3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D8" w:rsidRDefault="002D1C76">
      <w:pPr>
        <w:spacing w:after="0" w:line="240" w:lineRule="auto"/>
      </w:pPr>
      <w:r>
        <w:separator/>
      </w:r>
    </w:p>
  </w:endnote>
  <w:endnote w:type="continuationSeparator" w:id="0">
    <w:p w:rsidR="003C16D8" w:rsidRDefault="002D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76" w:rsidRPr="002D1C76" w:rsidRDefault="002D1C76" w:rsidP="002D1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76" w:rsidRPr="002D1C76" w:rsidRDefault="002D1C76" w:rsidP="002D1C76">
    <w:pPr>
      <w:pStyle w:val="FooterCoverPage"/>
      <w:rPr>
        <w:rFonts w:ascii="Arial" w:hAnsi="Arial" w:cs="Arial"/>
        <w:b/>
        <w:sz w:val="48"/>
      </w:rPr>
    </w:pPr>
    <w:r w:rsidRPr="002D1C76">
      <w:rPr>
        <w:rFonts w:ascii="Arial" w:hAnsi="Arial" w:cs="Arial"/>
        <w:b/>
        <w:sz w:val="48"/>
      </w:rPr>
      <w:t>FR</w:t>
    </w:r>
    <w:r w:rsidRPr="002D1C76">
      <w:rPr>
        <w:rFonts w:ascii="Arial" w:hAnsi="Arial" w:cs="Arial"/>
        <w:b/>
        <w:sz w:val="48"/>
      </w:rPr>
      <w:tab/>
    </w:r>
    <w:r w:rsidRPr="002D1C76">
      <w:rPr>
        <w:rFonts w:ascii="Arial" w:hAnsi="Arial" w:cs="Arial"/>
        <w:b/>
        <w:sz w:val="48"/>
      </w:rPr>
      <w:tab/>
    </w:r>
    <w:r w:rsidRPr="002D1C76">
      <w:tab/>
    </w:r>
    <w:r w:rsidRPr="002D1C7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76" w:rsidRPr="002D1C76" w:rsidRDefault="002D1C76" w:rsidP="002D1C7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63745"/>
      <w:docPartObj>
        <w:docPartGallery w:val="Page Numbers (Bottom of Page)"/>
        <w:docPartUnique/>
      </w:docPartObj>
    </w:sdtPr>
    <w:sdtEndPr>
      <w:rPr>
        <w:rFonts w:ascii="Times New Roman" w:hAnsi="Times New Roman" w:cs="Times New Roman"/>
        <w:noProof/>
      </w:rPr>
    </w:sdtEndPr>
    <w:sdtContent>
      <w:p w:rsidR="003C16D8" w:rsidRDefault="002D1C7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D8" w:rsidRDefault="002D1C76">
      <w:pPr>
        <w:spacing w:after="0" w:line="240" w:lineRule="auto"/>
      </w:pPr>
      <w:r>
        <w:separator/>
      </w:r>
    </w:p>
  </w:footnote>
  <w:footnote w:type="continuationSeparator" w:id="0">
    <w:p w:rsidR="003C16D8" w:rsidRDefault="002D1C76">
      <w:pPr>
        <w:spacing w:after="0" w:line="240" w:lineRule="auto"/>
      </w:pPr>
      <w:r>
        <w:continuationSeparator/>
      </w:r>
    </w:p>
  </w:footnote>
  <w:footnote w:id="1">
    <w:p w:rsidR="003C16D8" w:rsidRDefault="002D1C7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76" w:rsidRPr="002D1C76" w:rsidRDefault="002D1C76" w:rsidP="002D1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76" w:rsidRPr="002D1C76" w:rsidRDefault="002D1C76" w:rsidP="002D1C7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76" w:rsidRPr="002D1C76" w:rsidRDefault="002D1C76" w:rsidP="002D1C7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D8" w:rsidRDefault="003C16D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6"/>
    <w:docVar w:name="LW_ANNEX_NBR_LAST" w:val="6"/>
    <w:docVar w:name="LW_ANNEX_UNIQUE" w:val="0"/>
    <w:docVar w:name="LW_CORRIGENDUM" w:val="&lt;UNUSED&gt;"/>
    <w:docVar w:name="LW_COVERPAGE_EXISTS" w:val="True"/>
    <w:docVar w:name="LW_COVERPAGE_GUID" w:val="27092D47-33D0-4EE0-86FA-63F121DD6353"/>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xelles, le"/>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avancement sur la mise en \u339?uvre de l'agenda européen en matière de migration_x000b_"/>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COMMUNICATION DE LA COMMISSION AU PARLEMENT EUROPÉEN, AU CONSEIL EUROPÉEN ET AU CONSEIL"/>
  </w:docVars>
  <w:rsids>
    <w:rsidRoot w:val="003C16D8"/>
    <w:rsid w:val="002D1C76"/>
    <w:rsid w:val="003C16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56F2-6AC0-45A7-A3D8-1AF0FDC0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1699</Words>
  <Characters>10003</Characters>
  <Application>Microsoft Office Word</Application>
  <DocSecurity>0</DocSecurity>
  <Lines>147</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15</cp:revision>
  <dcterms:created xsi:type="dcterms:W3CDTF">2018-03-13T10:49:00Z</dcterms:created>
  <dcterms:modified xsi:type="dcterms:W3CDTF">2018-03-20T11:46:00Z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