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7461A1-D61E-4669-A29C-3B418D070ED4" style="width:450.6pt;height:407.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Двата проекта за решения на Съвместния комитет на ЕИП (приложени към предложеното решение на Съвета) имат за цел да се измени приложение IX (Финансови услуги) към Споразумението за ЕИП, за да се включат делегираните регламенти и регламентите за изпълнение във връзка с Регламента за европейската пазарна инфраструктура</w:t>
      </w:r>
      <w:r>
        <w:rPr>
          <w:rStyle w:val="FootnoteReference"/>
          <w:noProof/>
        </w:rPr>
        <w:footnoteReference w:id="1"/>
      </w:r>
      <w:r>
        <w:rPr>
          <w:noProof/>
        </w:rPr>
        <w:t>.</w:t>
      </w:r>
    </w:p>
    <w:p>
      <w:pPr>
        <w:pStyle w:val="Text1"/>
        <w:rPr>
          <w:noProof/>
        </w:rPr>
      </w:pPr>
      <w:r>
        <w:rPr>
          <w:noProof/>
        </w:rPr>
        <w:t>Адаптациите, които фигурират в приложените проекти на решения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ще бъде определена от Съвета.</w:t>
      </w:r>
    </w:p>
    <w:p>
      <w:pPr>
        <w:pStyle w:val="Text1"/>
        <w:rPr>
          <w:noProof/>
          <w:szCs w:val="24"/>
        </w:rPr>
      </w:pPr>
      <w:r>
        <w:rPr>
          <w:noProof/>
        </w:rPr>
        <w:t>Настоящото предложение за решение се отнася за два проекта на решения на Съвместния комитет на ЕИП, с които се цели включването на следните правни актове на ЕС.</w:t>
      </w:r>
    </w:p>
    <w:p>
      <w:pPr>
        <w:pStyle w:val="ManualHeading2"/>
        <w:rPr>
          <w:noProof/>
          <w:u w:val="single"/>
        </w:rPr>
      </w:pPr>
      <w:r>
        <w:rPr>
          <w:noProof/>
        </w:rPr>
        <w:tab/>
      </w:r>
      <w:r>
        <w:rPr>
          <w:noProof/>
          <w:u w:val="single"/>
        </w:rPr>
        <w:t>Приложение 1: Правни актове на ниво 2 (2012—2014 г.)</w:t>
      </w:r>
    </w:p>
    <w:p>
      <w:pPr>
        <w:pStyle w:val="Point1number"/>
        <w:numPr>
          <w:ilvl w:val="2"/>
          <w:numId w:val="11"/>
        </w:numPr>
        <w:rPr>
          <w:noProof/>
        </w:rPr>
      </w:pPr>
      <w:r>
        <w:rPr>
          <w:noProof/>
        </w:rPr>
        <w:t>Делегиран регламент (ЕС) № 148/2013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във връзка с регулаторните технически стандарти относно минималните данни, отчитани пред регистри на трансакции</w:t>
      </w:r>
      <w:r>
        <w:rPr>
          <w:rStyle w:val="FootnoteReference"/>
          <w:noProof/>
        </w:rPr>
        <w:footnoteReference w:id="2"/>
      </w:r>
      <w:r>
        <w:rPr>
          <w:noProof/>
        </w:rPr>
        <w:t>.</w:t>
      </w:r>
    </w:p>
    <w:p>
      <w:pPr>
        <w:pStyle w:val="Point1number"/>
        <w:rPr>
          <w:noProof/>
        </w:rPr>
      </w:pPr>
      <w:r>
        <w:rPr>
          <w:noProof/>
        </w:rPr>
        <w:t>Делегиран регламент (ЕС) № 149/2013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споразуменията за непряк клиринг, задължението за клиринг, публичния регистър, достъпа до място за търговия, нефинансовите контрагенти и техниките за намаляване на риска за договори за извънборсови деривати, които не са преминали през клиринг чрез централен контрагент</w:t>
      </w:r>
      <w:r>
        <w:rPr>
          <w:rStyle w:val="FootnoteReference"/>
          <w:noProof/>
        </w:rPr>
        <w:footnoteReference w:id="3"/>
      </w:r>
      <w:r>
        <w:rPr>
          <w:noProof/>
        </w:rPr>
        <w:t>.</w:t>
      </w:r>
    </w:p>
    <w:p>
      <w:pPr>
        <w:pStyle w:val="Point1number"/>
        <w:rPr>
          <w:noProof/>
        </w:rPr>
      </w:pPr>
      <w:r>
        <w:rPr>
          <w:noProof/>
        </w:rPr>
        <w:t>Делегиран регламент (ЕС) № 150/2013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за определяне на подробни изисквания за заявленията за регистрация като регистър на трансакции</w:t>
      </w:r>
      <w:r>
        <w:rPr>
          <w:rStyle w:val="FootnoteReference"/>
          <w:noProof/>
        </w:rPr>
        <w:footnoteReference w:id="4"/>
      </w:r>
      <w:r>
        <w:rPr>
          <w:noProof/>
        </w:rPr>
        <w:t>.</w:t>
      </w:r>
    </w:p>
    <w:p>
      <w:pPr>
        <w:pStyle w:val="Point1number"/>
        <w:rPr>
          <w:noProof/>
        </w:rPr>
      </w:pPr>
      <w:r>
        <w:rPr>
          <w:noProof/>
        </w:rPr>
        <w:t xml:space="preserve">Делегиран регламент (ЕС) № 151/2013 на Комисията от 19 декември 2012 г. за допълване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w:t>
      </w:r>
      <w:r>
        <w:rPr>
          <w:noProof/>
        </w:rPr>
        <w:lastRenderedPageBreak/>
        <w:t>технически стандарти, определящи данните, които се публикуват и предоставят от регистрите на трансакции, и оперативните стандарти за обобщаване, сравняване и достъп до данните</w:t>
      </w:r>
      <w:r>
        <w:rPr>
          <w:rStyle w:val="FootnoteReference"/>
          <w:noProof/>
        </w:rPr>
        <w:footnoteReference w:id="5"/>
      </w:r>
      <w:r>
        <w:rPr>
          <w:noProof/>
        </w:rPr>
        <w:t>.</w:t>
      </w:r>
    </w:p>
    <w:p>
      <w:pPr>
        <w:pStyle w:val="Point1number"/>
        <w:rPr>
          <w:noProof/>
        </w:rPr>
      </w:pPr>
      <w:r>
        <w:rPr>
          <w:noProof/>
        </w:rPr>
        <w:t>Делегиран регламент (ЕС) № 152/2013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капиталовите изисквания за централните контрагенти</w:t>
      </w:r>
      <w:r>
        <w:rPr>
          <w:rStyle w:val="FootnoteReference"/>
          <w:noProof/>
        </w:rPr>
        <w:footnoteReference w:id="6"/>
      </w:r>
      <w:r>
        <w:rPr>
          <w:noProof/>
        </w:rPr>
        <w:t>.</w:t>
      </w:r>
    </w:p>
    <w:p>
      <w:pPr>
        <w:pStyle w:val="Point1number"/>
        <w:rPr>
          <w:noProof/>
        </w:rPr>
      </w:pPr>
      <w:r>
        <w:rPr>
          <w:noProof/>
        </w:rPr>
        <w:t>Делегиран регламент (ЕС) № 153/2013 на Комисията от 19 декември 2012 г. за допълване на Регламент (ЕС) № 648/2012 на Европейския парламент и на Съвета по отношение на регулаторните технически стандарти относно изискванията към централните контрагенти</w:t>
      </w:r>
      <w:r>
        <w:rPr>
          <w:rStyle w:val="FootnoteReference"/>
          <w:noProof/>
        </w:rPr>
        <w:footnoteReference w:id="7"/>
      </w:r>
      <w:r>
        <w:rPr>
          <w:noProof/>
        </w:rPr>
        <w:t>.</w:t>
      </w:r>
    </w:p>
    <w:p>
      <w:pPr>
        <w:pStyle w:val="Point1number"/>
        <w:rPr>
          <w:noProof/>
        </w:rPr>
      </w:pPr>
      <w:r>
        <w:rPr>
          <w:noProof/>
        </w:rPr>
        <w:t>Делегиран регламент (ЕС) № 876/2013 на Комисията от 28 май 2013 г. за допълнение на Регламент (ЕС) № 648/2012 на Европейския парламент и на Съвета по отношение на регулаторните технически стандарти за колегиите за централните контрагенти</w:t>
      </w:r>
      <w:r>
        <w:rPr>
          <w:rStyle w:val="FootnoteReference"/>
          <w:noProof/>
        </w:rPr>
        <w:footnoteReference w:id="8"/>
      </w:r>
      <w:r>
        <w:rPr>
          <w:noProof/>
        </w:rPr>
        <w:t>.</w:t>
      </w:r>
    </w:p>
    <w:p>
      <w:pPr>
        <w:pStyle w:val="Point1number"/>
        <w:rPr>
          <w:noProof/>
        </w:rPr>
      </w:pPr>
      <w:r>
        <w:rPr>
          <w:noProof/>
        </w:rPr>
        <w:t>Делегиран регламент (ЕС) № 1002/2013 на Комисията от 12 юли 2013 г. за изменение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списъка на изключените от обхвата му субекти</w:t>
      </w:r>
      <w:r>
        <w:rPr>
          <w:rStyle w:val="FootnoteReference"/>
          <w:noProof/>
        </w:rPr>
        <w:footnoteReference w:id="9"/>
      </w:r>
      <w:r>
        <w:rPr>
          <w:noProof/>
        </w:rPr>
        <w:t>.</w:t>
      </w:r>
    </w:p>
    <w:p>
      <w:pPr>
        <w:pStyle w:val="Point1number"/>
        <w:rPr>
          <w:noProof/>
        </w:rPr>
      </w:pPr>
      <w:r>
        <w:rPr>
          <w:noProof/>
        </w:rPr>
        <w:t>Делегиран регламент (ЕС) № 1003/2013 на Комисията от 12 юли 2013 г. за допълнение на Регламент (ЕС) № 648/2012 на Европейския парламент и на Съвета по отношение на таксите, начислявани от Европейския орган за ценни книжа и пазари на регистрите на трансакции</w:t>
      </w:r>
      <w:r>
        <w:rPr>
          <w:rStyle w:val="FootnoteReference"/>
          <w:noProof/>
        </w:rPr>
        <w:footnoteReference w:id="10"/>
      </w:r>
      <w:r>
        <w:rPr>
          <w:noProof/>
        </w:rPr>
        <w:t>.</w:t>
      </w:r>
    </w:p>
    <w:p>
      <w:pPr>
        <w:pStyle w:val="Point1number"/>
        <w:rPr>
          <w:noProof/>
        </w:rPr>
      </w:pPr>
      <w:r>
        <w:rPr>
          <w:noProof/>
        </w:rPr>
        <w:t>Делегиран регламент (ЕС) № 285/2014 на Комисията от 13 февруари 2014 г. за допълнение на Регламент (ЕС) № 648/2012 на Европейския парламент и на Съвета по отношение на регулаторните технически стандарти във връзка с прякото, значително и предвидимо въздействие на договори в рамките на Съюза и за предотвратяване на заобикалянето на правилата и задълженията</w:t>
      </w:r>
      <w:r>
        <w:rPr>
          <w:rStyle w:val="FootnoteReference"/>
          <w:noProof/>
        </w:rPr>
        <w:footnoteReference w:id="11"/>
      </w:r>
      <w:r>
        <w:rPr>
          <w:noProof/>
        </w:rPr>
        <w:t>.</w:t>
      </w:r>
    </w:p>
    <w:p>
      <w:pPr>
        <w:pStyle w:val="Point1number"/>
        <w:rPr>
          <w:noProof/>
        </w:rPr>
      </w:pPr>
      <w:r>
        <w:rPr>
          <w:noProof/>
        </w:rPr>
        <w:t>Делегиран регламент (ЕС) № 667/2014 на Комисията от 13 март 2014 г. за допълване на Регламент (ЕС) № 648/2012 на Европейския парламент и на Съвета по отношение на процедурните правила относно санкциите, налагани на регистрите на трансакции от страна на Европейския орган за ценни книжа и пазари, включително правилата относно правото на защита и временни разпоредби</w:t>
      </w:r>
      <w:r>
        <w:rPr>
          <w:rStyle w:val="FootnoteReference"/>
          <w:noProof/>
        </w:rPr>
        <w:footnoteReference w:id="12"/>
      </w:r>
      <w:r>
        <w:rPr>
          <w:noProof/>
        </w:rPr>
        <w:t>.</w:t>
      </w:r>
    </w:p>
    <w:p>
      <w:pPr>
        <w:pStyle w:val="Point1number"/>
        <w:rPr>
          <w:noProof/>
        </w:rPr>
      </w:pPr>
      <w:r>
        <w:rPr>
          <w:noProof/>
        </w:rPr>
        <w:t xml:space="preserve">Регламент за изпълнение (ЕС) № 1247/2012 на Комисията от 19 декември 2012 г. за установяване на технически стандарти за изпълнение по отношение на формата и периодичността на отчетите за трансакциите, </w:t>
      </w:r>
      <w:r>
        <w:rPr>
          <w:noProof/>
        </w:rPr>
        <w:lastRenderedPageBreak/>
        <w:t>предавани на регистрите на трансакции съгласно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13"/>
      </w:r>
      <w:r>
        <w:rPr>
          <w:noProof/>
        </w:rPr>
        <w:t>.</w:t>
      </w:r>
    </w:p>
    <w:p>
      <w:pPr>
        <w:pStyle w:val="Point1number"/>
        <w:rPr>
          <w:noProof/>
        </w:rPr>
      </w:pPr>
      <w:r>
        <w:rPr>
          <w:noProof/>
        </w:rPr>
        <w:t>Регламент за изпълнение (ЕС) № 1248/2012 на Комисията от 19 декември 2012 г. за установяване на технически стандарти за изпълнение по отношение на формата на заявленията за регистрация на регистрите на трансакции по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14"/>
      </w:r>
      <w:r>
        <w:rPr>
          <w:noProof/>
        </w:rPr>
        <w:t>.</w:t>
      </w:r>
    </w:p>
    <w:p>
      <w:pPr>
        <w:pStyle w:val="Point1number"/>
        <w:rPr>
          <w:noProof/>
        </w:rPr>
      </w:pPr>
      <w:r>
        <w:rPr>
          <w:noProof/>
        </w:rPr>
        <w:t>Регламент за изпълнение (ЕС) № 1249/2012 на Комисията от 19 декември 2012 г. за установяване на технически стандарти за изпълнение по отношение на формата на документацията с данни, която трябва да съхраняват централните контрагенти съгласно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15"/>
      </w:r>
      <w:r>
        <w:rPr>
          <w:noProof/>
        </w:rPr>
        <w:t>.</w:t>
      </w:r>
    </w:p>
    <w:p>
      <w:pPr>
        <w:pStyle w:val="Point1number"/>
        <w:rPr>
          <w:noProof/>
        </w:rPr>
      </w:pPr>
      <w:r>
        <w:rPr>
          <w:noProof/>
        </w:rPr>
        <w:t>Регламент за изпълнение (ЕС) № 484/2014 на Комисията от 12 май 2014 г. за определяне на техническите стандарти за изпълнение по отношение на хипотетичния капитал на централните контрагенти в съответствие с Регламент (ЕС) № 648/2012 на Европейския парламент и на Съвета</w:t>
      </w:r>
      <w:r>
        <w:rPr>
          <w:rStyle w:val="FootnoteReference"/>
          <w:noProof/>
        </w:rPr>
        <w:footnoteReference w:id="16"/>
      </w:r>
      <w:r>
        <w:rPr>
          <w:noProof/>
        </w:rPr>
        <w:t>.</w:t>
      </w:r>
    </w:p>
    <w:p>
      <w:pPr>
        <w:pStyle w:val="ManualHeading2"/>
        <w:rPr>
          <w:noProof/>
        </w:rPr>
      </w:pPr>
      <w:r>
        <w:rPr>
          <w:noProof/>
        </w:rPr>
        <w:tab/>
      </w:r>
      <w:r>
        <w:rPr>
          <w:noProof/>
          <w:u w:val="single"/>
        </w:rPr>
        <w:t>Приложение 2: Правни актове на ниво 2 (2015—2017 г.)</w:t>
      </w:r>
    </w:p>
    <w:p>
      <w:pPr>
        <w:pStyle w:val="Point1number"/>
        <w:rPr>
          <w:noProof/>
        </w:rPr>
      </w:pPr>
      <w:r>
        <w:rPr>
          <w:noProof/>
        </w:rPr>
        <w:t>Делегиран регламент (ЕС) 2015/1515 на Комисията от 5 юни 2015 г. за изменение на Регламент (ЕС) № 648/2012 на Европейския парламент и на Съвета по отношение на удължаването на преходните периоди, свързани с пенсионните планове</w:t>
      </w:r>
      <w:r>
        <w:rPr>
          <w:rStyle w:val="FootnoteReference"/>
          <w:noProof/>
        </w:rPr>
        <w:footnoteReference w:id="17"/>
      </w:r>
      <w:r>
        <w:rPr>
          <w:noProof/>
        </w:rPr>
        <w:t>.</w:t>
      </w:r>
    </w:p>
    <w:p>
      <w:pPr>
        <w:pStyle w:val="Point1number"/>
        <w:rPr>
          <w:noProof/>
        </w:rPr>
      </w:pPr>
      <w:r>
        <w:rPr>
          <w:noProof/>
        </w:rPr>
        <w:t>Делегиран регламент (ЕС) 2015/2205 на Комисията от 6 август 2015 г. за допълнение на Регламент (ЕС) № 648/2012 на Европейския парламент и на Съвета по отношение на регулаторните технически стандарти относно задължението за клиринг</w:t>
      </w:r>
      <w:r>
        <w:rPr>
          <w:rStyle w:val="FootnoteReference"/>
          <w:noProof/>
        </w:rPr>
        <w:footnoteReference w:id="18"/>
      </w:r>
      <w:r>
        <w:rPr>
          <w:noProof/>
        </w:rPr>
        <w:t>.</w:t>
      </w:r>
    </w:p>
    <w:p>
      <w:pPr>
        <w:pStyle w:val="Point1number"/>
        <w:rPr>
          <w:noProof/>
        </w:rPr>
      </w:pPr>
      <w:r>
        <w:rPr>
          <w:noProof/>
        </w:rPr>
        <w:t>Делегиран регламент (ЕС) 2016/592 на Комисията от 1 март 2016 г. за допълване на Регламент (ЕС) № 648/2012 на Европейския парламент и на Съвета по отношение на регулаторните технически стандарти относно задължението за клиринг</w:t>
      </w:r>
      <w:r>
        <w:rPr>
          <w:rStyle w:val="FootnoteReference"/>
          <w:noProof/>
        </w:rPr>
        <w:footnoteReference w:id="19"/>
      </w:r>
      <w:r>
        <w:rPr>
          <w:noProof/>
        </w:rPr>
        <w:t>.</w:t>
      </w:r>
    </w:p>
    <w:p>
      <w:pPr>
        <w:pStyle w:val="Point1number"/>
        <w:rPr>
          <w:noProof/>
        </w:rPr>
      </w:pPr>
      <w:r>
        <w:rPr>
          <w:noProof/>
        </w:rPr>
        <w:t>Делегиран регламент (ЕС) 2016/1178 на Комисията от 10 юни 2016 г. за допълване на Регламент (ЕС) № 648/2012 на Европейския парламент и на Съвета по отношение на регулаторните технически стандарти относно задължението за клиринг</w:t>
      </w:r>
      <w:r>
        <w:rPr>
          <w:rStyle w:val="FootnoteReference"/>
          <w:noProof/>
        </w:rPr>
        <w:footnoteReference w:id="20"/>
      </w:r>
      <w:r>
        <w:rPr>
          <w:noProof/>
        </w:rPr>
        <w:t>, поправен с OВ L 196, 21.7.2016 г., стр. 56.</w:t>
      </w:r>
    </w:p>
    <w:p>
      <w:pPr>
        <w:pStyle w:val="Point1number"/>
        <w:rPr>
          <w:noProof/>
        </w:rPr>
      </w:pPr>
      <w:r>
        <w:rPr>
          <w:noProof/>
        </w:rPr>
        <w:lastRenderedPageBreak/>
        <w:t>Делегиран регламент (ЕС) 2017/104 на Комисията от 19 октомври 2016 г. за изменение на Делегиран регламент (ЕС) № 148/2013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във връзка с регулаторните технически стандарти относно минималните данни, отчитани пред регистри на трансакции</w:t>
      </w:r>
      <w:r>
        <w:rPr>
          <w:rStyle w:val="FootnoteReference"/>
          <w:noProof/>
        </w:rPr>
        <w:footnoteReference w:id="21"/>
      </w:r>
      <w:r>
        <w:rPr>
          <w:noProof/>
        </w:rPr>
        <w:t>.</w:t>
      </w:r>
    </w:p>
    <w:p>
      <w:pPr>
        <w:pStyle w:val="Point1number"/>
        <w:rPr>
          <w:noProof/>
        </w:rPr>
      </w:pPr>
      <w:r>
        <w:rPr>
          <w:noProof/>
        </w:rPr>
        <w:t>Делегиран регламент (ЕС) 2017/751 на Комисията от 16 март 2017 г. за изменение на делегирани регламенти (ЕС) 2015/2205, (ЕС) 2016/592 и (ЕС) 2016/1178 по отношение на крайния срок за спазване на задължението за клиринг от страна на някои контрагенти, търгуващи с извънборсови деривати</w:t>
      </w:r>
      <w:r>
        <w:rPr>
          <w:rStyle w:val="FootnoteReference"/>
          <w:noProof/>
        </w:rPr>
        <w:footnoteReference w:id="22"/>
      </w:r>
      <w:r>
        <w:rPr>
          <w:noProof/>
        </w:rPr>
        <w:t>.</w:t>
      </w:r>
    </w:p>
    <w:p>
      <w:pPr>
        <w:pStyle w:val="Point1number"/>
        <w:rPr>
          <w:noProof/>
        </w:rPr>
      </w:pPr>
      <w:r>
        <w:rPr>
          <w:noProof/>
        </w:rPr>
        <w:t>Регламент за изпълнение (ЕС) 2017/105 на Комисията от 26 октомври 2016 г. за изменение на Регламент за изпълнение (ЕС) № 1247/2012 за установяване на технически стандарти за изпълнение по отношение на формата и периодичността на отчетите за трансакциите, предавани на регистрите на трансакции съгласно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23"/>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noProof/>
        </w:rPr>
      </w:pPr>
      <w:r>
        <w:rPr>
          <w:noProof/>
        </w:rPr>
        <w:t>Приложените проекти на решения на Съвместния комитет на ЕИП разширяват вече съществуващата политика на ЕС, за да включат в нея членуващите в ЕИП държави от ЕАСТ (Норвегия, Исландия и Лихтенщайн).</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Text1"/>
        <w:rPr>
          <w:noProof/>
        </w:rPr>
      </w:pPr>
      <w:r>
        <w:rPr>
          <w:noProof/>
        </w:rPr>
        <w:t xml:space="preserve">Разширяването на обхвата на достиженията на правото на ЕС в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Законодателството, което трябва да бъде включено в Споразумението за ЕИП, се основава на член 114 от Договора за функционирането на Европейския съюз.</w:t>
      </w:r>
    </w:p>
    <w:p>
      <w:pPr>
        <w:pStyle w:val="Text1"/>
        <w:rPr>
          <w:noProof/>
        </w:rPr>
      </w:pPr>
      <w:r>
        <w:rPr>
          <w:noProof/>
        </w:rPr>
        <w:t>Съгласно член 1, параграф 3 от Регламент (ЕО) № 2894/94 на Съвета</w:t>
      </w:r>
      <w:r>
        <w:rPr>
          <w:rStyle w:val="FootnoteReference"/>
          <w:noProof/>
        </w:rPr>
        <w:footnoteReference w:id="24"/>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Text1"/>
        <w:rPr>
          <w:noProof/>
        </w:rPr>
      </w:pPr>
      <w:r>
        <w:rPr>
          <w:noProof/>
        </w:rPr>
        <w:t xml:space="preserve">ЕСВД и службите на Комисията представят проектите на решения на Съвместния комитет на ЕИП пред Съвета, който следва да го приеме като </w:t>
      </w:r>
      <w:r>
        <w:rPr>
          <w:noProof/>
        </w:rPr>
        <w:lastRenderedPageBreak/>
        <w:t>позиция на Съюза. ЕСВД се надява да има възможност да ги представи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rPr>
      </w:pPr>
      <w:r>
        <w:rPr>
          <w:noProof/>
        </w:rPr>
        <w:t xml:space="preserve">Предложението е в съответствие с принципа на субсидиарност по следната причина: </w:t>
      </w:r>
    </w:p>
    <w:p>
      <w:pPr>
        <w:pStyle w:val="Text1"/>
        <w:rPr>
          <w:noProof/>
        </w:rPr>
      </w:pPr>
      <w:r>
        <w:rPr>
          <w:noProof/>
        </w:rPr>
        <w:t xml:space="preserve">Целта на настоящото предложение, а именно да се осигури хомогенността на вътрешния пазар, не може да бъде постигната в достатъчна степен от държавите членки, вследствие на което може, с оглед на последиците, да бъде постигната по-добре на равнището на Съюза. </w:t>
      </w:r>
    </w:p>
    <w:p>
      <w:pPr>
        <w:pStyle w:val="Text1"/>
        <w:rPr>
          <w:noProof/>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Регулаторна пригодност и опростяване</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Основни права</w:t>
      </w:r>
    </w:p>
    <w:p>
      <w:pPr>
        <w:pStyle w:val="Text1"/>
        <w:rPr>
          <w:noProof/>
        </w:rPr>
      </w:pPr>
      <w:r>
        <w:rPr>
          <w:noProof/>
        </w:rPr>
        <w:t xml:space="preserve">Не е приложимо </w:t>
      </w:r>
    </w:p>
    <w:p>
      <w:pPr>
        <w:pStyle w:val="ManualHeading1"/>
        <w:rPr>
          <w:noProof/>
        </w:rPr>
      </w:pPr>
      <w:r>
        <w:rPr>
          <w:noProof/>
        </w:rPr>
        <w:lastRenderedPageBreak/>
        <w:t>4.</w:t>
      </w:r>
      <w:r>
        <w:rPr>
          <w:noProof/>
        </w:rPr>
        <w:tab/>
        <w:t>ОТРАЖЕНИЕ ВЪРХУ БЮДЖЕТА</w:t>
      </w:r>
    </w:p>
    <w:p>
      <w:pPr>
        <w:pStyle w:val="Text1"/>
        <w:rPr>
          <w:noProof/>
        </w:rPr>
      </w:pPr>
      <w:r>
        <w:rPr>
          <w:noProof/>
        </w:rPr>
        <w:t>Не се очаква отражение върху бюджета в резултат от включването на горепосочените актове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Обяснителни документи (за директиви)</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Text1"/>
        <w:rPr>
          <w:noProof/>
        </w:rPr>
      </w:pPr>
      <w:r>
        <w:rPr>
          <w:noProof/>
        </w:rPr>
        <w:t>Не е приложимо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Съвместния комитет на ЕИП във връзка с изменение на приложение IX (Финансови услуги) към Споразумението за ЕИП</w:t>
      </w:r>
      <w:r>
        <w:rPr>
          <w:noProof/>
        </w:rPr>
        <w:br/>
      </w:r>
      <w:r>
        <w:rPr>
          <w:noProof/>
        </w:rPr>
        <w:br/>
        <w:t xml:space="preserve">(Законодателни актове на ниво 2, Регламент за европейската пазарна инфраструктура)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5"/>
      </w:r>
      <w:r>
        <w:rPr>
          <w:noProof/>
        </w:rPr>
        <w:t xml:space="preserve">, и по-специално член 1, параграф 3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26"/>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xml:space="preserve"> приложение IX към Споразумението за ЕИП, което съдържа разпоредби относно финансовите услуги.</w:t>
      </w:r>
    </w:p>
    <w:p>
      <w:pPr>
        <w:pStyle w:val="ManualConsidrant"/>
        <w:rPr>
          <w:noProof/>
          <w:szCs w:val="24"/>
        </w:rPr>
      </w:pPr>
      <w:r>
        <w:t>(3)</w:t>
      </w:r>
      <w:r>
        <w:tab/>
      </w:r>
      <w:r>
        <w:rPr>
          <w:noProof/>
        </w:rPr>
        <w:t xml:space="preserve">Следните актове засягат финансовите услуги и следва да бъдат включени в Споразумението за ЕИП: </w:t>
      </w:r>
    </w:p>
    <w:p>
      <w:pPr>
        <w:pStyle w:val="Tiret1"/>
        <w:numPr>
          <w:ilvl w:val="0"/>
          <w:numId w:val="6"/>
        </w:numPr>
        <w:rPr>
          <w:noProof/>
        </w:rPr>
      </w:pPr>
      <w:r>
        <w:rPr>
          <w:noProof/>
        </w:rPr>
        <w:t>Делегиран регламент (ЕС) № 148/2013 на Комисията</w:t>
      </w:r>
      <w:r>
        <w:rPr>
          <w:rStyle w:val="FootnoteReference"/>
          <w:noProof/>
        </w:rPr>
        <w:footnoteReference w:id="27"/>
      </w:r>
      <w:r>
        <w:rPr>
          <w:noProof/>
        </w:rPr>
        <w:t>,</w:t>
      </w:r>
    </w:p>
    <w:p>
      <w:pPr>
        <w:pStyle w:val="Tiret1"/>
        <w:rPr>
          <w:noProof/>
        </w:rPr>
      </w:pPr>
      <w:r>
        <w:rPr>
          <w:noProof/>
        </w:rPr>
        <w:t>Делегиран регламент (ЕС) № 149/2013 на Комисията</w:t>
      </w:r>
      <w:r>
        <w:rPr>
          <w:rStyle w:val="FootnoteReference"/>
          <w:noProof/>
        </w:rPr>
        <w:footnoteReference w:id="28"/>
      </w:r>
      <w:r>
        <w:rPr>
          <w:noProof/>
        </w:rPr>
        <w:t xml:space="preserve">, </w:t>
      </w:r>
    </w:p>
    <w:p>
      <w:pPr>
        <w:pStyle w:val="Tiret1"/>
        <w:rPr>
          <w:noProof/>
        </w:rPr>
      </w:pPr>
      <w:r>
        <w:rPr>
          <w:noProof/>
        </w:rPr>
        <w:t>Делегиран регламент (ЕС) № 150/2013 на Комисията</w:t>
      </w:r>
      <w:r>
        <w:rPr>
          <w:rStyle w:val="FootnoteReference"/>
          <w:noProof/>
        </w:rPr>
        <w:footnoteReference w:id="29"/>
      </w:r>
      <w:r>
        <w:rPr>
          <w:noProof/>
        </w:rPr>
        <w:t>,</w:t>
      </w:r>
    </w:p>
    <w:p>
      <w:pPr>
        <w:pStyle w:val="Tiret1"/>
        <w:rPr>
          <w:noProof/>
        </w:rPr>
      </w:pPr>
      <w:r>
        <w:rPr>
          <w:noProof/>
        </w:rPr>
        <w:lastRenderedPageBreak/>
        <w:t>Делегиран регламент (ЕС) № 151/2013 на Комисията</w:t>
      </w:r>
      <w:r>
        <w:rPr>
          <w:rStyle w:val="FootnoteReference"/>
          <w:noProof/>
        </w:rPr>
        <w:footnoteReference w:id="30"/>
      </w:r>
      <w:r>
        <w:rPr>
          <w:noProof/>
        </w:rPr>
        <w:t>,</w:t>
      </w:r>
    </w:p>
    <w:p>
      <w:pPr>
        <w:pStyle w:val="Tiret1"/>
        <w:rPr>
          <w:noProof/>
        </w:rPr>
      </w:pPr>
      <w:r>
        <w:rPr>
          <w:noProof/>
        </w:rPr>
        <w:t>Делегиран регламент (ЕС) № 152/2013 на Комисията</w:t>
      </w:r>
      <w:r>
        <w:rPr>
          <w:rStyle w:val="FootnoteReference"/>
          <w:noProof/>
        </w:rPr>
        <w:footnoteReference w:id="31"/>
      </w:r>
      <w:r>
        <w:rPr>
          <w:noProof/>
        </w:rPr>
        <w:t>,</w:t>
      </w:r>
    </w:p>
    <w:p>
      <w:pPr>
        <w:pStyle w:val="Tiret1"/>
        <w:rPr>
          <w:noProof/>
        </w:rPr>
      </w:pPr>
      <w:r>
        <w:rPr>
          <w:noProof/>
        </w:rPr>
        <w:t>Делегиран регламент (ЕС) № 153/2013 на Комисията</w:t>
      </w:r>
      <w:r>
        <w:rPr>
          <w:rStyle w:val="FootnoteReference"/>
          <w:noProof/>
        </w:rPr>
        <w:footnoteReference w:id="32"/>
      </w:r>
      <w:r>
        <w:rPr>
          <w:noProof/>
        </w:rPr>
        <w:t>,</w:t>
      </w:r>
    </w:p>
    <w:p>
      <w:pPr>
        <w:pStyle w:val="Tiret1"/>
        <w:rPr>
          <w:noProof/>
        </w:rPr>
      </w:pPr>
      <w:r>
        <w:rPr>
          <w:noProof/>
        </w:rPr>
        <w:t>Делегиран регламент (ЕС) № 876/2013 на Комисията</w:t>
      </w:r>
      <w:r>
        <w:rPr>
          <w:rStyle w:val="FootnoteReference"/>
          <w:noProof/>
        </w:rPr>
        <w:footnoteReference w:id="33"/>
      </w:r>
      <w:r>
        <w:rPr>
          <w:noProof/>
        </w:rPr>
        <w:t xml:space="preserve">, </w:t>
      </w:r>
    </w:p>
    <w:p>
      <w:pPr>
        <w:pStyle w:val="Tiret1"/>
        <w:rPr>
          <w:noProof/>
        </w:rPr>
      </w:pPr>
      <w:r>
        <w:rPr>
          <w:noProof/>
        </w:rPr>
        <w:t>Делегиран регламент (ЕС) № 1002/2013 на Комисията</w:t>
      </w:r>
      <w:r>
        <w:rPr>
          <w:rStyle w:val="FootnoteReference"/>
          <w:noProof/>
        </w:rPr>
        <w:footnoteReference w:id="34"/>
      </w:r>
      <w:r>
        <w:rPr>
          <w:noProof/>
        </w:rPr>
        <w:t>,</w:t>
      </w:r>
    </w:p>
    <w:p>
      <w:pPr>
        <w:pStyle w:val="Tiret1"/>
        <w:rPr>
          <w:noProof/>
        </w:rPr>
      </w:pPr>
      <w:r>
        <w:rPr>
          <w:noProof/>
        </w:rPr>
        <w:t>Делегиран регламент (ЕС) № 1003/2013 на Комисията</w:t>
      </w:r>
      <w:r>
        <w:rPr>
          <w:rStyle w:val="FootnoteReference"/>
          <w:noProof/>
        </w:rPr>
        <w:footnoteReference w:id="35"/>
      </w:r>
      <w:r>
        <w:rPr>
          <w:noProof/>
        </w:rPr>
        <w:t>,</w:t>
      </w:r>
    </w:p>
    <w:p>
      <w:pPr>
        <w:pStyle w:val="Tiret1"/>
        <w:rPr>
          <w:noProof/>
        </w:rPr>
      </w:pPr>
      <w:r>
        <w:rPr>
          <w:noProof/>
        </w:rPr>
        <w:t>Делегиран регламент (ЕС) № 285/2014 на Комисията</w:t>
      </w:r>
      <w:r>
        <w:rPr>
          <w:rStyle w:val="FootnoteReference"/>
          <w:noProof/>
        </w:rPr>
        <w:footnoteReference w:id="36"/>
      </w:r>
      <w:r>
        <w:rPr>
          <w:noProof/>
        </w:rPr>
        <w:t>,</w:t>
      </w:r>
    </w:p>
    <w:p>
      <w:pPr>
        <w:pStyle w:val="Tiret1"/>
        <w:rPr>
          <w:noProof/>
        </w:rPr>
      </w:pPr>
      <w:r>
        <w:rPr>
          <w:noProof/>
        </w:rPr>
        <w:t>Делегиран регламент (ЕС) № 667/2014 на Комисията</w:t>
      </w:r>
      <w:r>
        <w:rPr>
          <w:rStyle w:val="FootnoteReference"/>
          <w:noProof/>
        </w:rPr>
        <w:footnoteReference w:id="37"/>
      </w:r>
      <w:r>
        <w:rPr>
          <w:noProof/>
        </w:rPr>
        <w:t>,</w:t>
      </w:r>
    </w:p>
    <w:p>
      <w:pPr>
        <w:pStyle w:val="Tiret1"/>
        <w:rPr>
          <w:noProof/>
        </w:rPr>
      </w:pPr>
      <w:r>
        <w:rPr>
          <w:noProof/>
        </w:rPr>
        <w:t>Регламент за изпълнение (ЕС) № 1247/2012 на Комисията</w:t>
      </w:r>
      <w:r>
        <w:rPr>
          <w:rStyle w:val="FootnoteReference"/>
          <w:noProof/>
        </w:rPr>
        <w:footnoteReference w:id="38"/>
      </w:r>
      <w:r>
        <w:rPr>
          <w:noProof/>
        </w:rPr>
        <w:t xml:space="preserve">, </w:t>
      </w:r>
    </w:p>
    <w:p>
      <w:pPr>
        <w:pStyle w:val="Tiret1"/>
        <w:rPr>
          <w:noProof/>
        </w:rPr>
      </w:pPr>
      <w:r>
        <w:rPr>
          <w:noProof/>
        </w:rPr>
        <w:lastRenderedPageBreak/>
        <w:t>Регламент за изпълнение (ЕС) № 1248/2012 на Комисията</w:t>
      </w:r>
      <w:r>
        <w:rPr>
          <w:rStyle w:val="FootnoteReference"/>
          <w:noProof/>
        </w:rPr>
        <w:footnoteReference w:id="39"/>
      </w:r>
      <w:r>
        <w:rPr>
          <w:noProof/>
        </w:rPr>
        <w:t>,</w:t>
      </w:r>
    </w:p>
    <w:p>
      <w:pPr>
        <w:pStyle w:val="Tiret1"/>
        <w:rPr>
          <w:noProof/>
        </w:rPr>
      </w:pPr>
      <w:r>
        <w:rPr>
          <w:noProof/>
        </w:rPr>
        <w:t>Регламент за изпълнение (ЕС) № 1249/2012 на Комисията</w:t>
      </w:r>
      <w:r>
        <w:rPr>
          <w:rStyle w:val="FootnoteReference"/>
          <w:noProof/>
        </w:rPr>
        <w:footnoteReference w:id="40"/>
      </w:r>
      <w:r>
        <w:rPr>
          <w:noProof/>
        </w:rPr>
        <w:t>,</w:t>
      </w:r>
    </w:p>
    <w:p>
      <w:pPr>
        <w:pStyle w:val="Tiret1"/>
        <w:rPr>
          <w:noProof/>
        </w:rPr>
      </w:pPr>
      <w:r>
        <w:rPr>
          <w:noProof/>
        </w:rPr>
        <w:t>Регламент за изпълнение (ЕС) № 484/2014 на Комисията</w:t>
      </w:r>
      <w:r>
        <w:rPr>
          <w:rStyle w:val="FootnoteReference"/>
          <w:noProof/>
        </w:rPr>
        <w:footnoteReference w:id="41"/>
      </w:r>
      <w:r>
        <w:rPr>
          <w:noProof/>
        </w:rPr>
        <w:t>,</w:t>
      </w:r>
    </w:p>
    <w:p>
      <w:pPr>
        <w:pStyle w:val="Tiret1"/>
        <w:rPr>
          <w:noProof/>
        </w:rPr>
      </w:pPr>
      <w:r>
        <w:rPr>
          <w:noProof/>
        </w:rPr>
        <w:t>Делегиран регламент (ЕС) 2015/1515 на Комисията</w:t>
      </w:r>
      <w:r>
        <w:rPr>
          <w:rStyle w:val="FootnoteReference"/>
          <w:noProof/>
        </w:rPr>
        <w:footnoteReference w:id="42"/>
      </w:r>
      <w:r>
        <w:rPr>
          <w:noProof/>
        </w:rPr>
        <w:t>,</w:t>
      </w:r>
    </w:p>
    <w:p>
      <w:pPr>
        <w:pStyle w:val="Tiret1"/>
        <w:rPr>
          <w:noProof/>
        </w:rPr>
      </w:pPr>
      <w:r>
        <w:rPr>
          <w:noProof/>
        </w:rPr>
        <w:t>Делегиран регламент (ЕС) 2015/2205 на Комисията</w:t>
      </w:r>
      <w:r>
        <w:rPr>
          <w:rStyle w:val="FootnoteReference"/>
          <w:noProof/>
        </w:rPr>
        <w:footnoteReference w:id="43"/>
      </w:r>
      <w:r>
        <w:rPr>
          <w:noProof/>
        </w:rPr>
        <w:t>,</w:t>
      </w:r>
    </w:p>
    <w:p>
      <w:pPr>
        <w:pStyle w:val="Tiret1"/>
        <w:rPr>
          <w:noProof/>
        </w:rPr>
      </w:pPr>
      <w:r>
        <w:rPr>
          <w:noProof/>
        </w:rPr>
        <w:t>Делегиран регламент (ЕС) 2016/592 на Комисията</w:t>
      </w:r>
      <w:r>
        <w:rPr>
          <w:rStyle w:val="FootnoteReference"/>
          <w:noProof/>
        </w:rPr>
        <w:footnoteReference w:id="44"/>
      </w:r>
      <w:r>
        <w:rPr>
          <w:noProof/>
        </w:rPr>
        <w:t xml:space="preserve">, </w:t>
      </w:r>
    </w:p>
    <w:p>
      <w:pPr>
        <w:pStyle w:val="Tiret1"/>
        <w:rPr>
          <w:noProof/>
        </w:rPr>
      </w:pPr>
      <w:r>
        <w:rPr>
          <w:noProof/>
        </w:rPr>
        <w:t>Делегиран регламент (ЕС) 2016/1178 на Комисията</w:t>
      </w:r>
      <w:r>
        <w:rPr>
          <w:rStyle w:val="FootnoteReference"/>
          <w:noProof/>
        </w:rPr>
        <w:footnoteReference w:id="45"/>
      </w:r>
      <w:r>
        <w:rPr>
          <w:noProof/>
        </w:rPr>
        <w:t>,</w:t>
      </w:r>
    </w:p>
    <w:p>
      <w:pPr>
        <w:pStyle w:val="Tiret1"/>
        <w:rPr>
          <w:noProof/>
        </w:rPr>
      </w:pPr>
      <w:r>
        <w:rPr>
          <w:noProof/>
        </w:rPr>
        <w:t>Делегиран регламент (ЕС) 2017/104 на Комисията</w:t>
      </w:r>
      <w:r>
        <w:rPr>
          <w:rStyle w:val="FootnoteReference"/>
          <w:noProof/>
        </w:rPr>
        <w:footnoteReference w:id="46"/>
      </w:r>
      <w:r>
        <w:rPr>
          <w:noProof/>
        </w:rPr>
        <w:t xml:space="preserve">, </w:t>
      </w:r>
    </w:p>
    <w:p>
      <w:pPr>
        <w:pStyle w:val="Tiret1"/>
        <w:rPr>
          <w:noProof/>
        </w:rPr>
      </w:pPr>
      <w:r>
        <w:rPr>
          <w:noProof/>
        </w:rPr>
        <w:t>Делегиран регламент (ЕС) 2017/751 на Комисията</w:t>
      </w:r>
      <w:r>
        <w:rPr>
          <w:rStyle w:val="FootnoteReference"/>
          <w:noProof/>
        </w:rPr>
        <w:footnoteReference w:id="47"/>
      </w:r>
      <w:r>
        <w:rPr>
          <w:noProof/>
        </w:rPr>
        <w:t xml:space="preserve"> </w:t>
      </w:r>
    </w:p>
    <w:p>
      <w:pPr>
        <w:pStyle w:val="Tiret1"/>
        <w:rPr>
          <w:noProof/>
        </w:rPr>
      </w:pPr>
      <w:r>
        <w:rPr>
          <w:noProof/>
        </w:rPr>
        <w:t>и Регламент за изпълнение (ЕС) 2017/105 на Комисията</w:t>
      </w:r>
      <w:r>
        <w:rPr>
          <w:rStyle w:val="FootnoteReference"/>
          <w:noProof/>
        </w:rPr>
        <w:footnoteReference w:id="48"/>
      </w:r>
      <w:r>
        <w:rPr>
          <w:noProof/>
        </w:rPr>
        <w:t xml:space="preserve">. </w:t>
      </w:r>
    </w:p>
    <w:p>
      <w:pPr>
        <w:pStyle w:val="ManualConsidrant"/>
        <w:rPr>
          <w:noProof/>
        </w:rPr>
      </w:pPr>
      <w:r>
        <w:lastRenderedPageBreak/>
        <w:t>(4)</w:t>
      </w:r>
      <w:r>
        <w:tab/>
      </w:r>
      <w:r>
        <w:rPr>
          <w:noProof/>
        </w:rPr>
        <w:t xml:space="preserve">Следователно приложение IX към Споразумението за ЕИП следва да бъде съответно изменено, </w:t>
      </w:r>
    </w:p>
    <w:p>
      <w:pPr>
        <w:pStyle w:val="ManualConsidrant"/>
        <w:rPr>
          <w:noProof/>
        </w:rPr>
      </w:pPr>
      <w:r>
        <w:t>(5)</w:t>
      </w:r>
      <w:r>
        <w:tab/>
      </w:r>
      <w:r>
        <w:rPr>
          <w:noProof/>
        </w:rPr>
        <w:t>Поради това позицията на Съюза в рамките на Съвместния комитет на ЕИП следва да се основава на приложените проекти за решения,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предложените изменения на приложение IX (Финансови услуги) към Споразумението за ЕИП, се основава на проектите за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648/2012 относно извънборсовите деривати, централните контрагенти и регистрите на транзакции (Регламент за европейската пазарна инфраструктура).</w:t>
      </w:r>
    </w:p>
  </w:footnote>
  <w:footnote w:id="2">
    <w:p>
      <w:pPr>
        <w:pStyle w:val="FootnoteText"/>
      </w:pPr>
      <w:r>
        <w:rPr>
          <w:rStyle w:val="FootnoteReference"/>
        </w:rPr>
        <w:footnoteRef/>
      </w:r>
      <w:r>
        <w:tab/>
        <w:t>ОВ L 52, 23.2.2013 г., стр. 1.</w:t>
      </w:r>
    </w:p>
  </w:footnote>
  <w:footnote w:id="3">
    <w:p>
      <w:pPr>
        <w:pStyle w:val="FootnoteText"/>
      </w:pPr>
      <w:r>
        <w:rPr>
          <w:rStyle w:val="FootnoteReference"/>
        </w:rPr>
        <w:footnoteRef/>
      </w:r>
      <w:r>
        <w:tab/>
        <w:t>ОВ L 52, 23.2.2013 г., стр. 11.</w:t>
      </w:r>
    </w:p>
  </w:footnote>
  <w:footnote w:id="4">
    <w:p>
      <w:pPr>
        <w:pStyle w:val="FootnoteText"/>
      </w:pPr>
      <w:r>
        <w:rPr>
          <w:rStyle w:val="FootnoteReference"/>
        </w:rPr>
        <w:footnoteRef/>
      </w:r>
      <w:r>
        <w:tab/>
        <w:t>ОВ L 52, 23.2.2013 г., стр. 25.</w:t>
      </w:r>
    </w:p>
  </w:footnote>
  <w:footnote w:id="5">
    <w:p>
      <w:pPr>
        <w:pStyle w:val="FootnoteText"/>
      </w:pPr>
      <w:r>
        <w:rPr>
          <w:rStyle w:val="FootnoteReference"/>
        </w:rPr>
        <w:footnoteRef/>
      </w:r>
      <w:r>
        <w:tab/>
        <w:t>ОВ L 52, 23.2.2013 г., стр. 33.</w:t>
      </w:r>
    </w:p>
  </w:footnote>
  <w:footnote w:id="6">
    <w:p>
      <w:pPr>
        <w:pStyle w:val="FootnoteText"/>
      </w:pPr>
      <w:r>
        <w:rPr>
          <w:rStyle w:val="FootnoteReference"/>
        </w:rPr>
        <w:footnoteRef/>
      </w:r>
      <w:r>
        <w:tab/>
        <w:t>ОВ L 52, 23.2.2013 г., стр. 37.</w:t>
      </w:r>
    </w:p>
  </w:footnote>
  <w:footnote w:id="7">
    <w:p>
      <w:pPr>
        <w:pStyle w:val="FootnoteText"/>
      </w:pPr>
      <w:r>
        <w:rPr>
          <w:rStyle w:val="FootnoteReference"/>
        </w:rPr>
        <w:footnoteRef/>
      </w:r>
      <w:r>
        <w:tab/>
        <w:t>ОВ L 52, 23.2.2013 г., стр. 41.</w:t>
      </w:r>
    </w:p>
  </w:footnote>
  <w:footnote w:id="8">
    <w:p>
      <w:pPr>
        <w:pStyle w:val="FootnoteText"/>
      </w:pPr>
      <w:r>
        <w:rPr>
          <w:rStyle w:val="FootnoteReference"/>
        </w:rPr>
        <w:footnoteRef/>
      </w:r>
      <w:r>
        <w:tab/>
        <w:t>ОВ L 244, 13.9.2013 г., стр. 19.</w:t>
      </w:r>
    </w:p>
  </w:footnote>
  <w:footnote w:id="9">
    <w:p>
      <w:pPr>
        <w:pStyle w:val="FootnoteText"/>
      </w:pPr>
      <w:r>
        <w:rPr>
          <w:rStyle w:val="FootnoteReference"/>
        </w:rPr>
        <w:footnoteRef/>
      </w:r>
      <w:r>
        <w:tab/>
        <w:t>ОВ L 279, 19.10.2013 г., стр. 2.</w:t>
      </w:r>
    </w:p>
  </w:footnote>
  <w:footnote w:id="10">
    <w:p>
      <w:pPr>
        <w:pStyle w:val="FootnoteText"/>
      </w:pPr>
      <w:r>
        <w:rPr>
          <w:rStyle w:val="FootnoteReference"/>
        </w:rPr>
        <w:footnoteRef/>
      </w:r>
      <w:r>
        <w:tab/>
        <w:t>ОВ L 279, 19.10.2013 г., стр. 4.</w:t>
      </w:r>
    </w:p>
  </w:footnote>
  <w:footnote w:id="11">
    <w:p>
      <w:pPr>
        <w:pStyle w:val="FootnoteText"/>
      </w:pPr>
      <w:r>
        <w:rPr>
          <w:rStyle w:val="FootnoteReference"/>
        </w:rPr>
        <w:footnoteRef/>
      </w:r>
      <w:r>
        <w:tab/>
        <w:t>OB L 85, 21.3.2014 г., стр. 1.</w:t>
      </w:r>
    </w:p>
  </w:footnote>
  <w:footnote w:id="12">
    <w:p>
      <w:pPr>
        <w:pStyle w:val="FootnoteText"/>
      </w:pPr>
      <w:r>
        <w:rPr>
          <w:rStyle w:val="FootnoteReference"/>
        </w:rPr>
        <w:footnoteRef/>
      </w:r>
      <w:r>
        <w:tab/>
        <w:t>OB L 179, 19.6.2014 г., стр. 31.</w:t>
      </w:r>
    </w:p>
  </w:footnote>
  <w:footnote w:id="13">
    <w:p>
      <w:pPr>
        <w:pStyle w:val="FootnoteText"/>
      </w:pPr>
      <w:r>
        <w:rPr>
          <w:rStyle w:val="FootnoteReference"/>
        </w:rPr>
        <w:footnoteRef/>
      </w:r>
      <w:r>
        <w:tab/>
        <w:t>ОВ L 352, 21.12.2012 г., стр. 20.</w:t>
      </w:r>
    </w:p>
  </w:footnote>
  <w:footnote w:id="14">
    <w:p>
      <w:pPr>
        <w:pStyle w:val="FootnoteText"/>
      </w:pPr>
      <w:r>
        <w:rPr>
          <w:rStyle w:val="FootnoteReference"/>
        </w:rPr>
        <w:footnoteRef/>
      </w:r>
      <w:r>
        <w:tab/>
        <w:t>ОВ L 352, 21.12.2012 г., стр. 30.</w:t>
      </w:r>
    </w:p>
  </w:footnote>
  <w:footnote w:id="15">
    <w:p>
      <w:pPr>
        <w:pStyle w:val="FootnoteText"/>
      </w:pPr>
      <w:r>
        <w:rPr>
          <w:rStyle w:val="FootnoteReference"/>
        </w:rPr>
        <w:footnoteRef/>
      </w:r>
      <w:r>
        <w:tab/>
        <w:t>ОВ L 352, 21.12.2012 г., стр. 32.</w:t>
      </w:r>
    </w:p>
  </w:footnote>
  <w:footnote w:id="16">
    <w:p>
      <w:pPr>
        <w:pStyle w:val="FootnoteText"/>
      </w:pPr>
      <w:r>
        <w:rPr>
          <w:rStyle w:val="FootnoteReference"/>
        </w:rPr>
        <w:footnoteRef/>
      </w:r>
      <w:r>
        <w:tab/>
        <w:t>OB L 138, 13.5.2014 г., стр. 57.</w:t>
      </w:r>
    </w:p>
  </w:footnote>
  <w:footnote w:id="17">
    <w:p>
      <w:pPr>
        <w:pStyle w:val="FootnoteText"/>
      </w:pPr>
      <w:r>
        <w:rPr>
          <w:rStyle w:val="FootnoteReference"/>
        </w:rPr>
        <w:footnoteRef/>
      </w:r>
      <w:r>
        <w:tab/>
        <w:t>ОВ L 239, 15.9.2015 г., стр. 63.</w:t>
      </w:r>
    </w:p>
  </w:footnote>
  <w:footnote w:id="18">
    <w:p>
      <w:pPr>
        <w:pStyle w:val="FootnoteText"/>
      </w:pPr>
      <w:r>
        <w:rPr>
          <w:rStyle w:val="FootnoteReference"/>
        </w:rPr>
        <w:footnoteRef/>
      </w:r>
      <w:r>
        <w:tab/>
        <w:t>ОВ L 314, 1.12.2015 г., стр. 13.</w:t>
      </w:r>
    </w:p>
  </w:footnote>
  <w:footnote w:id="19">
    <w:p>
      <w:pPr>
        <w:pStyle w:val="FootnoteText"/>
      </w:pPr>
      <w:r>
        <w:rPr>
          <w:rStyle w:val="FootnoteReference"/>
        </w:rPr>
        <w:footnoteRef/>
      </w:r>
      <w:r>
        <w:tab/>
        <w:t>ОВ L 103, 19.4.2016 г., стр. 5.</w:t>
      </w:r>
    </w:p>
  </w:footnote>
  <w:footnote w:id="20">
    <w:p>
      <w:pPr>
        <w:pStyle w:val="FootnoteText"/>
      </w:pPr>
      <w:r>
        <w:rPr>
          <w:rStyle w:val="FootnoteReference"/>
        </w:rPr>
        <w:footnoteRef/>
      </w:r>
      <w:r>
        <w:tab/>
        <w:t>OB L 195, 20.7.2016 г., стр. 3.</w:t>
      </w:r>
    </w:p>
  </w:footnote>
  <w:footnote w:id="21">
    <w:p>
      <w:pPr>
        <w:pStyle w:val="FootnoteText"/>
      </w:pPr>
      <w:r>
        <w:rPr>
          <w:rStyle w:val="FootnoteReference"/>
        </w:rPr>
        <w:footnoteRef/>
      </w:r>
      <w:r>
        <w:tab/>
        <w:t>ОВ L 17, 21.1.2017 г., стр. 1.</w:t>
      </w:r>
    </w:p>
  </w:footnote>
  <w:footnote w:id="22">
    <w:p>
      <w:pPr>
        <w:pStyle w:val="FootnoteText"/>
      </w:pPr>
      <w:r>
        <w:rPr>
          <w:rStyle w:val="FootnoteReference"/>
        </w:rPr>
        <w:footnoteRef/>
      </w:r>
      <w:r>
        <w:tab/>
        <w:t>ОВ L 113, 29.4.2017 г., стр. 15.</w:t>
      </w:r>
    </w:p>
  </w:footnote>
  <w:footnote w:id="23">
    <w:p>
      <w:pPr>
        <w:pStyle w:val="FootnoteText"/>
      </w:pPr>
      <w:r>
        <w:rPr>
          <w:rStyle w:val="FootnoteReference"/>
        </w:rPr>
        <w:footnoteRef/>
      </w:r>
      <w:r>
        <w:tab/>
        <w:t>ОВ L 17, 21.1.2017 г., стр. 17.</w:t>
      </w:r>
    </w:p>
  </w:footnote>
  <w:footnote w:id="24">
    <w:p>
      <w:pPr>
        <w:pStyle w:val="FootnoteText"/>
        <w:rPr>
          <w:iCs/>
        </w:rPr>
      </w:pPr>
      <w:r>
        <w:rPr>
          <w:rStyle w:val="FootnoteReference"/>
        </w:rPr>
        <w:footnoteRef/>
      </w:r>
      <w:r>
        <w:tab/>
        <w:t>ОВ L 305, 30.11.1994 г., стр. 6—8.</w:t>
      </w:r>
    </w:p>
  </w:footnote>
  <w:footnote w:id="25">
    <w:p>
      <w:pPr>
        <w:pStyle w:val="FootnoteText"/>
      </w:pPr>
      <w:r>
        <w:rPr>
          <w:rStyle w:val="FootnoteReference"/>
        </w:rPr>
        <w:footnoteRef/>
      </w:r>
      <w:r>
        <w:tab/>
        <w:t>ОВ L 305, 30.11.1994 г., стр. 6.</w:t>
      </w:r>
    </w:p>
  </w:footnote>
  <w:footnote w:id="26">
    <w:p>
      <w:pPr>
        <w:pStyle w:val="FootnoteText"/>
      </w:pPr>
      <w:r>
        <w:rPr>
          <w:rStyle w:val="FootnoteReference"/>
        </w:rPr>
        <w:footnoteRef/>
      </w:r>
      <w:r>
        <w:tab/>
        <w:t xml:space="preserve">ОВ L 1, 3.1.1994 г., стр. 3. </w:t>
      </w:r>
    </w:p>
  </w:footnote>
  <w:footnote w:id="27">
    <w:p>
      <w:pPr>
        <w:pStyle w:val="FootnoteText"/>
      </w:pPr>
      <w:r>
        <w:rPr>
          <w:rStyle w:val="FootnoteReference"/>
        </w:rPr>
        <w:footnoteRef/>
      </w:r>
      <w:r>
        <w:tab/>
        <w:t>Делегиран регламент (ЕС) № 148/2013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във връзка с регулаторните технически стандарти относно минималните данни, отчитани пред регистри на трансакции (ОВ L 52, 23.2.2013 г., стр. 1).</w:t>
      </w:r>
    </w:p>
  </w:footnote>
  <w:footnote w:id="28">
    <w:p>
      <w:pPr>
        <w:pStyle w:val="FootnoteText"/>
      </w:pPr>
      <w:r>
        <w:rPr>
          <w:rStyle w:val="FootnoteReference"/>
        </w:rPr>
        <w:footnoteRef/>
      </w:r>
      <w:r>
        <w:tab/>
        <w:t>Делегиран регламент (ЕС) № 149/2013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споразуменията за непряк клиринг, задължението за клиринг, публичния регистър, достъпа до място за търговия, нефинансовите контрагенти и техниките за намаляване на риска за договори за извънборсови деривати, които не са преминали през клиринг чрез централен контрагент (ОВ L 52, 23.2.2013 г., стр. 11).</w:t>
      </w:r>
    </w:p>
  </w:footnote>
  <w:footnote w:id="29">
    <w:p>
      <w:pPr>
        <w:pStyle w:val="FootnoteText"/>
      </w:pPr>
      <w:r>
        <w:rPr>
          <w:rStyle w:val="FootnoteReference"/>
        </w:rPr>
        <w:footnoteRef/>
      </w:r>
      <w:r>
        <w:tab/>
        <w:t>Делегиран регламент (ЕС) № 150/2013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за определяне на подробни изисквания за заявленията за регистрация като регистър на трансакции (ОВ L 52, 23.2.2013 г., стр. 25).</w:t>
      </w:r>
    </w:p>
  </w:footnote>
  <w:footnote w:id="30">
    <w:p>
      <w:pPr>
        <w:pStyle w:val="FootnoteText"/>
      </w:pPr>
      <w:r>
        <w:rPr>
          <w:rStyle w:val="FootnoteReference"/>
        </w:rPr>
        <w:footnoteRef/>
      </w:r>
      <w:r>
        <w:tab/>
        <w:t>Делегиран регламент (ЕС) № 151/2013 на Комисията от 19 декември 2012 г. за допълване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определящи данните, които се публикуват и предоставят от регистрите на трансакции, и оперативните стандарти за обобщаване, сравняване и достъп до данните (ОВ L 52, 23.2.2013 г., стр. 33).</w:t>
      </w:r>
    </w:p>
  </w:footnote>
  <w:footnote w:id="31">
    <w:p>
      <w:pPr>
        <w:pStyle w:val="FootnoteText"/>
      </w:pPr>
      <w:r>
        <w:rPr>
          <w:rStyle w:val="FootnoteReference"/>
        </w:rPr>
        <w:footnoteRef/>
      </w:r>
      <w:r>
        <w:tab/>
        <w:t>Делегиран регламент (ЕС) № 152/2013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капиталовите изисквания за централните контрагенти (ОВ L 52, 23.2.2013 г., стр. 37).</w:t>
      </w:r>
    </w:p>
  </w:footnote>
  <w:footnote w:id="32">
    <w:p>
      <w:pPr>
        <w:pStyle w:val="FootnoteText"/>
      </w:pPr>
      <w:r>
        <w:rPr>
          <w:rStyle w:val="FootnoteReference"/>
        </w:rPr>
        <w:footnoteRef/>
      </w:r>
      <w:r>
        <w:tab/>
        <w:t>Делегиран регламент (ЕС) № 153/2013 на Комисията от 19 декември 2012 г. за допълване на Регламент (ЕС) № 648/2012 на Европейския парламент и на Съвета по отношение на регулаторните технически стандарти относно изискванията към централните контрагенти (ОВ L 52, 23.2.2013 г., стр. 41).</w:t>
      </w:r>
    </w:p>
  </w:footnote>
  <w:footnote w:id="33">
    <w:p>
      <w:pPr>
        <w:pStyle w:val="FootnoteText"/>
      </w:pPr>
      <w:r>
        <w:rPr>
          <w:rStyle w:val="FootnoteReference"/>
        </w:rPr>
        <w:footnoteRef/>
      </w:r>
      <w:r>
        <w:tab/>
        <w:t>Делегиран регламент (ЕС) № 876/2013 на Комисията от 28 май 2013 г. за допълнение на Регламент (ЕС) № 648/2012 на Европейския парламент и на Съвета по отношение на регулаторните технически стандарти за колегиите за централните контрагенти (ОВ L 244, 13.9.2013 г., стр. 19).</w:t>
      </w:r>
    </w:p>
  </w:footnote>
  <w:footnote w:id="34">
    <w:p>
      <w:pPr>
        <w:pStyle w:val="FootnoteText"/>
      </w:pPr>
      <w:r>
        <w:rPr>
          <w:rStyle w:val="FootnoteReference"/>
        </w:rPr>
        <w:footnoteRef/>
      </w:r>
      <w:r>
        <w:tab/>
        <w:t>Делегиран регламент (ЕС) № 1002/2013 на Комисията от 12 юли 2013 г. за изменение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списъка на изключените от обхвата му субекти (ОВ L 279, 19.10.2013 г., стр. 2).</w:t>
      </w:r>
    </w:p>
  </w:footnote>
  <w:footnote w:id="35">
    <w:p>
      <w:pPr>
        <w:pStyle w:val="FootnoteText"/>
      </w:pPr>
      <w:r>
        <w:rPr>
          <w:rStyle w:val="FootnoteReference"/>
        </w:rPr>
        <w:footnoteRef/>
      </w:r>
      <w:r>
        <w:tab/>
        <w:t>Делегиран регламент (ЕС) № 1003/2013 на Комисията от 12 юли 2013 г. за допълнение на Регламент (ЕС) № 648/2012 на Европейския парламент и на Съвета по отношение на таксите, начислявани от Европейския орган за ценни книжа и пазари на регистрите на трансакции (ОВ L 279, 19.10.2013 г., стр. 4).</w:t>
      </w:r>
    </w:p>
  </w:footnote>
  <w:footnote w:id="36">
    <w:p>
      <w:pPr>
        <w:pStyle w:val="FootnoteText"/>
      </w:pPr>
      <w:r>
        <w:rPr>
          <w:rStyle w:val="FootnoteReference"/>
        </w:rPr>
        <w:footnoteRef/>
      </w:r>
      <w:r>
        <w:tab/>
        <w:t>Делегиран регламент (ЕС) № 285/2014 на Комисията от 13 февруари 2014 г. за допълнение на Регламент (ЕС) № 648/2012 на Европейския парламент и на Съвета по отношение на регулаторните технически стандарти във връзка с прякото, значително и предвидимо въздействие на договори в рамките на Съюза и за предотвратяване на заобикалянето на правилата и задълженията (ОВ L 85, 21.3.2014 г., стр. 1)</w:t>
      </w:r>
    </w:p>
  </w:footnote>
  <w:footnote w:id="37">
    <w:p>
      <w:pPr>
        <w:pStyle w:val="FootnoteText"/>
      </w:pPr>
      <w:r>
        <w:rPr>
          <w:rStyle w:val="FootnoteReference"/>
        </w:rPr>
        <w:footnoteRef/>
      </w:r>
      <w:r>
        <w:tab/>
        <w:t>Делегиран регламент (ЕС) № 667/2014 на Комисията от 13 март 2014 г. за допълване на Регламент (ЕС) № 648/2012 на Европейския парламент и на Съвета по отношение на процедурните правила относно санкциите, налагани на регистрите на трансакции от страна на Европейския орган за ценни книжа и пазари, включително правилата относно правото на защита и временни разпоредби (ОВ L 179, 19.6.2014 г., стр. 31).</w:t>
      </w:r>
    </w:p>
  </w:footnote>
  <w:footnote w:id="38">
    <w:p>
      <w:pPr>
        <w:pStyle w:val="FootnoteText"/>
      </w:pPr>
      <w:r>
        <w:rPr>
          <w:rStyle w:val="FootnoteReference"/>
        </w:rPr>
        <w:footnoteRef/>
      </w:r>
      <w:r>
        <w:tab/>
        <w:t>Регламент за изпълнение (ЕС) № 1247/2012 на Комисията от 19 декември 2012 г. за установяване на технически стандарти за изпълнение по отношение на формата и периодичността на отчетите за трансакциите, предавани на регистрите на трансакции съгласно Регламент (ЕС) № 648/2012 на Европейския парламент и на Съвета относно извънборсовите деривати, централните контрагенти и регистрите на трансакции (ОВ L 352, 21.12.2012 г., стр. 20).</w:t>
      </w:r>
    </w:p>
  </w:footnote>
  <w:footnote w:id="39">
    <w:p>
      <w:pPr>
        <w:pStyle w:val="FootnoteText"/>
      </w:pPr>
      <w:r>
        <w:rPr>
          <w:rStyle w:val="FootnoteReference"/>
        </w:rPr>
        <w:footnoteRef/>
      </w:r>
      <w:r>
        <w:tab/>
        <w:t>Регламент за изпълнение (ЕС) № 1248/2012 на Комисията от 19 декември 2012 г. за установяване на технически стандарти за изпълнение по отношение на формата на заявленията за регистрация на регистрите на трансакции по Регламент (ЕС) № 648/2012 на Европейския парламент и на Съвета относно извънборсовите деривати, централните контрагенти и регистрите на трансакции (ОВ L 352, 21.12.2012 г., стр. 30).</w:t>
      </w:r>
    </w:p>
  </w:footnote>
  <w:footnote w:id="40">
    <w:p>
      <w:pPr>
        <w:pStyle w:val="FootnoteText"/>
      </w:pPr>
      <w:r>
        <w:rPr>
          <w:rStyle w:val="FootnoteReference"/>
        </w:rPr>
        <w:footnoteRef/>
      </w:r>
      <w:r>
        <w:tab/>
        <w:t>Регламент за изпълнение (ЕС) № 1249/2012 на Комисията от 19 декември 2012 г. за установяване на технически стандарти за изпълнение по отношение на формата на документацията с данни, която трябва да съхраняват централните контрагенти съгласно Регламент (ЕС) № 648/2012 на Европейския парламент и на Съвета относно извънборсовите деривати, централните контрагенти и регистрите на трансакции (ОВ L 352, 21.12.2012 г., стр. 32).</w:t>
      </w:r>
    </w:p>
  </w:footnote>
  <w:footnote w:id="41">
    <w:p>
      <w:pPr>
        <w:pStyle w:val="FootnoteText"/>
      </w:pPr>
      <w:r>
        <w:rPr>
          <w:rStyle w:val="FootnoteReference"/>
        </w:rPr>
        <w:footnoteRef/>
      </w:r>
      <w:r>
        <w:tab/>
        <w:t>Регламент за изпълнение (ЕС) № 484/2014 на Комисията от 12 май 2014 г. за определяне на техническите стандарти за изпълнение по отношение на хипотетичния капитал на централните контрагенти в съответствие с Регламент (ЕС) № 648/2012 на Европейския парламент и на Съвета (ОВ L 138, 13.5.2014 г., стр. 57).</w:t>
      </w:r>
    </w:p>
  </w:footnote>
  <w:footnote w:id="42">
    <w:p>
      <w:pPr>
        <w:pStyle w:val="FootnoteText"/>
      </w:pPr>
      <w:r>
        <w:rPr>
          <w:rStyle w:val="FootnoteReference"/>
        </w:rPr>
        <w:footnoteRef/>
      </w:r>
      <w:r>
        <w:tab/>
        <w:t>Делегиран регламент (ЕС) 2015/1515 на Комисията от 5 юни 2015 г. за изменение на Регламент (ЕС) № 648/2012 на Европейския парламент и на Съвета по отношение на удължаването на преходните периоди, свързани с пенсионните планове (ОВ L 239, 15.9.2015 г., стр. 63).</w:t>
      </w:r>
    </w:p>
  </w:footnote>
  <w:footnote w:id="43">
    <w:p>
      <w:pPr>
        <w:pStyle w:val="FootnoteText"/>
      </w:pPr>
      <w:r>
        <w:rPr>
          <w:rStyle w:val="FootnoteReference"/>
        </w:rPr>
        <w:footnoteRef/>
      </w:r>
      <w:r>
        <w:tab/>
        <w:t>Делегиран регламент (ЕС) 2015/2205 на Комисията от 6 август 2015 г. за допълнение на Регламент (ЕС) № 648/2012 на Европейския парламент и на Съвета по отношение на регулаторните технически стандарти относно задължението за клиринг (ОВ L 314, 1.12.2015 г., стр. 13).</w:t>
      </w:r>
    </w:p>
  </w:footnote>
  <w:footnote w:id="44">
    <w:p>
      <w:pPr>
        <w:pStyle w:val="FootnoteText"/>
      </w:pPr>
      <w:r>
        <w:rPr>
          <w:rStyle w:val="FootnoteReference"/>
        </w:rPr>
        <w:footnoteRef/>
      </w:r>
      <w:r>
        <w:tab/>
        <w:t>Делегиран регламент (ЕС) 2016/592 на Комисията от 1 март 2016 г. за допълване на Регламент (ЕС) № 648/2012 на Европейския парламент и на Съвета по отношение на регулаторните технически стандарти относно задължението за клиринг (ОВ L 103, 19.4.2016 г., стр. 5).</w:t>
      </w:r>
    </w:p>
  </w:footnote>
  <w:footnote w:id="45">
    <w:p>
      <w:pPr>
        <w:pStyle w:val="FootnoteText"/>
      </w:pPr>
      <w:r>
        <w:rPr>
          <w:rStyle w:val="FootnoteReference"/>
        </w:rPr>
        <w:footnoteRef/>
      </w:r>
      <w:r>
        <w:tab/>
        <w:t>Делегиран регламент (ЕС) 2016/1178 на Комисията от 10 юни 2016 г. за допълване на Регламент (ЕС) № 648/2012 на Европейския парламент и на Съвета по отношение на регулаторните технически стандарти относно задължението за клиринг (ОВ L 195, 20.7.2016 г., стр. 3).</w:t>
      </w:r>
    </w:p>
  </w:footnote>
  <w:footnote w:id="46">
    <w:p>
      <w:pPr>
        <w:pStyle w:val="FootnoteText"/>
      </w:pPr>
      <w:r>
        <w:rPr>
          <w:rStyle w:val="FootnoteReference"/>
        </w:rPr>
        <w:footnoteRef/>
      </w:r>
      <w:r>
        <w:tab/>
        <w:t>Делегиран регламент (ЕС) 2017/104 на Комисията от 19 октомври 2016 г. за изменение на Делегиран регламент (ЕС) № 148/2013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във връзка с регулаторните технически стандарти относно минималните данни, отчитани пред регистри на трансакции (ОВ L 17, 21.1.2017 г., стр. 1).</w:t>
      </w:r>
    </w:p>
  </w:footnote>
  <w:footnote w:id="47">
    <w:p>
      <w:pPr>
        <w:pStyle w:val="FootnoteText"/>
      </w:pPr>
      <w:r>
        <w:rPr>
          <w:rStyle w:val="FootnoteReference"/>
        </w:rPr>
        <w:footnoteRef/>
      </w:r>
      <w:r>
        <w:tab/>
        <w:t>Делегиран регламент (ЕС) 2017/751 на Комисията от 16 март 2017 г. за изменение на делегирани регламенти (ЕС) 2015/2205, (ЕС) 2016/592 и (ЕС) 2016/1178 по отношение на крайния срок за спазване на задължението за клиринг от страна на някои контрагенти, търгуващи с извънборсови деривати (ОВ L 113, 29.4.2017 г., стр. 15).</w:t>
      </w:r>
    </w:p>
  </w:footnote>
  <w:footnote w:id="48">
    <w:p>
      <w:pPr>
        <w:pStyle w:val="FootnoteText"/>
      </w:pPr>
      <w:r>
        <w:rPr>
          <w:rStyle w:val="FootnoteReference"/>
        </w:rPr>
        <w:footnoteRef/>
      </w:r>
      <w:r>
        <w:tab/>
        <w:t>Регламент за изпълнение (ЕС) 2017/105 на Комисията от 26 октомври 2016 г. за изменение на Регламент за изпълнение (ЕС) № 1247/2012 за установяване на технически стандарти за изпълнение по отношение на формата и периодичността на отчетите за трансакциите, предавани на регистрите на трансакции съгласно Регламент (ЕС) № 648/2012 на Европейския парламент и на Съвета относно извънборсовите деривати, централните контрагенти и регистрите на трансакции (ОВ L 17, 21.1.2017 г., стр. 17, поправен с ОВ L 19, 25.1.2017 г., стр.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A84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3EA2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56D1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86A204"/>
    <w:lvl w:ilvl="0">
      <w:start w:val="1"/>
      <w:numFmt w:val="bullet"/>
      <w:pStyle w:val="ListBullet4"/>
      <w:lvlText w:val=""/>
      <w:lvlJc w:val="left"/>
      <w:pPr>
        <w:tabs>
          <w:tab w:val="num" w:pos="1929"/>
        </w:tabs>
        <w:ind w:left="1929" w:hanging="360"/>
      </w:pPr>
      <w:rPr>
        <w:rFonts w:ascii="Symbol" w:hAnsi="Symbol" w:hint="default"/>
      </w:rPr>
    </w:lvl>
  </w:abstractNum>
  <w:abstractNum w:abstractNumId="4">
    <w:nsid w:val="FFFFFF82"/>
    <w:multiLevelType w:val="singleLevel"/>
    <w:tmpl w:val="4E3E2A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90E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0AA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65D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47461A1-D61E-4669-A29C-3B418D070ED4"/>
    <w:docVar w:name="LW_COVERPAGE_TYPE" w:val="1"/>
    <w:docVar w:name="LW_CROSSREFERENCE" w:val="&lt;UNUSED&gt;"/>
    <w:docVar w:name="LW_DocType" w:val="COM"/>
    <w:docVar w:name="LW_EMISSION" w:val="21.3.2018"/>
    <w:docVar w:name="LW_EMISSION_ISODATE" w:val="2018-03-2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8"/>
    <w:docVar w:name="LW_REF.II.NEW.CP_YEAR" w:val="2018"/>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2?\u1098?\u1084? \u1057?\u1087?\u1086?\u1088?\u1072?\u1079?\u1091?\u1084?\u1077?\u1085?\u1080?\u1077?\u1090?\u1086? \u1079?\u1072? \u1045?\u1048?\u1055?_x000b__x000b_(\u1047?\u1072?\u1082?\u1086?\u1085?\u1086?\u1076?\u1072?\u1090?\u1077?\u1083?\u1085?\u1080? \u1072?\u1082?\u1090?\u1086?\u1074?\u1077? \u1085?\u1072? \u1085?\u1080?\u1074?\u1086? 2, \u1056?\u1077?\u1075?\u1083?\u1072?\u1084?\u1077?\u1085?\u1090? \u1079?\u1072? \u1077?\u1074?\u1088?\u1086?\u1087?\u1077?\u1081?\u1089?\u1082?\u1072?\u1090?\u1072? \u1087?\u1072?\u1079?\u1072?\u1088?\u1085?\u1072? \u1080?\u1085?\u1092?\u1088?\u1072?\u1089?\u1090?\u1088?\u1091?\u1082?\u1090?\u1091?\u1088?\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826">
      <w:bodyDiv w:val="1"/>
      <w:marLeft w:val="0"/>
      <w:marRight w:val="0"/>
      <w:marTop w:val="0"/>
      <w:marBottom w:val="0"/>
      <w:divBdr>
        <w:top w:val="none" w:sz="0" w:space="0" w:color="auto"/>
        <w:left w:val="none" w:sz="0" w:space="0" w:color="auto"/>
        <w:bottom w:val="none" w:sz="0" w:space="0" w:color="auto"/>
        <w:right w:val="none" w:sz="0" w:space="0" w:color="auto"/>
      </w:divBdr>
    </w:div>
    <w:div w:id="15437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4BC7-EA0D-4EDD-B730-9F1E562E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2169</Words>
  <Characters>12432</Characters>
  <Application>Microsoft Office Word</Application>
  <DocSecurity>0</DocSecurity>
  <Lines>270</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2018-02-07T14:16:00Z</cp:lastPrinted>
  <dcterms:created xsi:type="dcterms:W3CDTF">2018-03-12T09:42:00Z</dcterms:created>
  <dcterms:modified xsi:type="dcterms:W3CDTF">2018-03-14T13:22:00Z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