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F840398-7D22-4648-AF72-23823479E9AF" style="width:450.6pt;height:393.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Style w:val="Text1"/>
        <w:rPr>
          <w:noProof/>
        </w:rPr>
      </w:pPr>
      <w:r>
        <w:rPr>
          <w:noProof/>
        </w:rPr>
        <w:t>The two draft Decisions of the EEA Joint Committee (annexed to the proposed Council Decision) aim to amend Annex IX (Financial Services) to the EEA Agreement in order to incorporate EMIR</w:t>
      </w:r>
      <w:r>
        <w:rPr>
          <w:rStyle w:val="FootnoteReference"/>
          <w:noProof/>
        </w:rPr>
        <w:footnoteReference w:id="1"/>
      </w:r>
      <w:r>
        <w:rPr>
          <w:noProof/>
        </w:rPr>
        <w:t xml:space="preserve"> Delegated and Implementing Regulations.</w:t>
      </w:r>
    </w:p>
    <w:p>
      <w:pPr>
        <w:pStyle w:val="Text1"/>
        <w:rPr>
          <w:noProof/>
        </w:rPr>
      </w:pPr>
      <w:r>
        <w:rPr>
          <w:noProof/>
        </w:rPr>
        <w:t>The adaptations appearing in the drafts of the annexed Decisions of the EEA Joint Committee go beyond what can be considered mere technical adaptations in the sense of the Council Regulation No 2894/94.The Union position shall therefore be established by the Council.</w:t>
      </w:r>
    </w:p>
    <w:p>
      <w:pPr>
        <w:pStyle w:val="Text1"/>
        <w:rPr>
          <w:noProof/>
          <w:szCs w:val="24"/>
        </w:rPr>
      </w:pPr>
      <w:r>
        <w:rPr>
          <w:noProof/>
          <w:szCs w:val="24"/>
        </w:rPr>
        <w:t>The decision proposed herewith covers two draft EEA Joint Committee decisions intended to incorporate the following EU legal acts.</w:t>
      </w:r>
    </w:p>
    <w:p>
      <w:pPr>
        <w:pStyle w:val="ManualHeading2"/>
        <w:rPr>
          <w:noProof/>
          <w:u w:val="single"/>
        </w:rPr>
      </w:pPr>
      <w:r>
        <w:rPr>
          <w:noProof/>
        </w:rPr>
        <w:tab/>
      </w:r>
      <w:r>
        <w:rPr>
          <w:noProof/>
          <w:u w:val="single"/>
        </w:rPr>
        <w:t>Annex 1: Level 2 Acts (2012-2014)</w:t>
      </w:r>
    </w:p>
    <w:p>
      <w:pPr>
        <w:pStyle w:val="Point1number"/>
        <w:numPr>
          <w:ilvl w:val="2"/>
          <w:numId w:val="11"/>
        </w:numPr>
        <w:rPr>
          <w:noProof/>
        </w:rPr>
      </w:pPr>
      <w:r>
        <w:rPr>
          <w:noProof/>
        </w:rPr>
        <w:t>Commission Delegated Regulation (EU) No 148/2013 of 19 December 2012 supplementing Regulation (EU) No 648/2012 of the European Parliament and of the Council on OTC derivatives, central counterparties and trade repositories with regard to regulatory technical standards on the minimum details of the data to be reported to trade repositories</w:t>
      </w:r>
      <w:r>
        <w:rPr>
          <w:rStyle w:val="FootnoteReference"/>
          <w:noProof/>
        </w:rPr>
        <w:footnoteReference w:id="2"/>
      </w:r>
      <w:r>
        <w:rPr>
          <w:noProof/>
        </w:rPr>
        <w:t>.</w:t>
      </w:r>
    </w:p>
    <w:p>
      <w:pPr>
        <w:pStyle w:val="Point1number"/>
        <w:rPr>
          <w:noProof/>
        </w:rPr>
      </w:pPr>
      <w:r>
        <w:rPr>
          <w:noProof/>
        </w:rPr>
        <w:t>Commission Delegated Regulation (EU) No 149/2013 of 19 December 2012 supplementing Regulation (EU) No 648/2012 of the European Parliament and of the Council with regard to regulatory technical standards on indirect clearing arrangements, the clearing obligation, the public register, access to a trading venue, non-financial counterparties, and risk mitigation techniques for OTC derivatives contracts not cleared by a CCP</w:t>
      </w:r>
      <w:r>
        <w:rPr>
          <w:rStyle w:val="FootnoteReference"/>
          <w:noProof/>
        </w:rPr>
        <w:footnoteReference w:id="3"/>
      </w:r>
      <w:r>
        <w:rPr>
          <w:noProof/>
        </w:rPr>
        <w:t>.</w:t>
      </w:r>
    </w:p>
    <w:p>
      <w:pPr>
        <w:pStyle w:val="Point1number"/>
        <w:rPr>
          <w:noProof/>
        </w:rPr>
      </w:pPr>
      <w:r>
        <w:rPr>
          <w:noProof/>
        </w:rPr>
        <w:t>Commission Delegated Regulation (EU) No 150/2013 of 19 December 2012 supplementing Regulation (EU) No 648/2012 of the European Parliament and of the Council on OTC derivatives, central counterparties and trade repositories with regard to regulatory technical standards specifying the details of the application for registration as a trade repository</w:t>
      </w:r>
      <w:r>
        <w:rPr>
          <w:rStyle w:val="FootnoteReference"/>
          <w:noProof/>
        </w:rPr>
        <w:footnoteReference w:id="4"/>
      </w:r>
      <w:r>
        <w:rPr>
          <w:noProof/>
        </w:rPr>
        <w:t>.</w:t>
      </w:r>
    </w:p>
    <w:p>
      <w:pPr>
        <w:pStyle w:val="Point1number"/>
        <w:rPr>
          <w:noProof/>
        </w:rPr>
      </w:pPr>
      <w:r>
        <w:rPr>
          <w:noProof/>
        </w:rPr>
        <w:t>Commission Delegated Regulation (EU) No 151/2013 of 19 December 2012 supplementing Regulation (EU) No 648/2012 of the European Parliament and of the Council on OTC derivatives, central counterparties and trade repositories with regard to regulatory technical standards specifying the data to be published and made available by trade repositories and operational standards for aggregating, comparing and accessing the data</w:t>
      </w:r>
      <w:r>
        <w:rPr>
          <w:rStyle w:val="FootnoteReference"/>
          <w:noProof/>
        </w:rPr>
        <w:footnoteReference w:id="5"/>
      </w:r>
      <w:r>
        <w:rPr>
          <w:noProof/>
        </w:rPr>
        <w:t>.</w:t>
      </w:r>
    </w:p>
    <w:p>
      <w:pPr>
        <w:pStyle w:val="Point1number"/>
        <w:rPr>
          <w:noProof/>
        </w:rPr>
      </w:pPr>
      <w:r>
        <w:rPr>
          <w:noProof/>
        </w:rPr>
        <w:t xml:space="preserve">Commission Delegated Regulation (EU) No 152/2013 of 19 December 2012 supplementing Regulation (EU) No 648/2012 of the European Parliament and </w:t>
      </w:r>
      <w:r>
        <w:rPr>
          <w:noProof/>
        </w:rPr>
        <w:lastRenderedPageBreak/>
        <w:t>of the Council with regard to regulatory technical standards on capital requirements for central counterparties</w:t>
      </w:r>
      <w:r>
        <w:rPr>
          <w:rStyle w:val="FootnoteReference"/>
          <w:noProof/>
        </w:rPr>
        <w:footnoteReference w:id="6"/>
      </w:r>
      <w:r>
        <w:rPr>
          <w:noProof/>
        </w:rPr>
        <w:t>.</w:t>
      </w:r>
    </w:p>
    <w:p>
      <w:pPr>
        <w:pStyle w:val="Point1number"/>
        <w:rPr>
          <w:noProof/>
        </w:rPr>
      </w:pPr>
      <w:r>
        <w:rPr>
          <w:noProof/>
        </w:rPr>
        <w:t>Commission Delegated Regulation (EU) No 153/2013 of 19 December 2012 supplementing Regulation (EU) No 648/2012 of the European Parliament and of the Council with regard to regulatory technical standards on requirements for central counterparties</w:t>
      </w:r>
      <w:r>
        <w:rPr>
          <w:rStyle w:val="FootnoteReference"/>
          <w:noProof/>
        </w:rPr>
        <w:footnoteReference w:id="7"/>
      </w:r>
      <w:r>
        <w:rPr>
          <w:noProof/>
        </w:rPr>
        <w:t>.</w:t>
      </w:r>
    </w:p>
    <w:p>
      <w:pPr>
        <w:pStyle w:val="Point1number"/>
        <w:rPr>
          <w:noProof/>
        </w:rPr>
      </w:pPr>
      <w:r>
        <w:rPr>
          <w:noProof/>
        </w:rPr>
        <w:t>Commission Delegated Regulation (EU) No 876/2013 of 28 May 2013 supplementing Regulation (EU) No 648/2012 of the European Parliament and of the Council with regard to regulatory technical standards on colleges for central counterparties</w:t>
      </w:r>
      <w:r>
        <w:rPr>
          <w:rStyle w:val="FootnoteReference"/>
          <w:noProof/>
        </w:rPr>
        <w:footnoteReference w:id="8"/>
      </w:r>
      <w:r>
        <w:rPr>
          <w:noProof/>
        </w:rPr>
        <w:t>.</w:t>
      </w:r>
    </w:p>
    <w:p>
      <w:pPr>
        <w:pStyle w:val="Point1number"/>
        <w:rPr>
          <w:noProof/>
        </w:rPr>
      </w:pPr>
      <w:r>
        <w:rPr>
          <w:noProof/>
        </w:rPr>
        <w:t>Commission Delegated Regulation (EU) No 1002/2013 of 12 July 2013 amending Regulation (EU) No 648/2012 of the European Parliament and of the Council on OTC derivatives, central counterparties and trade repositories with regard to the list of exempted entities</w:t>
      </w:r>
      <w:r>
        <w:rPr>
          <w:rStyle w:val="FootnoteReference"/>
          <w:noProof/>
        </w:rPr>
        <w:footnoteReference w:id="9"/>
      </w:r>
      <w:r>
        <w:rPr>
          <w:noProof/>
        </w:rPr>
        <w:t>.</w:t>
      </w:r>
    </w:p>
    <w:p>
      <w:pPr>
        <w:pStyle w:val="Point1number"/>
        <w:rPr>
          <w:noProof/>
        </w:rPr>
      </w:pPr>
      <w:r>
        <w:rPr>
          <w:noProof/>
        </w:rPr>
        <w:t>Commission Delegated Regulation (EU) No 1003/2013 of 12 July 2013 supplementing Regulation (EU) No 648/2012 of the European Parliament and of the Council with regard to fees charged by the European Securities and Markets Authority to trade repositories</w:t>
      </w:r>
      <w:r>
        <w:rPr>
          <w:rStyle w:val="FootnoteReference"/>
          <w:noProof/>
        </w:rPr>
        <w:footnoteReference w:id="10"/>
      </w:r>
      <w:r>
        <w:rPr>
          <w:noProof/>
        </w:rPr>
        <w:t>.</w:t>
      </w:r>
    </w:p>
    <w:p>
      <w:pPr>
        <w:pStyle w:val="Point1number"/>
        <w:rPr>
          <w:noProof/>
        </w:rPr>
      </w:pPr>
      <w:r>
        <w:rPr>
          <w:noProof/>
        </w:rPr>
        <w:t>Commission Delegated Regulation (EU) No 285/2014 of 13 February 2014 supplementing Regulation (EU) No 648/2012 of the European Parliament and of the Council with regard to regulatory technical standards on direct, substantial and foreseeable effect of contracts within the Union and to prevent the evasion of rules and obligations</w:t>
      </w:r>
      <w:r>
        <w:rPr>
          <w:rStyle w:val="FootnoteReference"/>
          <w:noProof/>
        </w:rPr>
        <w:footnoteReference w:id="11"/>
      </w:r>
      <w:r>
        <w:rPr>
          <w:noProof/>
        </w:rPr>
        <w:t>.</w:t>
      </w:r>
    </w:p>
    <w:p>
      <w:pPr>
        <w:pStyle w:val="Point1number"/>
        <w:rPr>
          <w:noProof/>
        </w:rPr>
      </w:pPr>
      <w:r>
        <w:rPr>
          <w:noProof/>
        </w:rPr>
        <w:t>Commission Delegated Regulation (EU) No 667/2014 of 13 March 2014 supplementing Regulation (EU) No 648/2012 of the European Parliament and of the Council with regard to rules of procedure for penalties imposed on trade repositories by the European Securities and Markets Authority including rules on the right of defence and temporal provisions</w:t>
      </w:r>
      <w:r>
        <w:rPr>
          <w:rStyle w:val="FootnoteReference"/>
          <w:noProof/>
        </w:rPr>
        <w:footnoteReference w:id="12"/>
      </w:r>
      <w:r>
        <w:rPr>
          <w:noProof/>
        </w:rPr>
        <w:t>.</w:t>
      </w:r>
    </w:p>
    <w:p>
      <w:pPr>
        <w:pStyle w:val="Point1number"/>
        <w:rPr>
          <w:noProof/>
        </w:rPr>
      </w:pPr>
      <w:r>
        <w:rPr>
          <w:noProof/>
        </w:rPr>
        <w:t>Commission Implementing Regulation (EU) No 1247/2012 of 19 December 2012 laying down implementing technical standards with regard to the format and frequency of trade reports to trade repositories according to Regulation (EU) No 648/2012 of the European Parliament and of the Council on OTC derivatives, central counterparties and trade repositories</w:t>
      </w:r>
      <w:r>
        <w:rPr>
          <w:rStyle w:val="FootnoteReference"/>
          <w:noProof/>
        </w:rPr>
        <w:footnoteReference w:id="13"/>
      </w:r>
      <w:r>
        <w:rPr>
          <w:noProof/>
        </w:rPr>
        <w:t>.</w:t>
      </w:r>
    </w:p>
    <w:p>
      <w:pPr>
        <w:pStyle w:val="Point1number"/>
        <w:rPr>
          <w:noProof/>
        </w:rPr>
      </w:pPr>
      <w:r>
        <w:rPr>
          <w:noProof/>
        </w:rPr>
        <w:t>Commission Implementing Regulation (EU) No 1248/2012 of 19 December 2012 laying down implementing technical standards with regard to the format of applications for the registration of trade repositories according to Regulation (EU) No 648/2012 of the European Parliament and of the Council on OTC derivatives, central counterparties and trade repositories</w:t>
      </w:r>
      <w:r>
        <w:rPr>
          <w:rStyle w:val="FootnoteReference"/>
          <w:noProof/>
        </w:rPr>
        <w:footnoteReference w:id="14"/>
      </w:r>
      <w:r>
        <w:rPr>
          <w:noProof/>
        </w:rPr>
        <w:t>.</w:t>
      </w:r>
    </w:p>
    <w:p>
      <w:pPr>
        <w:pStyle w:val="Point1number"/>
        <w:rPr>
          <w:noProof/>
        </w:rPr>
      </w:pPr>
      <w:r>
        <w:rPr>
          <w:noProof/>
        </w:rPr>
        <w:lastRenderedPageBreak/>
        <w:t>Commission Implementing Regulation (EU) No 1249/2012 of 19 December 2012 laying down implementing technical standards with regard to the format of the records to be maintained by central counterparties according to Regulation (EU) No 648/2012 of the European Parliament and of the Council on OTC derivatives, central counterparties and trade repositories</w:t>
      </w:r>
      <w:r>
        <w:rPr>
          <w:rStyle w:val="FootnoteReference"/>
          <w:noProof/>
        </w:rPr>
        <w:footnoteReference w:id="15"/>
      </w:r>
      <w:r>
        <w:rPr>
          <w:noProof/>
        </w:rPr>
        <w:t>.</w:t>
      </w:r>
    </w:p>
    <w:p>
      <w:pPr>
        <w:pStyle w:val="Point1number"/>
        <w:rPr>
          <w:noProof/>
        </w:rPr>
      </w:pPr>
      <w:r>
        <w:rPr>
          <w:noProof/>
        </w:rPr>
        <w:t>Commission Implementing Regulation (EU) No 484/2014 of 12 May 2014 laying down implementing technical standards with regard to the hypothetical capital of a central counterparty according to Regulation (EU) No 648/2012 of the European Parliament and of the Council</w:t>
      </w:r>
      <w:r>
        <w:rPr>
          <w:rStyle w:val="FootnoteReference"/>
          <w:noProof/>
        </w:rPr>
        <w:footnoteReference w:id="16"/>
      </w:r>
      <w:r>
        <w:rPr>
          <w:noProof/>
        </w:rPr>
        <w:t>.</w:t>
      </w:r>
    </w:p>
    <w:p>
      <w:pPr>
        <w:pStyle w:val="ManualHeading2"/>
        <w:rPr>
          <w:noProof/>
        </w:rPr>
      </w:pPr>
      <w:r>
        <w:rPr>
          <w:noProof/>
        </w:rPr>
        <w:tab/>
      </w:r>
      <w:r>
        <w:rPr>
          <w:noProof/>
          <w:u w:val="single"/>
        </w:rPr>
        <w:t>Annex 2: Level 2 Acts (2015-2017</w:t>
      </w:r>
      <w:r>
        <w:rPr>
          <w:noProof/>
        </w:rPr>
        <w:t>)</w:t>
      </w:r>
    </w:p>
    <w:p>
      <w:pPr>
        <w:pStyle w:val="Point1number"/>
        <w:rPr>
          <w:noProof/>
        </w:rPr>
      </w:pPr>
      <w:r>
        <w:rPr>
          <w:noProof/>
        </w:rPr>
        <w:t>Commission Delegated Regulation (EU) 2015/1515 of 5 June 2015 amending Regulation (EU) No 648/2012 of the European Parliament and of the Council as regards the extension of the transitional periods related to pension scheme arrangements</w:t>
      </w:r>
      <w:r>
        <w:rPr>
          <w:rStyle w:val="FootnoteReference"/>
          <w:noProof/>
        </w:rPr>
        <w:footnoteReference w:id="17"/>
      </w:r>
      <w:r>
        <w:rPr>
          <w:noProof/>
        </w:rPr>
        <w:t>.</w:t>
      </w:r>
    </w:p>
    <w:p>
      <w:pPr>
        <w:pStyle w:val="Point1number"/>
        <w:rPr>
          <w:noProof/>
        </w:rPr>
      </w:pPr>
      <w:r>
        <w:rPr>
          <w:noProof/>
        </w:rPr>
        <w:t>Commission Delegated Regulation (EU) 2015/2205 of 6 August 2015 supplementing Regulation (EU) No 648/2012 of the European Parliament and of the Council with regard to regulatory technical standards on the clearing obligation</w:t>
      </w:r>
      <w:r>
        <w:rPr>
          <w:rStyle w:val="FootnoteReference"/>
          <w:noProof/>
        </w:rPr>
        <w:footnoteReference w:id="18"/>
      </w:r>
      <w:r>
        <w:rPr>
          <w:noProof/>
        </w:rPr>
        <w:t>.</w:t>
      </w:r>
    </w:p>
    <w:p>
      <w:pPr>
        <w:pStyle w:val="Point1number"/>
        <w:rPr>
          <w:noProof/>
        </w:rPr>
      </w:pPr>
      <w:r>
        <w:rPr>
          <w:noProof/>
        </w:rPr>
        <w:t>Commission Delegated Regulation (EU) 2016/592 of 1 March 2016 supplementing Regulation (EU) No 648/2012 of the European Parliament and of the Council with regard to regulatory technical standards on the clearing obligation</w:t>
      </w:r>
      <w:r>
        <w:rPr>
          <w:rStyle w:val="FootnoteReference"/>
          <w:noProof/>
        </w:rPr>
        <w:footnoteReference w:id="19"/>
      </w:r>
      <w:r>
        <w:rPr>
          <w:noProof/>
        </w:rPr>
        <w:t>.</w:t>
      </w:r>
    </w:p>
    <w:p>
      <w:pPr>
        <w:pStyle w:val="Point1number"/>
        <w:rPr>
          <w:noProof/>
        </w:rPr>
      </w:pPr>
      <w:r>
        <w:rPr>
          <w:noProof/>
        </w:rPr>
        <w:t>Commission Delegated Regulation (EU) 2016/1178 of 10 June 2016 supplementing Regulation (EU) No 648/2012 of the European Parliament and of the Council with regard to regulatory technical standards on the clearing obligation</w:t>
      </w:r>
      <w:r>
        <w:rPr>
          <w:rStyle w:val="FootnoteReference"/>
          <w:noProof/>
        </w:rPr>
        <w:footnoteReference w:id="20"/>
      </w:r>
      <w:r>
        <w:rPr>
          <w:noProof/>
        </w:rPr>
        <w:t>, as corrected by OJ L 196, 21.7.2016, p. 56.</w:t>
      </w:r>
    </w:p>
    <w:p>
      <w:pPr>
        <w:pStyle w:val="Point1number"/>
        <w:rPr>
          <w:noProof/>
        </w:rPr>
      </w:pPr>
      <w:r>
        <w:rPr>
          <w:noProof/>
        </w:rPr>
        <w:t>Commission Delegated Regulation (EU) 2017/104 of 19 October 2016 amending Delegated Regulation (EU) No 148/2013 supplementing Regulation (EU) No 648/2012 of the European Parliament and of the Council on OTC derivatives, central counterparties and trade repositories with regard to regulatory technical standards on the minimum details of the data to be reported to trade repositories</w:t>
      </w:r>
      <w:r>
        <w:rPr>
          <w:rStyle w:val="FootnoteReference"/>
          <w:noProof/>
        </w:rPr>
        <w:footnoteReference w:id="21"/>
      </w:r>
      <w:r>
        <w:rPr>
          <w:noProof/>
        </w:rPr>
        <w:t>.</w:t>
      </w:r>
    </w:p>
    <w:p>
      <w:pPr>
        <w:pStyle w:val="Point1number"/>
        <w:rPr>
          <w:noProof/>
        </w:rPr>
      </w:pPr>
      <w:r>
        <w:rPr>
          <w:noProof/>
        </w:rPr>
        <w:t>Commission Delegated Regulation (EU) 2017/751 of 16 March 2017 amending Delegated Regulations (EU) 2015/2205, (EU) 2016/592 and (EU) 2016/1178 as regards the deadline for compliance with clearing obligations for certain counterparties dealing with OTC derivatives</w:t>
      </w:r>
      <w:r>
        <w:rPr>
          <w:rStyle w:val="FootnoteReference"/>
          <w:noProof/>
        </w:rPr>
        <w:footnoteReference w:id="22"/>
      </w:r>
      <w:r>
        <w:rPr>
          <w:noProof/>
        </w:rPr>
        <w:t>.</w:t>
      </w:r>
    </w:p>
    <w:p>
      <w:pPr>
        <w:pStyle w:val="Point1number"/>
        <w:rPr>
          <w:noProof/>
        </w:rPr>
      </w:pPr>
      <w:r>
        <w:rPr>
          <w:noProof/>
        </w:rPr>
        <w:t xml:space="preserve">Commission Implementing Regulation (EU) 2017/105 of 26 October 2016 amending Implementing Regulation (EU) No 1247/2012 laying down implementing technical standards with regard to the format and frequency of </w:t>
      </w:r>
      <w:r>
        <w:rPr>
          <w:noProof/>
        </w:rPr>
        <w:lastRenderedPageBreak/>
        <w:t>trade reports to trade repositories according to Regulation (EU) No 648/2012 of the European Parliament and of the Council on OTC derivatives, central counterparties and trade repositories</w:t>
      </w:r>
      <w:r>
        <w:rPr>
          <w:rStyle w:val="FootnoteReference"/>
          <w:noProof/>
        </w:rPr>
        <w:footnoteReference w:id="23"/>
      </w:r>
      <w:r>
        <w:rPr>
          <w:noProof/>
        </w:rPr>
        <w:t>.</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Style w:val="Text1"/>
        <w:rPr>
          <w:noProof/>
        </w:rPr>
      </w:pPr>
      <w:r>
        <w:rPr>
          <w:noProof/>
        </w:rPr>
        <w:t>The annexed draft EEA Joint Committee Decisions extend the already existing EU policy to the EEA EFTA States (Norway, Iceland and Liechtenstein).</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Style w:val="Text1"/>
        <w:rPr>
          <w:noProof/>
        </w:rPr>
      </w:pPr>
      <w:r>
        <w:rPr>
          <w:noProof/>
        </w:rPr>
        <w:t xml:space="preserve">The extension of the EU acquis to the EEA EFTA States, through their incorporation into the EEA Agreement is conducted in conformity with the objectives and principles of that Agreement, aiming at establishing a dynamic and homogeneous European Economic Area, based on common rules and equal conditions of competition.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Style w:val="Text1"/>
        <w:rPr>
          <w:noProof/>
        </w:rPr>
      </w:pPr>
      <w:r>
        <w:rPr>
          <w:noProof/>
        </w:rPr>
        <w:t>The legislation to be incorporated into the EEA Agreement is based on Article 114 of the Treaty on the Functioning of the European Union.</w:t>
      </w:r>
    </w:p>
    <w:p>
      <w:pPr>
        <w:pStyle w:val="Text1"/>
        <w:rPr>
          <w:noProof/>
        </w:rPr>
      </w:pPr>
      <w:r>
        <w:rPr>
          <w:noProof/>
        </w:rPr>
        <w:t>Article 1(3) of Council Regulation (EC) No 2894/94</w:t>
      </w:r>
      <w:r>
        <w:rPr>
          <w:rStyle w:val="FootnoteReference"/>
          <w:noProof/>
        </w:rPr>
        <w:footnoteReference w:id="24"/>
      </w:r>
      <w:r>
        <w:rPr>
          <w:noProof/>
        </w:rPr>
        <w:t xml:space="preserve"> concerning arrangements for implementing the EEA Agreement provides that the Council establishes the position to be adopted on the Union’s behalf on such Decisions, on a proposal from the Commission. </w:t>
      </w:r>
    </w:p>
    <w:p>
      <w:pPr>
        <w:pStyle w:val="Text1"/>
        <w:rPr>
          <w:noProof/>
        </w:rPr>
      </w:pPr>
      <w:r>
        <w:rPr>
          <w:noProof/>
        </w:rPr>
        <w:t>The EEAS with the Commission services submit the draft Decisions of the EEA Joint Committee for adoption by the Council as the Union’s position. The EEAS would hope to be able to present them in the EEA Joint Committee at the earliest possible opportunity.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Style w:val="Text1"/>
        <w:rPr>
          <w:noProof/>
        </w:rPr>
      </w:pPr>
      <w:r>
        <w:rPr>
          <w:noProof/>
        </w:rPr>
        <w:t xml:space="preserve">The proposal complies with the subsidiarity principle for the following reason. </w:t>
      </w:r>
    </w:p>
    <w:p>
      <w:pPr>
        <w:pStyle w:val="Text1"/>
        <w:rPr>
          <w:noProof/>
        </w:rPr>
      </w:pPr>
      <w:r>
        <w:rPr>
          <w:noProof/>
        </w:rPr>
        <w:t xml:space="preserve">The objective of this proposal, namely to ensure the homogeneity of the Internal Market, cannot be sufficiently achieved by the Member States and can therefore, by reason of the effects, be better achieved at Union level. </w:t>
      </w:r>
    </w:p>
    <w:p>
      <w:pPr>
        <w:pStyle w:val="Text1"/>
        <w:rPr>
          <w:noProof/>
        </w:rPr>
      </w:pPr>
      <w:r>
        <w:rPr>
          <w:noProof/>
        </w:rPr>
        <w:t xml:space="preserve">The process of incorporation of the EU acquis into the EEA Agreement is conducted in conformity with the Council Regulation (EC) No 2894/94 of 28 November 1994 concerning arrangements for implementing the Agreement on the European Economic Area which confirms the approach taken.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Style w:val="Text1"/>
        <w:rPr>
          <w:noProof/>
        </w:rPr>
      </w:pPr>
      <w:r>
        <w:rPr>
          <w:noProof/>
        </w:rPr>
        <w:t>In accordance with the principle of proportionality, this proposal does not go beyond what is necessary in order to achieve its objective.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Style w:val="Text1"/>
        <w:rPr>
          <w:noProof/>
        </w:rPr>
      </w:pPr>
      <w:r>
        <w:rPr>
          <w:noProof/>
        </w:rPr>
        <w:t xml:space="preserve">In conformity with Article 98 of the EEA Agreement, the chosen instrument is the EEA Joint Committee decision. The EEA Joint Committee shall ensure the effective </w:t>
      </w:r>
      <w:r>
        <w:rPr>
          <w:noProof/>
        </w:rPr>
        <w:lastRenderedPageBreak/>
        <w:t xml:space="preserve">implementation and operation of the EEA Agreement. To this end, it shall take decisions in the cases provided for in the EEA Agreement. </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Style w:val="Text1"/>
        <w:rPr>
          <w:noProof/>
        </w:rPr>
      </w:pPr>
      <w:r>
        <w:rPr>
          <w:noProof/>
        </w:rPr>
        <w:t xml:space="preserve">Not applicable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Style w:val="Text1"/>
        <w:rPr>
          <w:noProof/>
        </w:rPr>
      </w:pPr>
      <w:r>
        <w:rPr>
          <w:noProof/>
        </w:rPr>
        <w:t xml:space="preserve">Not applicable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Style w:val="Text1"/>
        <w:rPr>
          <w:noProof/>
        </w:rPr>
      </w:pPr>
      <w:r>
        <w:rPr>
          <w:noProof/>
        </w:rPr>
        <w:t xml:space="preserve">Not applicable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Style w:val="Text1"/>
        <w:rPr>
          <w:noProof/>
        </w:rPr>
      </w:pPr>
      <w:r>
        <w:rPr>
          <w:noProof/>
        </w:rPr>
        <w:t xml:space="preserve">Not applicable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Style w:val="Text1"/>
        <w:rPr>
          <w:noProof/>
        </w:rPr>
      </w:pPr>
      <w:r>
        <w:rPr>
          <w:noProof/>
        </w:rPr>
        <w:t xml:space="preserve">Not applicable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Style w:val="Text1"/>
        <w:rPr>
          <w:noProof/>
        </w:rPr>
      </w:pPr>
      <w:r>
        <w:rPr>
          <w:noProof/>
        </w:rPr>
        <w:t xml:space="preserve">Not applicable </w:t>
      </w:r>
    </w:p>
    <w:p>
      <w:pPr>
        <w:pStyle w:val="ManualHeading1"/>
        <w:rPr>
          <w:noProof/>
        </w:rPr>
      </w:pPr>
      <w:r>
        <w:rPr>
          <w:noProof/>
        </w:rPr>
        <w:t>4.</w:t>
      </w:r>
      <w:r>
        <w:rPr>
          <w:noProof/>
        </w:rPr>
        <w:tab/>
        <w:t>BUDGETARY IMPLICATIONS</w:t>
      </w:r>
    </w:p>
    <w:p>
      <w:pPr>
        <w:pStyle w:val="Text1"/>
        <w:rPr>
          <w:noProof/>
        </w:rPr>
      </w:pPr>
      <w:r>
        <w:rPr>
          <w:noProof/>
        </w:rPr>
        <w:t>There are no budgetary implications expected as a result of incorporation of the above mentioned acts into the EEA Agreement.</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Style w:val="Text1"/>
        <w:rPr>
          <w:noProof/>
        </w:rPr>
      </w:pPr>
      <w:r>
        <w:rPr>
          <w:noProof/>
        </w:rPr>
        <w:t xml:space="preserve">Not applicable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pPr>
        <w:pStyle w:val="Text1"/>
        <w:rPr>
          <w:noProof/>
        </w:rPr>
      </w:pPr>
      <w:r>
        <w:rPr>
          <w:noProof/>
        </w:rPr>
        <w:t xml:space="preserve">Not applicable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Style w:val="Text1"/>
        <w:rPr>
          <w:noProof/>
          <w:lang w:val="en-US" w:eastAsia="en-GB"/>
        </w:rPr>
      </w:pPr>
      <w:r>
        <w:rPr>
          <w:noProof/>
          <w:lang w:val="en-US" w:eastAsia="en-GB"/>
        </w:rPr>
        <w:t>Not applicable</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2018/0068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 xml:space="preserve">on the position to be adopted, on behalf of the European Union, within </w:t>
      </w:r>
      <w:r>
        <w:rPr>
          <w:noProof/>
        </w:rPr>
        <w:br/>
        <w:t>the EEA Joint Committee concerning an amendment</w:t>
      </w:r>
      <w:r>
        <w:rPr>
          <w:noProof/>
        </w:rPr>
        <w:br/>
        <w:t>to Annex IX (Financial Services) to the EEA Agreement</w:t>
      </w:r>
      <w:r>
        <w:rPr>
          <w:noProof/>
        </w:rPr>
        <w:br/>
      </w:r>
      <w:r>
        <w:rPr>
          <w:noProof/>
        </w:rPr>
        <w:br/>
        <w:t>(EMIR Level 2 Acts)</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 xml:space="preserve">Having regard to the Treaty on the Functioning of the European Union, and in particular Article 114 </w:t>
      </w:r>
      <w:r>
        <w:rPr>
          <w:noProof/>
          <w:lang w:val="en"/>
        </w:rPr>
        <w:t xml:space="preserve">in conjunction with Article 218(9) </w:t>
      </w:r>
      <w:r>
        <w:rPr>
          <w:noProof/>
        </w:rPr>
        <w:t>thereof,</w:t>
      </w:r>
    </w:p>
    <w:p>
      <w:pPr>
        <w:rPr>
          <w:noProof/>
        </w:rPr>
      </w:pPr>
      <w:r>
        <w:rPr>
          <w:noProof/>
          <w:lang w:val="en"/>
        </w:rPr>
        <w:t>Having regard to Council Regulation (EC) No 2894/94 of 28 November 1994 concerning arrangements for implementing the Agreement on the European Economic Area</w:t>
      </w:r>
      <w:r>
        <w:rPr>
          <w:rStyle w:val="FootnoteReference"/>
          <w:noProof/>
          <w:lang w:val="en"/>
        </w:rPr>
        <w:footnoteReference w:id="25"/>
      </w:r>
      <w:r>
        <w:rPr>
          <w:noProof/>
          <w:lang w:val="en"/>
        </w:rPr>
        <w:t>, and in particular Article 1(3) thereof</w:t>
      </w:r>
      <w:r>
        <w:rPr>
          <w:noProof/>
        </w:rPr>
        <w:t xml:space="preserve"> </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Agreement on the European Economic Area</w:t>
      </w:r>
      <w:r>
        <w:rPr>
          <w:rStyle w:val="FootnoteReference"/>
          <w:noProof/>
        </w:rPr>
        <w:footnoteReference w:id="26"/>
      </w:r>
      <w:r>
        <w:rPr>
          <w:noProof/>
        </w:rPr>
        <w:t xml:space="preserve"> ('the EEA Agreement') entered into force on 1 January 1994.</w:t>
      </w:r>
    </w:p>
    <w:p>
      <w:pPr>
        <w:pStyle w:val="ManualConsidrant"/>
        <w:rPr>
          <w:noProof/>
        </w:rPr>
      </w:pPr>
      <w:r>
        <w:t>(2)</w:t>
      </w:r>
      <w:r>
        <w:tab/>
      </w:r>
      <w:r>
        <w:rPr>
          <w:noProof/>
        </w:rPr>
        <w:t>Pursuant to Article 98 of the EEA Agreement, the EEA Joint Committee may decide to amend, inter alia, amend Annex IX to the EEA Agreement, which contains provisions on financial services.</w:t>
      </w:r>
    </w:p>
    <w:p>
      <w:pPr>
        <w:pStyle w:val="ManualConsidrant"/>
        <w:rPr>
          <w:noProof/>
          <w:szCs w:val="24"/>
        </w:rPr>
      </w:pPr>
      <w:r>
        <w:t>(3)</w:t>
      </w:r>
      <w:r>
        <w:tab/>
      </w:r>
      <w:r>
        <w:rPr>
          <w:noProof/>
        </w:rPr>
        <w:t xml:space="preserve">The following acts concern financial services and are to be incorporated into the EEA Agreement: </w:t>
      </w:r>
    </w:p>
    <w:p>
      <w:pPr>
        <w:pStyle w:val="Tiret1"/>
        <w:numPr>
          <w:ilvl w:val="0"/>
          <w:numId w:val="6"/>
        </w:numPr>
        <w:rPr>
          <w:noProof/>
        </w:rPr>
      </w:pPr>
      <w:r>
        <w:rPr>
          <w:noProof/>
        </w:rPr>
        <w:t>Commission Delegated Regulation (EU) No 148/2013</w:t>
      </w:r>
      <w:r>
        <w:rPr>
          <w:rStyle w:val="FootnoteReference"/>
          <w:noProof/>
        </w:rPr>
        <w:footnoteReference w:id="27"/>
      </w:r>
      <w:r>
        <w:rPr>
          <w:noProof/>
        </w:rPr>
        <w:t>,</w:t>
      </w:r>
    </w:p>
    <w:p>
      <w:pPr>
        <w:pStyle w:val="Tiret1"/>
        <w:rPr>
          <w:noProof/>
        </w:rPr>
      </w:pPr>
      <w:r>
        <w:rPr>
          <w:noProof/>
        </w:rPr>
        <w:t>Commission Delegated Regulation (EU) No 149/2013</w:t>
      </w:r>
      <w:r>
        <w:rPr>
          <w:rStyle w:val="FootnoteReference"/>
          <w:noProof/>
        </w:rPr>
        <w:footnoteReference w:id="28"/>
      </w:r>
      <w:r>
        <w:rPr>
          <w:noProof/>
        </w:rPr>
        <w:t xml:space="preserve">, </w:t>
      </w:r>
    </w:p>
    <w:p>
      <w:pPr>
        <w:pStyle w:val="Tiret1"/>
        <w:rPr>
          <w:noProof/>
        </w:rPr>
      </w:pPr>
      <w:r>
        <w:rPr>
          <w:noProof/>
        </w:rPr>
        <w:t>Commission Delegated Regulation (EU) No 150/2013</w:t>
      </w:r>
      <w:r>
        <w:rPr>
          <w:rStyle w:val="FootnoteReference"/>
          <w:noProof/>
        </w:rPr>
        <w:footnoteReference w:id="29"/>
      </w:r>
      <w:r>
        <w:rPr>
          <w:noProof/>
        </w:rPr>
        <w:t>,</w:t>
      </w:r>
    </w:p>
    <w:p>
      <w:pPr>
        <w:pStyle w:val="Tiret1"/>
        <w:rPr>
          <w:noProof/>
        </w:rPr>
      </w:pPr>
      <w:r>
        <w:rPr>
          <w:noProof/>
        </w:rPr>
        <w:lastRenderedPageBreak/>
        <w:t>Commission Delegated Regulation (EU) No 151/2013</w:t>
      </w:r>
      <w:r>
        <w:rPr>
          <w:rStyle w:val="FootnoteReference"/>
          <w:noProof/>
        </w:rPr>
        <w:footnoteReference w:id="30"/>
      </w:r>
      <w:r>
        <w:rPr>
          <w:noProof/>
        </w:rPr>
        <w:t>,</w:t>
      </w:r>
    </w:p>
    <w:p>
      <w:pPr>
        <w:pStyle w:val="Tiret1"/>
        <w:rPr>
          <w:noProof/>
        </w:rPr>
      </w:pPr>
      <w:r>
        <w:rPr>
          <w:noProof/>
        </w:rPr>
        <w:t>Commission Delegated Regulation (EU) No 152/2013</w:t>
      </w:r>
      <w:r>
        <w:rPr>
          <w:rStyle w:val="FootnoteReference"/>
          <w:noProof/>
        </w:rPr>
        <w:footnoteReference w:id="31"/>
      </w:r>
      <w:r>
        <w:rPr>
          <w:noProof/>
        </w:rPr>
        <w:t>,</w:t>
      </w:r>
    </w:p>
    <w:p>
      <w:pPr>
        <w:pStyle w:val="Tiret1"/>
        <w:rPr>
          <w:noProof/>
        </w:rPr>
      </w:pPr>
      <w:r>
        <w:rPr>
          <w:noProof/>
        </w:rPr>
        <w:t>Commission Delegated Regulation (EU) No 153/2013</w:t>
      </w:r>
      <w:r>
        <w:rPr>
          <w:rStyle w:val="FootnoteReference"/>
          <w:noProof/>
        </w:rPr>
        <w:footnoteReference w:id="32"/>
      </w:r>
      <w:r>
        <w:rPr>
          <w:noProof/>
        </w:rPr>
        <w:t>,</w:t>
      </w:r>
    </w:p>
    <w:p>
      <w:pPr>
        <w:pStyle w:val="Tiret1"/>
        <w:rPr>
          <w:noProof/>
        </w:rPr>
      </w:pPr>
      <w:r>
        <w:rPr>
          <w:noProof/>
        </w:rPr>
        <w:t>Commission Delegated Regulation (EU) No 876/</w:t>
      </w:r>
      <w:r>
        <w:rPr>
          <w:rStyle w:val="FootnoteReference"/>
          <w:noProof/>
        </w:rPr>
        <w:footnoteReference w:id="33"/>
      </w:r>
      <w:r>
        <w:rPr>
          <w:noProof/>
        </w:rPr>
        <w:t xml:space="preserve">, </w:t>
      </w:r>
    </w:p>
    <w:p>
      <w:pPr>
        <w:pStyle w:val="Tiret1"/>
        <w:rPr>
          <w:noProof/>
        </w:rPr>
      </w:pPr>
      <w:r>
        <w:rPr>
          <w:noProof/>
        </w:rPr>
        <w:t>Commission Delegated Regulation (EU) No 1002/2013</w:t>
      </w:r>
      <w:r>
        <w:rPr>
          <w:rStyle w:val="FootnoteReference"/>
          <w:noProof/>
        </w:rPr>
        <w:footnoteReference w:id="34"/>
      </w:r>
      <w:r>
        <w:rPr>
          <w:noProof/>
        </w:rPr>
        <w:t>,</w:t>
      </w:r>
    </w:p>
    <w:p>
      <w:pPr>
        <w:pStyle w:val="Tiret1"/>
        <w:rPr>
          <w:noProof/>
        </w:rPr>
      </w:pPr>
      <w:r>
        <w:rPr>
          <w:noProof/>
        </w:rPr>
        <w:t>Commission Delegated Regulation (EU) No 1003/</w:t>
      </w:r>
      <w:r>
        <w:rPr>
          <w:rStyle w:val="FootnoteReference"/>
          <w:noProof/>
        </w:rPr>
        <w:footnoteReference w:id="35"/>
      </w:r>
      <w:r>
        <w:rPr>
          <w:noProof/>
        </w:rPr>
        <w:t>,</w:t>
      </w:r>
    </w:p>
    <w:p>
      <w:pPr>
        <w:pStyle w:val="Tiret1"/>
        <w:rPr>
          <w:noProof/>
        </w:rPr>
      </w:pPr>
      <w:r>
        <w:rPr>
          <w:noProof/>
        </w:rPr>
        <w:t>Commission Delegated Regulation (EU) No 285/2014</w:t>
      </w:r>
      <w:r>
        <w:rPr>
          <w:rStyle w:val="FootnoteReference"/>
          <w:noProof/>
        </w:rPr>
        <w:footnoteReference w:id="36"/>
      </w:r>
      <w:r>
        <w:rPr>
          <w:noProof/>
        </w:rPr>
        <w:t>,</w:t>
      </w:r>
    </w:p>
    <w:p>
      <w:pPr>
        <w:pStyle w:val="Tiret1"/>
        <w:rPr>
          <w:noProof/>
        </w:rPr>
      </w:pPr>
      <w:r>
        <w:rPr>
          <w:noProof/>
        </w:rPr>
        <w:t>Commission Delegated Regulation (EU) No 667/2014</w:t>
      </w:r>
      <w:r>
        <w:rPr>
          <w:rStyle w:val="FootnoteReference"/>
          <w:noProof/>
        </w:rPr>
        <w:footnoteReference w:id="37"/>
      </w:r>
      <w:r>
        <w:rPr>
          <w:noProof/>
        </w:rPr>
        <w:t>,</w:t>
      </w:r>
    </w:p>
    <w:p>
      <w:pPr>
        <w:pStyle w:val="Tiret1"/>
        <w:rPr>
          <w:noProof/>
        </w:rPr>
      </w:pPr>
      <w:r>
        <w:rPr>
          <w:noProof/>
        </w:rPr>
        <w:t>Commission Implementing Regulation (EU) No 1247/2012</w:t>
      </w:r>
      <w:r>
        <w:rPr>
          <w:rStyle w:val="FootnoteReference"/>
          <w:noProof/>
        </w:rPr>
        <w:footnoteReference w:id="38"/>
      </w:r>
      <w:r>
        <w:rPr>
          <w:noProof/>
        </w:rPr>
        <w:t xml:space="preserve">, </w:t>
      </w:r>
    </w:p>
    <w:p>
      <w:pPr>
        <w:pStyle w:val="Tiret1"/>
        <w:rPr>
          <w:noProof/>
        </w:rPr>
      </w:pPr>
      <w:r>
        <w:rPr>
          <w:noProof/>
        </w:rPr>
        <w:t>Commission Implementing Regulation (EU) No 1248/2012</w:t>
      </w:r>
      <w:r>
        <w:rPr>
          <w:rStyle w:val="FootnoteReference"/>
          <w:noProof/>
        </w:rPr>
        <w:footnoteReference w:id="39"/>
      </w:r>
      <w:r>
        <w:rPr>
          <w:noProof/>
        </w:rPr>
        <w:t>,</w:t>
      </w:r>
    </w:p>
    <w:p>
      <w:pPr>
        <w:pStyle w:val="Tiret1"/>
        <w:rPr>
          <w:noProof/>
        </w:rPr>
      </w:pPr>
      <w:r>
        <w:rPr>
          <w:noProof/>
        </w:rPr>
        <w:t>Commission Implementing Regulation (EU) No 1249/2012</w:t>
      </w:r>
      <w:r>
        <w:rPr>
          <w:rStyle w:val="FootnoteReference"/>
          <w:noProof/>
        </w:rPr>
        <w:footnoteReference w:id="40"/>
      </w:r>
      <w:r>
        <w:rPr>
          <w:noProof/>
        </w:rPr>
        <w:t>,</w:t>
      </w:r>
    </w:p>
    <w:p>
      <w:pPr>
        <w:pStyle w:val="Tiret1"/>
        <w:rPr>
          <w:noProof/>
        </w:rPr>
      </w:pPr>
      <w:r>
        <w:rPr>
          <w:noProof/>
        </w:rPr>
        <w:lastRenderedPageBreak/>
        <w:t>Commission Implementing Regulation (EU) No 484/2014</w:t>
      </w:r>
      <w:r>
        <w:rPr>
          <w:rStyle w:val="FootnoteReference"/>
          <w:noProof/>
        </w:rPr>
        <w:footnoteReference w:id="41"/>
      </w:r>
      <w:r>
        <w:rPr>
          <w:noProof/>
        </w:rPr>
        <w:t>,</w:t>
      </w:r>
    </w:p>
    <w:p>
      <w:pPr>
        <w:pStyle w:val="Tiret1"/>
        <w:rPr>
          <w:noProof/>
        </w:rPr>
      </w:pPr>
      <w:r>
        <w:rPr>
          <w:noProof/>
        </w:rPr>
        <w:t>Commission Delegated Regulation (EU) 2015/1515</w:t>
      </w:r>
      <w:r>
        <w:rPr>
          <w:rStyle w:val="FootnoteReference"/>
          <w:noProof/>
        </w:rPr>
        <w:footnoteReference w:id="42"/>
      </w:r>
      <w:r>
        <w:rPr>
          <w:noProof/>
        </w:rPr>
        <w:t>,</w:t>
      </w:r>
    </w:p>
    <w:p>
      <w:pPr>
        <w:pStyle w:val="Tiret1"/>
        <w:rPr>
          <w:noProof/>
        </w:rPr>
      </w:pPr>
      <w:r>
        <w:rPr>
          <w:noProof/>
        </w:rPr>
        <w:t>Commission Delegated Regulation (EU) 2015/2205</w:t>
      </w:r>
      <w:r>
        <w:rPr>
          <w:rStyle w:val="FootnoteReference"/>
          <w:noProof/>
        </w:rPr>
        <w:footnoteReference w:id="43"/>
      </w:r>
      <w:r>
        <w:rPr>
          <w:noProof/>
        </w:rPr>
        <w:t>,</w:t>
      </w:r>
    </w:p>
    <w:p>
      <w:pPr>
        <w:pStyle w:val="Tiret1"/>
        <w:rPr>
          <w:noProof/>
        </w:rPr>
      </w:pPr>
      <w:r>
        <w:rPr>
          <w:noProof/>
        </w:rPr>
        <w:t>Commission Delegated Regulation (EU) 2016/592</w:t>
      </w:r>
      <w:r>
        <w:rPr>
          <w:rStyle w:val="FootnoteReference"/>
          <w:noProof/>
        </w:rPr>
        <w:footnoteReference w:id="44"/>
      </w:r>
      <w:r>
        <w:rPr>
          <w:noProof/>
        </w:rPr>
        <w:t xml:space="preserve">, </w:t>
      </w:r>
    </w:p>
    <w:p>
      <w:pPr>
        <w:pStyle w:val="Tiret1"/>
        <w:rPr>
          <w:noProof/>
        </w:rPr>
      </w:pPr>
      <w:r>
        <w:rPr>
          <w:noProof/>
        </w:rPr>
        <w:t>Commission Delegated Regulation (EU) 2016/1178</w:t>
      </w:r>
      <w:r>
        <w:rPr>
          <w:rStyle w:val="FootnoteReference"/>
          <w:noProof/>
        </w:rPr>
        <w:footnoteReference w:id="45"/>
      </w:r>
      <w:r>
        <w:rPr>
          <w:noProof/>
        </w:rPr>
        <w:t>,</w:t>
      </w:r>
    </w:p>
    <w:p>
      <w:pPr>
        <w:pStyle w:val="Tiret1"/>
        <w:rPr>
          <w:noProof/>
        </w:rPr>
      </w:pPr>
      <w:r>
        <w:rPr>
          <w:noProof/>
        </w:rPr>
        <w:t>Commission Delegated Regulation (EU) 2017/104</w:t>
      </w:r>
      <w:r>
        <w:rPr>
          <w:rStyle w:val="FootnoteReference"/>
          <w:noProof/>
        </w:rPr>
        <w:footnoteReference w:id="46"/>
      </w:r>
      <w:r>
        <w:rPr>
          <w:noProof/>
        </w:rPr>
        <w:t xml:space="preserve">, </w:t>
      </w:r>
    </w:p>
    <w:p>
      <w:pPr>
        <w:pStyle w:val="Tiret1"/>
        <w:rPr>
          <w:noProof/>
        </w:rPr>
      </w:pPr>
      <w:r>
        <w:rPr>
          <w:noProof/>
        </w:rPr>
        <w:t>Commission Delegated Regulation (EU) 2017/751</w:t>
      </w:r>
      <w:r>
        <w:rPr>
          <w:rStyle w:val="FootnoteReference"/>
          <w:noProof/>
        </w:rPr>
        <w:footnoteReference w:id="47"/>
      </w:r>
      <w:r>
        <w:rPr>
          <w:noProof/>
        </w:rPr>
        <w:t xml:space="preserve">, </w:t>
      </w:r>
    </w:p>
    <w:p>
      <w:pPr>
        <w:pStyle w:val="Tiret1"/>
        <w:rPr>
          <w:noProof/>
        </w:rPr>
      </w:pPr>
      <w:r>
        <w:rPr>
          <w:noProof/>
        </w:rPr>
        <w:t>and Commission Implementing Regulation (EU) 2017/105</w:t>
      </w:r>
      <w:r>
        <w:rPr>
          <w:rStyle w:val="FootnoteReference"/>
          <w:noProof/>
        </w:rPr>
        <w:footnoteReference w:id="48"/>
      </w:r>
      <w:r>
        <w:rPr>
          <w:noProof/>
        </w:rPr>
        <w:t xml:space="preserve">. </w:t>
      </w:r>
    </w:p>
    <w:p>
      <w:pPr>
        <w:pStyle w:val="ManualConsidrant"/>
        <w:rPr>
          <w:noProof/>
        </w:rPr>
      </w:pPr>
      <w:r>
        <w:t>(4)</w:t>
      </w:r>
      <w:r>
        <w:tab/>
      </w:r>
      <w:r>
        <w:rPr>
          <w:noProof/>
        </w:rPr>
        <w:t xml:space="preserve">Annex IX to the EEA Agreement should therefore be amended accordingly. </w:t>
      </w:r>
    </w:p>
    <w:p>
      <w:pPr>
        <w:pStyle w:val="ManualConsidrant"/>
        <w:rPr>
          <w:noProof/>
        </w:rPr>
      </w:pPr>
      <w:r>
        <w:t>(5)</w:t>
      </w:r>
      <w:r>
        <w:tab/>
      </w:r>
      <w:r>
        <w:rPr>
          <w:noProof/>
        </w:rPr>
        <w:t>The position of the Union within the EEA Joint Committee should therefore be based on the attached draft decisions,</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position to be adopted, on behalf of the Union, within the EEA Joint Committee on the proposed amendment to Annex IX (Financial Services) to the EEA Agreement, shall be based on the draft decisions of the EEA Joint Committee attached to this Decision.</w:t>
      </w:r>
    </w:p>
    <w:p>
      <w:pPr>
        <w:pStyle w:val="Titrearticle"/>
        <w:rPr>
          <w:noProof/>
        </w:rPr>
      </w:pPr>
      <w:r>
        <w:rPr>
          <w:noProof/>
        </w:rPr>
        <w:lastRenderedPageBreak/>
        <w:t>Article 2</w:t>
      </w:r>
    </w:p>
    <w:p>
      <w:pPr>
        <w:keepLines/>
        <w:rPr>
          <w:noProof/>
        </w:rPr>
      </w:pPr>
      <w:r>
        <w:rPr>
          <w:noProof/>
        </w:rPr>
        <w:t>This Decision shall enter into force on the date of its adoption.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Regulation (EU) No 648/2012 on OTC derivatives, central counterparties and trade repositories (EMIR).</w:t>
      </w:r>
    </w:p>
  </w:footnote>
  <w:footnote w:id="2">
    <w:p>
      <w:pPr>
        <w:pStyle w:val="FootnoteText"/>
        <w:rPr>
          <w:lang w:val="pl-PL"/>
        </w:rPr>
      </w:pPr>
      <w:r>
        <w:rPr>
          <w:rStyle w:val="FootnoteReference"/>
        </w:rPr>
        <w:footnoteRef/>
      </w:r>
      <w:r>
        <w:rPr>
          <w:lang w:val="pl-PL"/>
        </w:rPr>
        <w:tab/>
        <w:t>OJ L 52, 23.2.2013, p. 1.</w:t>
      </w:r>
    </w:p>
  </w:footnote>
  <w:footnote w:id="3">
    <w:p>
      <w:pPr>
        <w:pStyle w:val="FootnoteText"/>
        <w:rPr>
          <w:lang w:val="pl-PL"/>
        </w:rPr>
      </w:pPr>
      <w:r>
        <w:rPr>
          <w:rStyle w:val="FootnoteReference"/>
        </w:rPr>
        <w:footnoteRef/>
      </w:r>
      <w:r>
        <w:rPr>
          <w:lang w:val="pl-PL"/>
        </w:rPr>
        <w:tab/>
        <w:t>OJ L 52, 23.2.2013, p. 11.</w:t>
      </w:r>
    </w:p>
  </w:footnote>
  <w:footnote w:id="4">
    <w:p>
      <w:pPr>
        <w:pStyle w:val="FootnoteText"/>
        <w:rPr>
          <w:lang w:val="pl-PL"/>
        </w:rPr>
      </w:pPr>
      <w:r>
        <w:rPr>
          <w:rStyle w:val="FootnoteReference"/>
        </w:rPr>
        <w:footnoteRef/>
      </w:r>
      <w:r>
        <w:rPr>
          <w:lang w:val="pl-PL"/>
        </w:rPr>
        <w:tab/>
        <w:t>OJ L 52, 23.2.2013, p. 25.</w:t>
      </w:r>
    </w:p>
  </w:footnote>
  <w:footnote w:id="5">
    <w:p>
      <w:pPr>
        <w:pStyle w:val="FootnoteText"/>
        <w:rPr>
          <w:lang w:val="pl-PL"/>
        </w:rPr>
      </w:pPr>
      <w:r>
        <w:rPr>
          <w:rStyle w:val="FootnoteReference"/>
        </w:rPr>
        <w:footnoteRef/>
      </w:r>
      <w:r>
        <w:rPr>
          <w:lang w:val="pl-PL"/>
        </w:rPr>
        <w:tab/>
        <w:t>OJ L 52, 23.2.2013, p. 33.</w:t>
      </w:r>
    </w:p>
  </w:footnote>
  <w:footnote w:id="6">
    <w:p>
      <w:pPr>
        <w:pStyle w:val="FootnoteText"/>
        <w:rPr>
          <w:lang w:val="pl-PL"/>
        </w:rPr>
      </w:pPr>
      <w:r>
        <w:rPr>
          <w:rStyle w:val="FootnoteReference"/>
        </w:rPr>
        <w:footnoteRef/>
      </w:r>
      <w:r>
        <w:rPr>
          <w:lang w:val="pl-PL"/>
        </w:rPr>
        <w:tab/>
        <w:t>OJ L 52, 23.2.2013, p. 37.</w:t>
      </w:r>
    </w:p>
  </w:footnote>
  <w:footnote w:id="7">
    <w:p>
      <w:pPr>
        <w:pStyle w:val="FootnoteText"/>
        <w:rPr>
          <w:lang w:val="pl-PL"/>
        </w:rPr>
      </w:pPr>
      <w:r>
        <w:rPr>
          <w:rStyle w:val="FootnoteReference"/>
        </w:rPr>
        <w:footnoteRef/>
      </w:r>
      <w:r>
        <w:rPr>
          <w:lang w:val="pl-PL"/>
        </w:rPr>
        <w:tab/>
        <w:t>OJ L 52, 23.2.2013, p. 41.</w:t>
      </w:r>
    </w:p>
  </w:footnote>
  <w:footnote w:id="8">
    <w:p>
      <w:pPr>
        <w:pStyle w:val="FootnoteText"/>
        <w:rPr>
          <w:lang w:val="pl-PL"/>
        </w:rPr>
      </w:pPr>
      <w:r>
        <w:rPr>
          <w:rStyle w:val="FootnoteReference"/>
        </w:rPr>
        <w:footnoteRef/>
      </w:r>
      <w:r>
        <w:rPr>
          <w:lang w:val="pl-PL"/>
        </w:rPr>
        <w:tab/>
        <w:t>OJ L 244, 13.9.2013, p. 19.</w:t>
      </w:r>
    </w:p>
  </w:footnote>
  <w:footnote w:id="9">
    <w:p>
      <w:pPr>
        <w:pStyle w:val="FootnoteText"/>
        <w:rPr>
          <w:lang w:val="pl-PL"/>
        </w:rPr>
      </w:pPr>
      <w:r>
        <w:rPr>
          <w:rStyle w:val="FootnoteReference"/>
        </w:rPr>
        <w:footnoteRef/>
      </w:r>
      <w:r>
        <w:rPr>
          <w:lang w:val="pl-PL"/>
        </w:rPr>
        <w:tab/>
        <w:t>OJ L 279, 19.10.2013, p. 2.</w:t>
      </w:r>
    </w:p>
  </w:footnote>
  <w:footnote w:id="10">
    <w:p>
      <w:pPr>
        <w:pStyle w:val="FootnoteText"/>
        <w:rPr>
          <w:lang w:val="pl-PL"/>
        </w:rPr>
      </w:pPr>
      <w:r>
        <w:rPr>
          <w:rStyle w:val="FootnoteReference"/>
        </w:rPr>
        <w:footnoteRef/>
      </w:r>
      <w:r>
        <w:rPr>
          <w:lang w:val="pl-PL"/>
        </w:rPr>
        <w:tab/>
        <w:t>OJ L 279, 19.10.2013, p. 4.</w:t>
      </w:r>
    </w:p>
  </w:footnote>
  <w:footnote w:id="11">
    <w:p>
      <w:pPr>
        <w:pStyle w:val="FootnoteText"/>
        <w:rPr>
          <w:lang w:val="pl-PL"/>
        </w:rPr>
      </w:pPr>
      <w:r>
        <w:rPr>
          <w:rStyle w:val="FootnoteReference"/>
        </w:rPr>
        <w:footnoteRef/>
      </w:r>
      <w:r>
        <w:rPr>
          <w:lang w:val="pl-PL"/>
        </w:rPr>
        <w:tab/>
        <w:t>OJ L 85, 21.3.2014, p. 1.</w:t>
      </w:r>
    </w:p>
  </w:footnote>
  <w:footnote w:id="12">
    <w:p>
      <w:pPr>
        <w:pStyle w:val="FootnoteText"/>
        <w:rPr>
          <w:lang w:val="pl-PL"/>
        </w:rPr>
      </w:pPr>
      <w:r>
        <w:rPr>
          <w:rStyle w:val="FootnoteReference"/>
        </w:rPr>
        <w:footnoteRef/>
      </w:r>
      <w:r>
        <w:rPr>
          <w:lang w:val="pl-PL"/>
        </w:rPr>
        <w:tab/>
        <w:t>OJ L 179, 19.6.2014, p. 31.</w:t>
      </w:r>
    </w:p>
  </w:footnote>
  <w:footnote w:id="13">
    <w:p>
      <w:pPr>
        <w:pStyle w:val="FootnoteText"/>
        <w:rPr>
          <w:lang w:val="pl-PL"/>
        </w:rPr>
      </w:pPr>
      <w:r>
        <w:rPr>
          <w:rStyle w:val="FootnoteReference"/>
        </w:rPr>
        <w:footnoteRef/>
      </w:r>
      <w:r>
        <w:rPr>
          <w:lang w:val="pl-PL"/>
        </w:rPr>
        <w:tab/>
        <w:t>OJ L 352, 21.12.2012, p. 20.</w:t>
      </w:r>
    </w:p>
  </w:footnote>
  <w:footnote w:id="14">
    <w:p>
      <w:pPr>
        <w:pStyle w:val="FootnoteText"/>
        <w:rPr>
          <w:lang w:val="pl-PL"/>
        </w:rPr>
      </w:pPr>
      <w:r>
        <w:rPr>
          <w:rStyle w:val="FootnoteReference"/>
        </w:rPr>
        <w:footnoteRef/>
      </w:r>
      <w:r>
        <w:rPr>
          <w:lang w:val="pl-PL"/>
        </w:rPr>
        <w:tab/>
        <w:t>OJ L 352, 21.12.2012, p. 30.</w:t>
      </w:r>
    </w:p>
  </w:footnote>
  <w:footnote w:id="15">
    <w:p>
      <w:pPr>
        <w:pStyle w:val="FootnoteText"/>
        <w:rPr>
          <w:lang w:val="pl-PL"/>
        </w:rPr>
      </w:pPr>
      <w:r>
        <w:rPr>
          <w:rStyle w:val="FootnoteReference"/>
        </w:rPr>
        <w:footnoteRef/>
      </w:r>
      <w:r>
        <w:rPr>
          <w:lang w:val="pl-PL"/>
        </w:rPr>
        <w:tab/>
        <w:t>OJ L 352, 21.12.2012, p. 32.</w:t>
      </w:r>
    </w:p>
  </w:footnote>
  <w:footnote w:id="16">
    <w:p>
      <w:pPr>
        <w:pStyle w:val="FootnoteText"/>
        <w:rPr>
          <w:lang w:val="pl-PL"/>
        </w:rPr>
      </w:pPr>
      <w:r>
        <w:rPr>
          <w:rStyle w:val="FootnoteReference"/>
        </w:rPr>
        <w:footnoteRef/>
      </w:r>
      <w:r>
        <w:rPr>
          <w:lang w:val="pl-PL"/>
        </w:rPr>
        <w:tab/>
        <w:t>OJ L 138, 13.5.2014, p. 57.</w:t>
      </w:r>
    </w:p>
  </w:footnote>
  <w:footnote w:id="17">
    <w:p>
      <w:pPr>
        <w:pStyle w:val="FootnoteText"/>
        <w:rPr>
          <w:lang w:val="pl-PL"/>
        </w:rPr>
      </w:pPr>
      <w:r>
        <w:rPr>
          <w:rStyle w:val="FootnoteReference"/>
        </w:rPr>
        <w:footnoteRef/>
      </w:r>
      <w:r>
        <w:rPr>
          <w:lang w:val="pl-PL"/>
        </w:rPr>
        <w:tab/>
        <w:t>OJ L 239, 15.9.2015, p. 63.</w:t>
      </w:r>
    </w:p>
  </w:footnote>
  <w:footnote w:id="18">
    <w:p>
      <w:pPr>
        <w:pStyle w:val="FootnoteText"/>
        <w:rPr>
          <w:lang w:val="pl-PL"/>
        </w:rPr>
      </w:pPr>
      <w:r>
        <w:rPr>
          <w:rStyle w:val="FootnoteReference"/>
        </w:rPr>
        <w:footnoteRef/>
      </w:r>
      <w:r>
        <w:rPr>
          <w:lang w:val="pl-PL"/>
        </w:rPr>
        <w:tab/>
        <w:t>OJ L 314, 1.12.2015, p. 13.</w:t>
      </w:r>
    </w:p>
  </w:footnote>
  <w:footnote w:id="19">
    <w:p>
      <w:pPr>
        <w:pStyle w:val="FootnoteText"/>
        <w:rPr>
          <w:lang w:val="pl-PL"/>
        </w:rPr>
      </w:pPr>
      <w:r>
        <w:rPr>
          <w:rStyle w:val="FootnoteReference"/>
        </w:rPr>
        <w:footnoteRef/>
      </w:r>
      <w:r>
        <w:rPr>
          <w:lang w:val="pl-PL"/>
        </w:rPr>
        <w:tab/>
        <w:t>OJ L 103, 19.4.2016, p. 5.</w:t>
      </w:r>
    </w:p>
  </w:footnote>
  <w:footnote w:id="20">
    <w:p>
      <w:pPr>
        <w:pStyle w:val="FootnoteText"/>
        <w:rPr>
          <w:lang w:val="pl-PL"/>
        </w:rPr>
      </w:pPr>
      <w:r>
        <w:rPr>
          <w:rStyle w:val="FootnoteReference"/>
        </w:rPr>
        <w:footnoteRef/>
      </w:r>
      <w:r>
        <w:rPr>
          <w:lang w:val="pl-PL"/>
        </w:rPr>
        <w:tab/>
        <w:t>OJ L 195, 20.7.2016, p. 3.</w:t>
      </w:r>
    </w:p>
  </w:footnote>
  <w:footnote w:id="21">
    <w:p>
      <w:pPr>
        <w:pStyle w:val="FootnoteText"/>
        <w:rPr>
          <w:lang w:val="pl-PL"/>
        </w:rPr>
      </w:pPr>
      <w:r>
        <w:rPr>
          <w:rStyle w:val="FootnoteReference"/>
        </w:rPr>
        <w:footnoteRef/>
      </w:r>
      <w:r>
        <w:rPr>
          <w:lang w:val="pl-PL"/>
        </w:rPr>
        <w:tab/>
        <w:t>OJ L 17, 21.1.2017, p. 1.</w:t>
      </w:r>
    </w:p>
  </w:footnote>
  <w:footnote w:id="22">
    <w:p>
      <w:pPr>
        <w:pStyle w:val="FootnoteText"/>
        <w:rPr>
          <w:lang w:val="pl-PL"/>
        </w:rPr>
      </w:pPr>
      <w:r>
        <w:rPr>
          <w:rStyle w:val="FootnoteReference"/>
        </w:rPr>
        <w:footnoteRef/>
      </w:r>
      <w:r>
        <w:rPr>
          <w:lang w:val="pl-PL"/>
        </w:rPr>
        <w:tab/>
        <w:t>OJ L 113, 29.4.2017, p. 15.</w:t>
      </w:r>
    </w:p>
  </w:footnote>
  <w:footnote w:id="23">
    <w:p>
      <w:pPr>
        <w:pStyle w:val="FootnoteText"/>
        <w:rPr>
          <w:lang w:val="pl-PL"/>
        </w:rPr>
      </w:pPr>
      <w:r>
        <w:rPr>
          <w:rStyle w:val="FootnoteReference"/>
        </w:rPr>
        <w:footnoteRef/>
      </w:r>
      <w:r>
        <w:rPr>
          <w:lang w:val="pl-PL"/>
        </w:rPr>
        <w:tab/>
        <w:t>OJ L 17, 21.1.2017, p. 17.</w:t>
      </w:r>
    </w:p>
  </w:footnote>
  <w:footnote w:id="24">
    <w:p>
      <w:pPr>
        <w:pStyle w:val="FootnoteText"/>
        <w:rPr>
          <w:iCs/>
          <w:lang w:val="pl-PL"/>
        </w:rPr>
      </w:pPr>
      <w:r>
        <w:rPr>
          <w:rStyle w:val="FootnoteReference"/>
        </w:rPr>
        <w:footnoteRef/>
      </w:r>
      <w:r>
        <w:rPr>
          <w:iCs/>
          <w:lang w:val="pl-PL"/>
        </w:rPr>
        <w:tab/>
        <w:t>OJ L 305, 30.11.1994, p. 6–8</w:t>
      </w:r>
    </w:p>
  </w:footnote>
  <w:footnote w:id="25">
    <w:p>
      <w:pPr>
        <w:pStyle w:val="FootnoteText"/>
        <w:rPr>
          <w:lang w:val="pl-PL"/>
        </w:rPr>
      </w:pPr>
      <w:r>
        <w:rPr>
          <w:rStyle w:val="FootnoteReference"/>
        </w:rPr>
        <w:footnoteRef/>
      </w:r>
      <w:r>
        <w:rPr>
          <w:lang w:val="pl-PL"/>
        </w:rPr>
        <w:tab/>
        <w:t>OJ L 305, 30.11.1994, p. 6.</w:t>
      </w:r>
    </w:p>
  </w:footnote>
  <w:footnote w:id="26">
    <w:p>
      <w:pPr>
        <w:pStyle w:val="FootnoteText"/>
      </w:pPr>
      <w:r>
        <w:rPr>
          <w:rStyle w:val="FootnoteReference"/>
        </w:rPr>
        <w:footnoteRef/>
      </w:r>
      <w:r>
        <w:tab/>
        <w:t xml:space="preserve">OJ L 1, 3.1.1994, p. 3. </w:t>
      </w:r>
    </w:p>
  </w:footnote>
  <w:footnote w:id="27">
    <w:p>
      <w:pPr>
        <w:pStyle w:val="FootnoteText"/>
      </w:pPr>
      <w:r>
        <w:rPr>
          <w:rStyle w:val="FootnoteReference"/>
        </w:rPr>
        <w:footnoteRef/>
      </w:r>
      <w:r>
        <w:tab/>
        <w:t>Commission Delegated Regulation (EU) No 148/2013 of 19 December 2012 supplementing Regulation (EU) No 648/2012 of the European Parliament and of the Council on OTC derivatives, central counterparties and trade repositories with regard to regulatory technical standards on the minimum details of the data to be reported to trade repositories, (OJ L 52, 23.2.2013, p. 1).</w:t>
      </w:r>
    </w:p>
  </w:footnote>
  <w:footnote w:id="28">
    <w:p>
      <w:pPr>
        <w:pStyle w:val="FootnoteText"/>
      </w:pPr>
      <w:r>
        <w:rPr>
          <w:rStyle w:val="FootnoteReference"/>
        </w:rPr>
        <w:footnoteRef/>
      </w:r>
      <w:r>
        <w:tab/>
        <w:t>Commission Delegated Regulation (EU) No 149/2013 of 19 December 2012 supplementing Regulation (EU) No 648/2012 of the European Parliament and of the Council with regard to regulatory technical standards on indirect clearing arrangements, the clearing obligation, the public register, access to a trading venue, non-financial counterparties, and risk mitigation techniques for OTC derivatives contracts not cleared by a CCP (OJ L 52, 23.2.2013, p. 11).</w:t>
      </w:r>
    </w:p>
  </w:footnote>
  <w:footnote w:id="29">
    <w:p>
      <w:pPr>
        <w:pStyle w:val="FootnoteText"/>
      </w:pPr>
      <w:r>
        <w:rPr>
          <w:rStyle w:val="FootnoteReference"/>
        </w:rPr>
        <w:footnoteRef/>
      </w:r>
      <w:r>
        <w:tab/>
        <w:t>Commission Delegated Regulation (EU) No 150/2013 of 19 December 2012 supplementing Regulation (EU) No 648/2012 of the European Parliament and of the Council on OTC derivatives, central counterparties and trade repositories with regard to regulatory technical standards specifying the details of the application for registration as a trade repository (OJ L 52, 23.2.2013, p. 25).</w:t>
      </w:r>
    </w:p>
  </w:footnote>
  <w:footnote w:id="30">
    <w:p>
      <w:pPr>
        <w:pStyle w:val="FootnoteText"/>
      </w:pPr>
      <w:r>
        <w:rPr>
          <w:rStyle w:val="FootnoteReference"/>
        </w:rPr>
        <w:footnoteRef/>
      </w:r>
      <w:r>
        <w:tab/>
        <w:t>Commission Delegated Regulation (EU) No 151/2013 of 19 December 2012 supplementing Regulation (EU) No 648/2012 of the European Parliament and of the Council on OTC derivatives, central counterparties and trade repositories with regard to regulatory technical standards specifying the data to be published and made available by trade repositories and operational standards for aggregating, comparing and accessing the data (OJ L 52, 23.2.2013, p. 33).</w:t>
      </w:r>
    </w:p>
  </w:footnote>
  <w:footnote w:id="31">
    <w:p>
      <w:pPr>
        <w:pStyle w:val="FootnoteText"/>
      </w:pPr>
      <w:r>
        <w:rPr>
          <w:rStyle w:val="FootnoteReference"/>
        </w:rPr>
        <w:footnoteRef/>
      </w:r>
      <w:r>
        <w:tab/>
        <w:t>Commission Delegated Regulation (EU) No 152/2013 of 19 December 2012 supplementing Regulation (EU) No 648/2012 of the European Parliament and of the Council with regard to regulatory technical standards on capital requirements for central counterparties (OJ L 52, 23.2.2013, p. 37).</w:t>
      </w:r>
    </w:p>
  </w:footnote>
  <w:footnote w:id="32">
    <w:p>
      <w:pPr>
        <w:pStyle w:val="FootnoteText"/>
      </w:pPr>
      <w:r>
        <w:rPr>
          <w:rStyle w:val="FootnoteReference"/>
        </w:rPr>
        <w:footnoteRef/>
      </w:r>
      <w:r>
        <w:tab/>
        <w:t>Commission Delegated Regulation (EU) No 153/2013 of 19 December 2012 supplementing Regulation (EU) No 648/2012 of the European Parliament and of the Council with regard to regulatory technical standards on requirements for central counterparties (OJ L 52, 23.2.2013, p. 41).</w:t>
      </w:r>
    </w:p>
  </w:footnote>
  <w:footnote w:id="33">
    <w:p>
      <w:pPr>
        <w:pStyle w:val="FootnoteText"/>
      </w:pPr>
      <w:r>
        <w:rPr>
          <w:rStyle w:val="FootnoteReference"/>
        </w:rPr>
        <w:footnoteRef/>
      </w:r>
      <w:r>
        <w:tab/>
        <w:t>Commission Delegated Regulation (EU) No 876/2013 of 28 May 2013 supplementing Regulation (EU) No 648/2012 of the European Parliament and of the Council with regard to regulatory technical standards on colleges for central counterparties (OJ L 244, 13.9.2013, p. 19).</w:t>
      </w:r>
    </w:p>
  </w:footnote>
  <w:footnote w:id="34">
    <w:p>
      <w:pPr>
        <w:pStyle w:val="FootnoteText"/>
      </w:pPr>
      <w:r>
        <w:rPr>
          <w:rStyle w:val="FootnoteReference"/>
        </w:rPr>
        <w:footnoteRef/>
      </w:r>
      <w:r>
        <w:tab/>
        <w:t>Commission Delegated Regulation (EU) No 1002/2013 of 12 July 2013 amending Regulation (EU) No 648/2012 of the European Parliament and of the Council on OTC derivatives, central counterparties and trade repositories with regard to the list of exempted entities (OJ L 279, 19.10.2013, p. 2).</w:t>
      </w:r>
    </w:p>
  </w:footnote>
  <w:footnote w:id="35">
    <w:p>
      <w:pPr>
        <w:pStyle w:val="FootnoteText"/>
      </w:pPr>
      <w:r>
        <w:rPr>
          <w:rStyle w:val="FootnoteReference"/>
        </w:rPr>
        <w:footnoteRef/>
      </w:r>
      <w:r>
        <w:tab/>
        <w:t>Commission Delegated Regulation (EU) No 1003/2013 of 12 July 2013 supplementing Regulation (EU) No 648/2012 of the European Parliament and of the Council with regard to fees charged by the European Securities and Markets Authority to trade repositories (OJ L 279, 19.10.2013, p. 4).</w:t>
      </w:r>
    </w:p>
  </w:footnote>
  <w:footnote w:id="36">
    <w:p>
      <w:pPr>
        <w:pStyle w:val="FootnoteText"/>
      </w:pPr>
      <w:r>
        <w:rPr>
          <w:rStyle w:val="FootnoteReference"/>
        </w:rPr>
        <w:footnoteRef/>
      </w:r>
      <w:r>
        <w:tab/>
        <w:t>Commission Delegated Regulation (EU) No 285/2014 of 13 February 2014 supplementing Regulation (EU) No 648/2012 of the European Parliament and of the Council with regard to regulatory technical standards on direct, substantial and foreseeable effect of contracts within the Union and to prevent the evasion of rules and obligations (OJ L 85, 21.3.2014, p. 1).</w:t>
      </w:r>
    </w:p>
  </w:footnote>
  <w:footnote w:id="37">
    <w:p>
      <w:pPr>
        <w:pStyle w:val="FootnoteText"/>
      </w:pPr>
      <w:r>
        <w:rPr>
          <w:rStyle w:val="FootnoteReference"/>
        </w:rPr>
        <w:footnoteRef/>
      </w:r>
      <w:r>
        <w:tab/>
        <w:t>Commission Delegated Regulation (EU) No 667/2014 of 13 March 2014 supplementing Regulation (EU) No 648/2012 of the European Parliament and of the Council with regard to rules of procedure for penalties imposed on trade repositories by the European Securities and Markets Authority including rules on the right of defence and temporal provisions (OJ L 179, 19.6.2014, p. 31).</w:t>
      </w:r>
    </w:p>
  </w:footnote>
  <w:footnote w:id="38">
    <w:p>
      <w:pPr>
        <w:pStyle w:val="FootnoteText"/>
      </w:pPr>
      <w:r>
        <w:rPr>
          <w:rStyle w:val="FootnoteReference"/>
        </w:rPr>
        <w:footnoteRef/>
      </w:r>
      <w:r>
        <w:tab/>
        <w:t>Commission Implementing Regulation (EU) No 1247/2012 of 19 December 2012 laying down implementing technical standards with regard to the format and frequency of trade reports to trade repositories according to Regulation (EU) No 648/2012 of the European Parliament and of the Council on OTC derivatives, central counterparties and trade repositories (OJ L 352, 21.12.2012, p. 20).</w:t>
      </w:r>
    </w:p>
  </w:footnote>
  <w:footnote w:id="39">
    <w:p>
      <w:pPr>
        <w:pStyle w:val="FootnoteText"/>
      </w:pPr>
      <w:r>
        <w:rPr>
          <w:rStyle w:val="FootnoteReference"/>
        </w:rPr>
        <w:footnoteRef/>
      </w:r>
      <w:r>
        <w:tab/>
        <w:t>Commission Implementing Regulation (EU) No 1248/2012 of 19 December 2012 laying down implementing technical standards with regard to the format of applications for the registration of trade repositories according to Regulation (EU) No 648/2012 of the European Parliament and of the Council on OTC derivatives, central counterparties and trade repositories (OJ L 352, 21.12.2012, p. 30).</w:t>
      </w:r>
    </w:p>
  </w:footnote>
  <w:footnote w:id="40">
    <w:p>
      <w:pPr>
        <w:pStyle w:val="FootnoteText"/>
      </w:pPr>
      <w:r>
        <w:rPr>
          <w:rStyle w:val="FootnoteReference"/>
        </w:rPr>
        <w:footnoteRef/>
      </w:r>
      <w:r>
        <w:tab/>
        <w:t>Commission Implementing Regulation (EU) No 1249/2012 of 19 December 2012 laying down implementing technical standards with regard to the format of the records to be maintained by central counterparties according to Regulation (EU) No 648/2012 of the European Parliament and of the Council on OTC derivatives, central counterparties and trade repositories (OJ L 352, 21.12.2012, p. 32.</w:t>
      </w:r>
    </w:p>
  </w:footnote>
  <w:footnote w:id="41">
    <w:p>
      <w:pPr>
        <w:pStyle w:val="FootnoteText"/>
      </w:pPr>
      <w:r>
        <w:rPr>
          <w:rStyle w:val="FootnoteReference"/>
        </w:rPr>
        <w:footnoteRef/>
      </w:r>
      <w:r>
        <w:tab/>
        <w:t>Commission Implementing Regulation (EU) No 484/2014 of 12 May 2014 laying down implementing technical standards with regard to the hypothetical capital of a central counterparty according to Regulation (EU) No 648/2012 of the European Parliament and of the Council (OJ L 138, 13.5.2014, p 57).</w:t>
      </w:r>
    </w:p>
  </w:footnote>
  <w:footnote w:id="42">
    <w:p>
      <w:pPr>
        <w:pStyle w:val="FootnoteText"/>
      </w:pPr>
      <w:r>
        <w:rPr>
          <w:rStyle w:val="FootnoteReference"/>
        </w:rPr>
        <w:footnoteRef/>
      </w:r>
      <w:r>
        <w:tab/>
        <w:t>Commission Delegated Regulation (EU) 2015/1515 of 5 June 2015 amending Regulation (EU) No 648/2012 of the European Parliament and of the Council as regards the extension of the transitional periods related to pension scheme arrangements (OJ L 239, 15.9.2015, p. 63).</w:t>
      </w:r>
    </w:p>
  </w:footnote>
  <w:footnote w:id="43">
    <w:p>
      <w:pPr>
        <w:pStyle w:val="FootnoteText"/>
      </w:pPr>
      <w:r>
        <w:rPr>
          <w:rStyle w:val="FootnoteReference"/>
        </w:rPr>
        <w:footnoteRef/>
      </w:r>
      <w:r>
        <w:tab/>
        <w:t>Commission Delegated Regulation (EU) 2015/2205 of 6 August 2015 supplementing Regulation (EU) No 648/2012 of the European Parliament and of the Council with regard to regulatory technical standards on the clearing obligation (OJ L 314, 1.12.2015, p. 13).</w:t>
      </w:r>
    </w:p>
  </w:footnote>
  <w:footnote w:id="44">
    <w:p>
      <w:pPr>
        <w:pStyle w:val="FootnoteText"/>
      </w:pPr>
      <w:r>
        <w:rPr>
          <w:rStyle w:val="FootnoteReference"/>
        </w:rPr>
        <w:footnoteRef/>
      </w:r>
      <w:r>
        <w:tab/>
        <w:t>Commission Delegated Regulation (EU) 2016/592 of 1 March 2016 supplementing Regulation (EU) No 648/2012 of the European Parliament and of the Council with regard to regulatory technical standards on the clearing obligation (OJ L 103, 19.4.2016, p. 5).</w:t>
      </w:r>
    </w:p>
  </w:footnote>
  <w:footnote w:id="45">
    <w:p>
      <w:pPr>
        <w:pStyle w:val="FootnoteText"/>
      </w:pPr>
      <w:r>
        <w:rPr>
          <w:rStyle w:val="FootnoteReference"/>
        </w:rPr>
        <w:footnoteRef/>
      </w:r>
      <w:r>
        <w:tab/>
        <w:t>Commission Delegated Regulation (EU) 2016/1178 of 10 June 2016 supplementing Regulation (EU) No 648/2012 of the European Parliament and of the Council with regard to regulatory technical standards on the clearing obligation (OJ L 195, 20.7.2016, p. 3).</w:t>
      </w:r>
    </w:p>
  </w:footnote>
  <w:footnote w:id="46">
    <w:p>
      <w:pPr>
        <w:pStyle w:val="FootnoteText"/>
      </w:pPr>
      <w:r>
        <w:rPr>
          <w:rStyle w:val="FootnoteReference"/>
        </w:rPr>
        <w:footnoteRef/>
      </w:r>
      <w:r>
        <w:tab/>
        <w:t>Commission Delegated Regulation (EU) 2017/104 of 19 October 2016 amending Delegated Regulation (EU) No 148/2013 supplementing Regulation (EU) No 648/2012 of the European Parliament and of the Council on OTC derivatives, central counterparties and trade repositories with regard to regulatory technical standards on the minimum details of the data to be reported to trade repositories (OJ L 17, 21.1.2017, p. 1).</w:t>
      </w:r>
    </w:p>
  </w:footnote>
  <w:footnote w:id="47">
    <w:p>
      <w:pPr>
        <w:pStyle w:val="FootnoteText"/>
      </w:pPr>
      <w:r>
        <w:rPr>
          <w:rStyle w:val="FootnoteReference"/>
        </w:rPr>
        <w:footnoteRef/>
      </w:r>
      <w:r>
        <w:tab/>
        <w:t>Commission Delegated Regulation (EU) 2017/751 of 16 March 2017 amending Delegated Regulations (EU) 2015/2205, (EU) 2016/592 and (EU) 2016/1178 as regards the deadline for compliance with clearing obligations for certain counterparties dealing with OTC derivatives (OJ L 113, 29.4.2017, p. 15).</w:t>
      </w:r>
    </w:p>
  </w:footnote>
  <w:footnote w:id="48">
    <w:p>
      <w:pPr>
        <w:pStyle w:val="FootnoteText"/>
      </w:pPr>
      <w:r>
        <w:rPr>
          <w:rStyle w:val="FootnoteReference"/>
        </w:rPr>
        <w:footnoteRef/>
      </w:r>
      <w:r>
        <w:tab/>
        <w:t>Commission Implementing Regulation (EU) 2017/105 of 26 October 2016 amending Implementing Regulation (EU) No 1247/2012 laying down implementing technical standards with regard to the format and frequency of trade reports to trade repositories according to Regulation (EU) No 648/2012 of the European Parliament and of the Council on OTC derivatives, central counterparties and trade repositories (OJ L 17, 21.1.2017, p. 17 as corrected by OJ L 19, 25.1.2017, p. 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1A849F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F3EA276"/>
    <w:lvl w:ilvl="0">
      <w:start w:val="1"/>
      <w:numFmt w:val="decimal"/>
      <w:pStyle w:val="ListNumber3"/>
      <w:lvlText w:val="%1."/>
      <w:lvlJc w:val="left"/>
      <w:pPr>
        <w:tabs>
          <w:tab w:val="num" w:pos="926"/>
        </w:tabs>
        <w:ind w:left="926" w:hanging="360"/>
      </w:pPr>
    </w:lvl>
  </w:abstractNum>
  <w:abstractNum w:abstractNumId="2">
    <w:nsid w:val="FFFFFF7F"/>
    <w:multiLevelType w:val="singleLevel"/>
    <w:tmpl w:val="A656D114"/>
    <w:lvl w:ilvl="0">
      <w:start w:val="1"/>
      <w:numFmt w:val="decimal"/>
      <w:pStyle w:val="ListNumber2"/>
      <w:lvlText w:val="%1."/>
      <w:lvlJc w:val="left"/>
      <w:pPr>
        <w:tabs>
          <w:tab w:val="num" w:pos="643"/>
        </w:tabs>
        <w:ind w:left="643" w:hanging="360"/>
      </w:pPr>
    </w:lvl>
  </w:abstractNum>
  <w:abstractNum w:abstractNumId="3">
    <w:nsid w:val="FFFFFF81"/>
    <w:multiLevelType w:val="singleLevel"/>
    <w:tmpl w:val="7986A204"/>
    <w:lvl w:ilvl="0">
      <w:start w:val="1"/>
      <w:numFmt w:val="bullet"/>
      <w:pStyle w:val="ListBullet4"/>
      <w:lvlText w:val=""/>
      <w:lvlJc w:val="left"/>
      <w:pPr>
        <w:tabs>
          <w:tab w:val="num" w:pos="1929"/>
        </w:tabs>
        <w:ind w:left="1929" w:hanging="360"/>
      </w:pPr>
      <w:rPr>
        <w:rFonts w:ascii="Symbol" w:hAnsi="Symbol" w:hint="default"/>
      </w:rPr>
    </w:lvl>
  </w:abstractNum>
  <w:abstractNum w:abstractNumId="4">
    <w:nsid w:val="FFFFFF82"/>
    <w:multiLevelType w:val="singleLevel"/>
    <w:tmpl w:val="4E3E2A3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890E5C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640AAD0"/>
    <w:lvl w:ilvl="0">
      <w:start w:val="1"/>
      <w:numFmt w:val="decimal"/>
      <w:pStyle w:val="ListNumber"/>
      <w:lvlText w:val="%1."/>
      <w:lvlJc w:val="left"/>
      <w:pPr>
        <w:tabs>
          <w:tab w:val="num" w:pos="360"/>
        </w:tabs>
        <w:ind w:left="360" w:hanging="360"/>
      </w:pPr>
    </w:lvl>
  </w:abstractNum>
  <w:abstractNum w:abstractNumId="7">
    <w:nsid w:val="FFFFFF89"/>
    <w:multiLevelType w:val="singleLevel"/>
    <w:tmpl w:val="23165D6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12"/>
    <w:lvlOverride w:ilvl="0">
      <w:startOverride w:val="1"/>
    </w:lvlOverride>
  </w:num>
  <w:num w:numId="7">
    <w:abstractNumId w:val="6"/>
  </w:num>
  <w:num w:numId="8">
    <w:abstractNumId w:val="2"/>
  </w:num>
  <w:num w:numId="9">
    <w:abstractNumId w:val="1"/>
  </w:num>
  <w:num w:numId="10">
    <w:abstractNumId w:val="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14 14:20:4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F840398-7D22-4648-AF72-23823479E9AF"/>
    <w:docVar w:name="LW_COVERPAGE_TYPE" w:val="1"/>
    <w:docVar w:name="LW_CROSSREFERENCE" w:val="&lt;UNUSED&gt;"/>
    <w:docVar w:name="LW_DocType" w:val="COM"/>
    <w:docVar w:name="LW_EMISSION" w:val="21.3.2018"/>
    <w:docVar w:name="LW_EMISSION_ISODATE" w:val="2018-03-21"/>
    <w:docVar w:name="LW_EMISSION_LOCATION" w:val="BRX"/>
    <w:docVar w:name="LW_EMISSION_PREFIX" w:val="Brussels,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68"/>
    <w:docVar w:name="LW_REF.II.NEW.CP_YEAR" w:val="2018"/>
    <w:docVar w:name="LW_REF.INST.NEW" w:val="COM"/>
    <w:docVar w:name="LW_REF.INST.NEW_ADOPTED" w:val="final"/>
    <w:docVar w:name="LW_REF.INST.NEW_TEXT" w:val="(2018) 1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position to be adopted, on behalf of the European Union, within _x000b_the EEA Joint Committee concerning an amendment_x000b_to Annex IX (Financial Services) to the EEA Agreement_x000b__x000b_(EMIR Level 2 Acts)"/>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50826">
      <w:bodyDiv w:val="1"/>
      <w:marLeft w:val="0"/>
      <w:marRight w:val="0"/>
      <w:marTop w:val="0"/>
      <w:marBottom w:val="0"/>
      <w:divBdr>
        <w:top w:val="none" w:sz="0" w:space="0" w:color="auto"/>
        <w:left w:val="none" w:sz="0" w:space="0" w:color="auto"/>
        <w:bottom w:val="none" w:sz="0" w:space="0" w:color="auto"/>
        <w:right w:val="none" w:sz="0" w:space="0" w:color="auto"/>
      </w:divBdr>
    </w:div>
    <w:div w:id="154370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39801-ED6D-4CF1-A87D-645C8B3F5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10</Pages>
  <Words>2015</Words>
  <Characters>11628</Characters>
  <Application>Microsoft Office Word</Application>
  <DocSecurity>0</DocSecurity>
  <Lines>242</Lines>
  <Paragraphs>131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2018-02-07T14:16:00Z</cp:lastPrinted>
  <dcterms:created xsi:type="dcterms:W3CDTF">2018-02-08T11:08:00Z</dcterms:created>
  <dcterms:modified xsi:type="dcterms:W3CDTF">2018-03-14T13:20:00Z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