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2B" w:rsidRDefault="00971F1C" w:rsidP="00971F1C">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468580E-8A2E-47A4-93A9-93D223E96092" style="width:450.75pt;height:417.75pt">
            <v:imagedata r:id="rId11" o:title=""/>
          </v:shape>
        </w:pict>
      </w:r>
    </w:p>
    <w:bookmarkEnd w:id="0"/>
    <w:p w:rsidR="00CF442B" w:rsidRDefault="00CF442B">
      <w:pPr>
        <w:pStyle w:val="Pagedecouverture"/>
        <w:rPr>
          <w:noProof/>
          <w:lang w:val="fr-BE"/>
        </w:rPr>
        <w:sectPr w:rsidR="00CF442B" w:rsidSect="00971F1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CF442B">
        <w:tc>
          <w:tcPr>
            <w:tcW w:w="10188" w:type="dxa"/>
            <w:tcBorders>
              <w:bottom w:val="single" w:sz="4" w:space="0" w:color="auto"/>
            </w:tcBorders>
            <w:shd w:val="clear" w:color="auto" w:fill="CCCCCC"/>
          </w:tcPr>
          <w:p w:rsidR="00CF442B" w:rsidRDefault="00971F1C">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rsidR="00CF442B">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CF442B" w:rsidRDefault="00971F1C">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a Fair Taxation of the Digital Economy</w:t>
            </w:r>
          </w:p>
        </w:tc>
      </w:tr>
      <w:tr w:rsidR="00CF442B">
        <w:tc>
          <w:tcPr>
            <w:tcW w:w="10188" w:type="dxa"/>
            <w:tcBorders>
              <w:bottom w:val="single" w:sz="4" w:space="0" w:color="auto"/>
            </w:tcBorders>
            <w:shd w:val="clear" w:color="auto" w:fill="CCCCCC"/>
          </w:tcPr>
          <w:p w:rsidR="00CF442B" w:rsidRDefault="00971F1C">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CF442B">
        <w:tc>
          <w:tcPr>
            <w:tcW w:w="10188" w:type="dxa"/>
            <w:tcBorders>
              <w:bottom w:val="single" w:sz="4" w:space="0" w:color="auto"/>
            </w:tcBorders>
            <w:shd w:val="clear" w:color="auto" w:fill="E0E0E0"/>
          </w:tcPr>
          <w:p w:rsidR="00CF442B" w:rsidRDefault="00971F1C">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rsidR="00CF442B">
        <w:tc>
          <w:tcPr>
            <w:tcW w:w="10188" w:type="dxa"/>
            <w:tcBorders>
              <w:bottom w:val="single" w:sz="4" w:space="0" w:color="auto"/>
            </w:tcBorders>
            <w:shd w:val="clear" w:color="auto" w:fill="auto"/>
          </w:tcPr>
          <w:p w:rsidR="00CF442B" w:rsidRDefault="00971F1C">
            <w:pPr>
              <w:pStyle w:val="Default"/>
              <w:jc w:val="both"/>
              <w:rPr>
                <w:noProof/>
                <w:sz w:val="20"/>
                <w:szCs w:val="20"/>
              </w:rPr>
            </w:pPr>
            <w:r>
              <w:rPr>
                <w:noProof/>
                <w:sz w:val="20"/>
                <w:szCs w:val="20"/>
              </w:rPr>
              <w:t xml:space="preserve">Corporate taxation aims to tax profits where the value is created, but the current international tax framework was designed for the traditional economy. It is unable to take account of new modes of value creation in the digital economy, which require less </w:t>
            </w:r>
            <w:r>
              <w:rPr>
                <w:noProof/>
                <w:sz w:val="20"/>
                <w:szCs w:val="20"/>
              </w:rPr>
              <w:t>physical presence and where user contributions and intangible assets play significant roles. Public budgets and social fairness are affected. In response, an increasing number of Member States are taking unilateral measures which risks fragmenting the Sing</w:t>
            </w:r>
            <w:r>
              <w:rPr>
                <w:noProof/>
                <w:sz w:val="20"/>
                <w:szCs w:val="20"/>
              </w:rPr>
              <w:t xml:space="preserve">le Market. </w:t>
            </w:r>
          </w:p>
        </w:tc>
      </w:tr>
      <w:tr w:rsidR="00CF442B">
        <w:tc>
          <w:tcPr>
            <w:tcW w:w="10188" w:type="dxa"/>
            <w:tcBorders>
              <w:bottom w:val="single" w:sz="4" w:space="0" w:color="auto"/>
            </w:tcBorders>
            <w:shd w:val="clear" w:color="auto" w:fill="E6E6E6"/>
          </w:tcPr>
          <w:p w:rsidR="00CF442B" w:rsidRDefault="00971F1C">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rsidR="00CF442B">
        <w:tc>
          <w:tcPr>
            <w:tcW w:w="10188" w:type="dxa"/>
            <w:tcBorders>
              <w:bottom w:val="single" w:sz="4" w:space="0" w:color="auto"/>
            </w:tcBorders>
            <w:shd w:val="clear" w:color="auto" w:fill="auto"/>
          </w:tcPr>
          <w:p w:rsidR="00CF442B" w:rsidRDefault="00971F1C">
            <w:pPr>
              <w:pStyle w:val="Default"/>
              <w:jc w:val="both"/>
              <w:rPr>
                <w:noProof/>
                <w:sz w:val="20"/>
                <w:szCs w:val="20"/>
              </w:rPr>
            </w:pPr>
            <w:r>
              <w:rPr>
                <w:noProof/>
                <w:sz w:val="20"/>
                <w:szCs w:val="20"/>
              </w:rPr>
              <w:t xml:space="preserve">First, the initiative is expected to protect the integrity and proper functioning of the single market. Second, it intends to ensure that Member States' finances are sustainable and national </w:t>
            </w:r>
            <w:r>
              <w:rPr>
                <w:noProof/>
                <w:sz w:val="20"/>
                <w:szCs w:val="20"/>
              </w:rPr>
              <w:t>corporate tax bases are not eroded by digitalisation. Third, it will contribute to preserving social fairness and a level playing field between all businesses.</w:t>
            </w:r>
          </w:p>
        </w:tc>
      </w:tr>
      <w:tr w:rsidR="00CF442B">
        <w:tc>
          <w:tcPr>
            <w:tcW w:w="10188" w:type="dxa"/>
            <w:tcBorders>
              <w:bottom w:val="single" w:sz="4" w:space="0" w:color="auto"/>
            </w:tcBorders>
            <w:shd w:val="clear" w:color="auto" w:fill="E6E6E6"/>
          </w:tcPr>
          <w:p w:rsidR="00CF442B" w:rsidRDefault="00971F1C">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rsidR="00CF442B">
        <w:tc>
          <w:tcPr>
            <w:tcW w:w="10188" w:type="dxa"/>
            <w:tcBorders>
              <w:bottom w:val="single" w:sz="4" w:space="0" w:color="auto"/>
            </w:tcBorders>
            <w:shd w:val="clear" w:color="auto" w:fill="auto"/>
          </w:tcPr>
          <w:p w:rsidR="00CF442B" w:rsidRDefault="00971F1C">
            <w:pPr>
              <w:pStyle w:val="Default"/>
              <w:jc w:val="both"/>
              <w:rPr>
                <w:noProof/>
                <w:sz w:val="20"/>
                <w:szCs w:val="20"/>
              </w:rPr>
            </w:pPr>
            <w:r>
              <w:rPr>
                <w:noProof/>
                <w:sz w:val="20"/>
                <w:szCs w:val="20"/>
              </w:rPr>
              <w:t xml:space="preserve">As the problem is about the international </w:t>
            </w:r>
            <w:r>
              <w:rPr>
                <w:noProof/>
                <w:sz w:val="20"/>
                <w:szCs w:val="20"/>
              </w:rPr>
              <w:t>allocation of taxing rights, it cannot be comprehensively addressed at Member State level. In addition, EU level action would avoid the fragmentation of the Single Market, new barriers to business or potential loopholes which would result from uncoordinate</w:t>
            </w:r>
            <w:r>
              <w:rPr>
                <w:noProof/>
                <w:sz w:val="20"/>
                <w:szCs w:val="20"/>
              </w:rPr>
              <w:t xml:space="preserve">d action by different Member States.  </w:t>
            </w:r>
          </w:p>
        </w:tc>
      </w:tr>
      <w:tr w:rsidR="00CF442B">
        <w:tc>
          <w:tcPr>
            <w:tcW w:w="10188" w:type="dxa"/>
            <w:tcBorders>
              <w:bottom w:val="single" w:sz="4" w:space="0" w:color="auto"/>
            </w:tcBorders>
            <w:shd w:val="clear" w:color="auto" w:fill="CCCCCC"/>
          </w:tcPr>
          <w:p w:rsidR="00CF442B" w:rsidRDefault="00971F1C">
            <w:pPr>
              <w:spacing w:before="60" w:after="60"/>
              <w:jc w:val="center"/>
              <w:rPr>
                <w:rFonts w:ascii="Tahoma" w:hAnsi="Tahoma" w:cs="Tahoma"/>
                <w:b/>
                <w:noProof/>
                <w:sz w:val="22"/>
                <w:szCs w:val="22"/>
              </w:rPr>
            </w:pPr>
            <w:r>
              <w:rPr>
                <w:rFonts w:ascii="Tahoma" w:hAnsi="Tahoma" w:cs="Tahoma"/>
                <w:b/>
                <w:noProof/>
                <w:sz w:val="22"/>
                <w:szCs w:val="22"/>
              </w:rPr>
              <w:t>B. Solutions</w:t>
            </w:r>
          </w:p>
        </w:tc>
      </w:tr>
      <w:tr w:rsidR="00CF442B">
        <w:tc>
          <w:tcPr>
            <w:tcW w:w="10188" w:type="dxa"/>
            <w:tcBorders>
              <w:bottom w:val="single" w:sz="4" w:space="0" w:color="auto"/>
            </w:tcBorders>
            <w:shd w:val="clear" w:color="auto" w:fill="E6E6E6"/>
          </w:tcPr>
          <w:p w:rsidR="00CF442B" w:rsidRDefault="00971F1C">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CF442B">
        <w:tc>
          <w:tcPr>
            <w:tcW w:w="10188" w:type="dxa"/>
            <w:tcBorders>
              <w:bottom w:val="single" w:sz="4" w:space="0" w:color="auto"/>
            </w:tcBorders>
            <w:shd w:val="clear" w:color="auto" w:fill="auto"/>
          </w:tcPr>
          <w:p w:rsidR="00CF442B" w:rsidRDefault="00971F1C">
            <w:pPr>
              <w:pStyle w:val="Default"/>
              <w:jc w:val="both"/>
              <w:rPr>
                <w:noProof/>
                <w:sz w:val="20"/>
                <w:szCs w:val="20"/>
                <w:u w:val="single"/>
              </w:rPr>
            </w:pPr>
            <w:r>
              <w:rPr>
                <w:noProof/>
                <w:sz w:val="20"/>
                <w:szCs w:val="20"/>
              </w:rPr>
              <w:t xml:space="preserve">First, a comprehensive solution is examined. The main options: </w:t>
            </w:r>
          </w:p>
          <w:p w:rsidR="00CF442B" w:rsidRDefault="00971F1C">
            <w:pPr>
              <w:pStyle w:val="Default"/>
              <w:ind w:left="284"/>
              <w:jc w:val="both"/>
              <w:rPr>
                <w:noProof/>
                <w:sz w:val="20"/>
                <w:szCs w:val="20"/>
              </w:rPr>
            </w:pPr>
            <w:r>
              <w:rPr>
                <w:noProof/>
                <w:sz w:val="20"/>
                <w:szCs w:val="20"/>
                <w:u w:val="single"/>
              </w:rPr>
              <w:t>Option 1</w:t>
            </w:r>
            <w:r>
              <w:rPr>
                <w:noProof/>
                <w:sz w:val="20"/>
                <w:szCs w:val="20"/>
              </w:rPr>
              <w:t xml:space="preserve">: Amend the rules for the Common Consolidated Corporate Tax Base proposal (CCCTB); </w:t>
            </w:r>
          </w:p>
          <w:p w:rsidR="00CF442B" w:rsidRDefault="00971F1C">
            <w:pPr>
              <w:pStyle w:val="Default"/>
              <w:ind w:left="284"/>
              <w:jc w:val="both"/>
              <w:rPr>
                <w:noProof/>
                <w:sz w:val="20"/>
                <w:szCs w:val="20"/>
                <w:u w:val="single"/>
              </w:rPr>
            </w:pPr>
            <w:r>
              <w:rPr>
                <w:rFonts w:eastAsiaTheme="minorHAnsi"/>
                <w:noProof/>
                <w:sz w:val="20"/>
                <w:szCs w:val="20"/>
                <w:u w:val="single"/>
                <w:lang w:eastAsia="en-US"/>
              </w:rPr>
              <w:t>Option 2</w:t>
            </w:r>
            <w:r>
              <w:rPr>
                <w:rFonts w:eastAsiaTheme="minorHAnsi"/>
                <w:noProof/>
                <w:sz w:val="20"/>
                <w:szCs w:val="20"/>
                <w:lang w:eastAsia="en-US"/>
              </w:rPr>
              <w:t>: Directive on digital permanent establishment and profit allocation principles, with adjustments to the CCCTB</w:t>
            </w:r>
            <w:r>
              <w:rPr>
                <w:noProof/>
                <w:sz w:val="20"/>
                <w:szCs w:val="20"/>
              </w:rPr>
              <w:t>;</w:t>
            </w:r>
            <w:r>
              <w:rPr>
                <w:rFonts w:eastAsiaTheme="minorHAnsi"/>
                <w:noProof/>
                <w:sz w:val="20"/>
                <w:szCs w:val="20"/>
                <w:lang w:eastAsia="en-US"/>
              </w:rPr>
              <w:t xml:space="preserve">  </w:t>
            </w:r>
          </w:p>
          <w:p w:rsidR="00CF442B" w:rsidRDefault="00971F1C">
            <w:pPr>
              <w:pStyle w:val="Default"/>
              <w:ind w:left="284"/>
              <w:jc w:val="both"/>
              <w:rPr>
                <w:noProof/>
                <w:sz w:val="20"/>
                <w:szCs w:val="20"/>
              </w:rPr>
            </w:pPr>
            <w:r>
              <w:rPr>
                <w:rFonts w:eastAsiaTheme="minorHAnsi"/>
                <w:noProof/>
                <w:sz w:val="20"/>
                <w:szCs w:val="20"/>
                <w:u w:val="single"/>
                <w:lang w:eastAsia="en-US"/>
              </w:rPr>
              <w:t>Option 3 (preferred)</w:t>
            </w:r>
            <w:r>
              <w:rPr>
                <w:rFonts w:eastAsiaTheme="minorHAnsi"/>
                <w:noProof/>
                <w:sz w:val="20"/>
                <w:szCs w:val="20"/>
                <w:lang w:eastAsia="en-US"/>
              </w:rPr>
              <w:t>: Option 2 plus a recommendati</w:t>
            </w:r>
            <w:r>
              <w:rPr>
                <w:rFonts w:eastAsiaTheme="minorHAnsi"/>
                <w:noProof/>
                <w:sz w:val="20"/>
                <w:szCs w:val="20"/>
                <w:lang w:eastAsia="en-US"/>
              </w:rPr>
              <w:t>on to change the rules vi</w:t>
            </w:r>
            <w:r>
              <w:rPr>
                <w:noProof/>
                <w:sz w:val="20"/>
                <w:szCs w:val="20"/>
              </w:rPr>
              <w:t>s</w:t>
            </w:r>
            <w:r>
              <w:rPr>
                <w:rFonts w:eastAsiaTheme="minorHAnsi"/>
                <w:noProof/>
                <w:sz w:val="20"/>
                <w:szCs w:val="20"/>
                <w:lang w:eastAsia="en-US"/>
              </w:rPr>
              <w:t xml:space="preserve">-à-vis third countries. </w:t>
            </w:r>
          </w:p>
          <w:p w:rsidR="00CF442B" w:rsidRDefault="00971F1C">
            <w:pPr>
              <w:pStyle w:val="Default"/>
              <w:jc w:val="both"/>
              <w:rPr>
                <w:noProof/>
                <w:sz w:val="20"/>
                <w:szCs w:val="20"/>
              </w:rPr>
            </w:pPr>
            <w:r>
              <w:rPr>
                <w:noProof/>
                <w:sz w:val="20"/>
                <w:szCs w:val="20"/>
              </w:rPr>
              <w:t xml:space="preserve">Second, as a reform of corporate tax rules will take time and in order to avoid the adoption of unilateral measures by Member States, a </w:t>
            </w:r>
            <w:r>
              <w:rPr>
                <w:b/>
                <w:noProof/>
                <w:sz w:val="20"/>
                <w:szCs w:val="20"/>
              </w:rPr>
              <w:t>interim</w:t>
            </w:r>
            <w:r>
              <w:rPr>
                <w:noProof/>
                <w:sz w:val="20"/>
                <w:szCs w:val="20"/>
              </w:rPr>
              <w:t xml:space="preserve"> solution is also considered. The preferred interim solution i</w:t>
            </w:r>
            <w:r>
              <w:rPr>
                <w:noProof/>
                <w:sz w:val="20"/>
                <w:szCs w:val="20"/>
              </w:rPr>
              <w:t xml:space="preserve">s a Directive on a common system of a tax on certain digital activities.  </w:t>
            </w:r>
          </w:p>
        </w:tc>
      </w:tr>
      <w:tr w:rsidR="00CF442B">
        <w:tc>
          <w:tcPr>
            <w:tcW w:w="10188" w:type="dxa"/>
            <w:shd w:val="clear" w:color="auto" w:fill="CCCCCC"/>
          </w:tcPr>
          <w:p w:rsidR="00CF442B" w:rsidRDefault="00971F1C">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rsidR="00CF442B">
        <w:trPr>
          <w:trHeight w:val="862"/>
        </w:trPr>
        <w:tc>
          <w:tcPr>
            <w:tcW w:w="10188" w:type="dxa"/>
            <w:shd w:val="clear" w:color="auto" w:fill="auto"/>
          </w:tcPr>
          <w:p w:rsidR="00CF442B" w:rsidRDefault="00971F1C">
            <w:pPr>
              <w:pStyle w:val="Default"/>
              <w:jc w:val="both"/>
              <w:rPr>
                <w:noProof/>
                <w:sz w:val="20"/>
                <w:szCs w:val="20"/>
              </w:rPr>
            </w:pPr>
            <w:r>
              <w:rPr>
                <w:i/>
                <w:iCs/>
                <w:noProof/>
                <w:sz w:val="20"/>
                <w:szCs w:val="20"/>
                <w:u w:val="single"/>
              </w:rPr>
              <w:t>Comprehensive solution:</w:t>
            </w:r>
            <w:r>
              <w:rPr>
                <w:noProof/>
                <w:sz w:val="20"/>
                <w:szCs w:val="20"/>
              </w:rPr>
              <w:t xml:space="preserve"> 14 out of 21 national tax authorities and 58% of the 446 respondents to the public consultation believe that the comprehensive solution can best address the current problems. </w:t>
            </w:r>
          </w:p>
          <w:p w:rsidR="00CF442B" w:rsidRDefault="00971F1C">
            <w:pPr>
              <w:pStyle w:val="Default"/>
              <w:jc w:val="both"/>
              <w:rPr>
                <w:noProof/>
                <w:sz w:val="20"/>
              </w:rPr>
            </w:pPr>
            <w:r>
              <w:rPr>
                <w:i/>
                <w:iCs/>
                <w:noProof/>
                <w:sz w:val="20"/>
                <w:szCs w:val="20"/>
                <w:u w:val="single"/>
              </w:rPr>
              <w:t>Interim solution:</w:t>
            </w:r>
            <w:r>
              <w:rPr>
                <w:noProof/>
                <w:sz w:val="20"/>
                <w:szCs w:val="20"/>
              </w:rPr>
              <w:t xml:space="preserve"> 10 out of 21 national tax authorities and 53% of the public c</w:t>
            </w:r>
            <w:r>
              <w:rPr>
                <w:noProof/>
                <w:sz w:val="20"/>
                <w:szCs w:val="20"/>
              </w:rPr>
              <w:t>onsultation respondents believe that the "tax on revenue from certain digital services" can best address the current problems.</w:t>
            </w:r>
          </w:p>
        </w:tc>
      </w:tr>
      <w:tr w:rsidR="00CF442B">
        <w:tc>
          <w:tcPr>
            <w:tcW w:w="10188" w:type="dxa"/>
            <w:tcBorders>
              <w:bottom w:val="single" w:sz="4" w:space="0" w:color="auto"/>
            </w:tcBorders>
            <w:shd w:val="clear" w:color="auto" w:fill="CCCCCC"/>
          </w:tcPr>
          <w:p w:rsidR="00CF442B" w:rsidRDefault="00971F1C">
            <w:pPr>
              <w:spacing w:before="60"/>
              <w:jc w:val="center"/>
              <w:rPr>
                <w:rFonts w:ascii="Tahoma" w:hAnsi="Tahoma" w:cs="Tahoma"/>
                <w:b/>
                <w:noProof/>
                <w:sz w:val="22"/>
                <w:szCs w:val="22"/>
              </w:rPr>
            </w:pPr>
            <w:r>
              <w:rPr>
                <w:rFonts w:ascii="Tahoma" w:hAnsi="Tahoma" w:cs="Tahoma"/>
                <w:b/>
                <w:noProof/>
                <w:sz w:val="22"/>
                <w:szCs w:val="22"/>
              </w:rPr>
              <w:t>C. Impacts of the preferred option</w:t>
            </w:r>
          </w:p>
        </w:tc>
      </w:tr>
      <w:tr w:rsidR="00CF442B">
        <w:tc>
          <w:tcPr>
            <w:tcW w:w="10188" w:type="dxa"/>
            <w:tcBorders>
              <w:bottom w:val="single" w:sz="4" w:space="0" w:color="auto"/>
            </w:tcBorders>
            <w:shd w:val="clear" w:color="auto" w:fill="E6E6E6"/>
          </w:tcPr>
          <w:p w:rsidR="00CF442B" w:rsidRDefault="00971F1C">
            <w:pPr>
              <w:spacing w:before="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rsidR="00CF442B">
        <w:tc>
          <w:tcPr>
            <w:tcW w:w="10188" w:type="dxa"/>
            <w:tcBorders>
              <w:bottom w:val="single" w:sz="4" w:space="0" w:color="auto"/>
            </w:tcBorders>
            <w:shd w:val="clear" w:color="auto" w:fill="auto"/>
          </w:tcPr>
          <w:p w:rsidR="00CF442B" w:rsidRDefault="00971F1C">
            <w:pPr>
              <w:pStyle w:val="Default"/>
              <w:jc w:val="both"/>
              <w:rPr>
                <w:noProof/>
                <w:sz w:val="20"/>
                <w:szCs w:val="20"/>
              </w:rPr>
            </w:pPr>
            <w:r>
              <w:rPr>
                <w:i/>
                <w:iCs/>
                <w:noProof/>
                <w:sz w:val="20"/>
                <w:szCs w:val="20"/>
                <w:u w:val="single"/>
              </w:rPr>
              <w:t>Comprehensive solution</w:t>
            </w:r>
            <w:r>
              <w:rPr>
                <w:i/>
                <w:iCs/>
                <w:noProof/>
                <w:sz w:val="20"/>
                <w:szCs w:val="20"/>
              </w:rPr>
              <w:t xml:space="preserve">: </w:t>
            </w:r>
            <w:r>
              <w:rPr>
                <w:noProof/>
                <w:sz w:val="20"/>
                <w:szCs w:val="20"/>
              </w:rPr>
              <w:t xml:space="preserve">The solution would improve the perception of fairness for </w:t>
            </w:r>
            <w:r>
              <w:rPr>
                <w:b/>
                <w:bCs/>
                <w:noProof/>
                <w:sz w:val="20"/>
                <w:szCs w:val="20"/>
              </w:rPr>
              <w:t xml:space="preserve">citizens </w:t>
            </w:r>
            <w:r>
              <w:rPr>
                <w:noProof/>
                <w:sz w:val="20"/>
                <w:szCs w:val="20"/>
              </w:rPr>
              <w:t xml:space="preserve">by ensuring that large companies with significant digital activities do not escape their taxes in the EU. </w:t>
            </w:r>
            <w:r>
              <w:rPr>
                <w:b/>
                <w:bCs/>
                <w:noProof/>
                <w:sz w:val="20"/>
                <w:szCs w:val="20"/>
              </w:rPr>
              <w:t xml:space="preserve">Businesses </w:t>
            </w:r>
            <w:r>
              <w:rPr>
                <w:noProof/>
                <w:sz w:val="20"/>
                <w:szCs w:val="20"/>
              </w:rPr>
              <w:t>would be</w:t>
            </w:r>
            <w:r>
              <w:rPr>
                <w:noProof/>
                <w:sz w:val="20"/>
                <w:szCs w:val="20"/>
              </w:rPr>
              <w:t xml:space="preserve">nefit from a more level playing field as the revision of the rules would remove distortions of competition. </w:t>
            </w:r>
            <w:r>
              <w:rPr>
                <w:b/>
                <w:bCs/>
                <w:noProof/>
                <w:sz w:val="20"/>
                <w:szCs w:val="20"/>
              </w:rPr>
              <w:t xml:space="preserve">National tax administrations </w:t>
            </w:r>
            <w:r>
              <w:rPr>
                <w:noProof/>
                <w:sz w:val="20"/>
                <w:szCs w:val="20"/>
              </w:rPr>
              <w:t xml:space="preserve">would benefit from a positive impact on public finances as the solution will contribute to the long-run sustainability </w:t>
            </w:r>
            <w:r>
              <w:rPr>
                <w:noProof/>
                <w:sz w:val="20"/>
                <w:szCs w:val="20"/>
              </w:rPr>
              <w:t xml:space="preserve">of the corporate tax system. </w:t>
            </w:r>
          </w:p>
          <w:p w:rsidR="00CF442B" w:rsidRDefault="00971F1C">
            <w:pPr>
              <w:pStyle w:val="Default"/>
              <w:jc w:val="both"/>
              <w:rPr>
                <w:i/>
                <w:noProof/>
                <w:sz w:val="20"/>
                <w:szCs w:val="20"/>
              </w:rPr>
            </w:pPr>
            <w:r>
              <w:rPr>
                <w:i/>
                <w:iCs/>
                <w:noProof/>
                <w:sz w:val="20"/>
                <w:szCs w:val="20"/>
                <w:u w:val="single"/>
              </w:rPr>
              <w:t>Interim solution</w:t>
            </w:r>
            <w:r>
              <w:rPr>
                <w:i/>
                <w:iCs/>
                <w:noProof/>
                <w:sz w:val="20"/>
                <w:szCs w:val="20"/>
              </w:rPr>
              <w:t xml:space="preserve">: </w:t>
            </w:r>
            <w:r>
              <w:rPr>
                <w:noProof/>
                <w:sz w:val="20"/>
                <w:szCs w:val="20"/>
              </w:rPr>
              <w:t>This would improve the perception of fairness for citizens by ensuring a minimum level of taxation in the EU for companies that rely the most on user contributions and data. By avoiding the fragmentation of t</w:t>
            </w:r>
            <w:r>
              <w:rPr>
                <w:noProof/>
                <w:sz w:val="20"/>
                <w:szCs w:val="20"/>
              </w:rPr>
              <w:t xml:space="preserve">he Single Market, it will provide a stable tax framework for businesses active in the EU. </w:t>
            </w:r>
          </w:p>
        </w:tc>
      </w:tr>
      <w:tr w:rsidR="00CF442B">
        <w:tc>
          <w:tcPr>
            <w:tcW w:w="10188" w:type="dxa"/>
            <w:tcBorders>
              <w:bottom w:val="single" w:sz="4" w:space="0" w:color="auto"/>
            </w:tcBorders>
            <w:shd w:val="clear" w:color="auto" w:fill="E6E6E6"/>
          </w:tcPr>
          <w:p w:rsidR="00CF442B" w:rsidRDefault="00971F1C">
            <w:pPr>
              <w:spacing w:before="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rsidR="00CF442B">
        <w:tc>
          <w:tcPr>
            <w:tcW w:w="10188" w:type="dxa"/>
            <w:tcBorders>
              <w:bottom w:val="single" w:sz="4" w:space="0" w:color="auto"/>
            </w:tcBorders>
            <w:shd w:val="clear" w:color="auto" w:fill="auto"/>
          </w:tcPr>
          <w:p w:rsidR="00CF442B" w:rsidRDefault="00971F1C">
            <w:pPr>
              <w:pStyle w:val="Default"/>
              <w:jc w:val="both"/>
              <w:rPr>
                <w:noProof/>
                <w:sz w:val="20"/>
                <w:szCs w:val="20"/>
              </w:rPr>
            </w:pPr>
            <w:r>
              <w:rPr>
                <w:i/>
                <w:iCs/>
                <w:noProof/>
                <w:sz w:val="20"/>
                <w:szCs w:val="20"/>
                <w:u w:val="single"/>
              </w:rPr>
              <w:t>Comprehensive solution</w:t>
            </w:r>
            <w:r>
              <w:rPr>
                <w:i/>
                <w:iCs/>
                <w:noProof/>
                <w:sz w:val="20"/>
                <w:szCs w:val="20"/>
              </w:rPr>
              <w:t xml:space="preserve">: </w:t>
            </w:r>
            <w:r>
              <w:rPr>
                <w:noProof/>
                <w:sz w:val="20"/>
                <w:szCs w:val="20"/>
              </w:rPr>
              <w:t xml:space="preserve">The measure would increase the regulatory and compliance burden for all </w:t>
            </w:r>
            <w:r>
              <w:rPr>
                <w:b/>
                <w:bCs/>
                <w:noProof/>
                <w:sz w:val="20"/>
                <w:szCs w:val="20"/>
              </w:rPr>
              <w:t xml:space="preserve">businesses </w:t>
            </w:r>
            <w:r>
              <w:rPr>
                <w:noProof/>
                <w:sz w:val="20"/>
                <w:szCs w:val="20"/>
              </w:rPr>
              <w:t xml:space="preserve">falling under the scope of the solution. </w:t>
            </w:r>
            <w:r>
              <w:rPr>
                <w:b/>
                <w:bCs/>
                <w:noProof/>
                <w:sz w:val="20"/>
                <w:szCs w:val="20"/>
              </w:rPr>
              <w:t xml:space="preserve">National tax administrations </w:t>
            </w:r>
            <w:r>
              <w:rPr>
                <w:noProof/>
                <w:sz w:val="20"/>
                <w:szCs w:val="20"/>
              </w:rPr>
              <w:t xml:space="preserve">would also incur costs for implementing the new system, notably on IT and staff training. </w:t>
            </w:r>
          </w:p>
          <w:p w:rsidR="00CF442B" w:rsidRDefault="00971F1C">
            <w:pPr>
              <w:pStyle w:val="Default"/>
              <w:jc w:val="both"/>
              <w:rPr>
                <w:i/>
                <w:noProof/>
                <w:sz w:val="20"/>
                <w:szCs w:val="20"/>
              </w:rPr>
            </w:pPr>
            <w:r>
              <w:rPr>
                <w:i/>
                <w:iCs/>
                <w:noProof/>
                <w:sz w:val="20"/>
                <w:szCs w:val="20"/>
                <w:u w:val="single"/>
              </w:rPr>
              <w:t>Interim solu</w:t>
            </w:r>
            <w:r>
              <w:rPr>
                <w:i/>
                <w:iCs/>
                <w:noProof/>
                <w:sz w:val="20"/>
                <w:szCs w:val="20"/>
                <w:u w:val="single"/>
              </w:rPr>
              <w:t>tion</w:t>
            </w:r>
            <w:r>
              <w:rPr>
                <w:i/>
                <w:iCs/>
                <w:noProof/>
                <w:sz w:val="20"/>
                <w:szCs w:val="20"/>
              </w:rPr>
              <w:t xml:space="preserve">: </w:t>
            </w:r>
            <w:r>
              <w:rPr>
                <w:b/>
                <w:bCs/>
                <w:noProof/>
                <w:sz w:val="20"/>
                <w:szCs w:val="20"/>
              </w:rPr>
              <w:t xml:space="preserve">Large companies </w:t>
            </w:r>
            <w:r>
              <w:rPr>
                <w:noProof/>
                <w:sz w:val="20"/>
                <w:szCs w:val="20"/>
              </w:rPr>
              <w:t xml:space="preserve">above the thresholds would face additional reporting requirements to compute their tax base in the Member States in which they are active. </w:t>
            </w:r>
            <w:r>
              <w:rPr>
                <w:b/>
                <w:bCs/>
                <w:noProof/>
                <w:sz w:val="20"/>
                <w:szCs w:val="20"/>
              </w:rPr>
              <w:t xml:space="preserve">National tax administrations </w:t>
            </w:r>
            <w:r>
              <w:rPr>
                <w:noProof/>
                <w:sz w:val="20"/>
                <w:szCs w:val="20"/>
              </w:rPr>
              <w:t>would also incur initial costs to implement the new system, notabl</w:t>
            </w:r>
            <w:r>
              <w:rPr>
                <w:noProof/>
                <w:sz w:val="20"/>
                <w:szCs w:val="20"/>
              </w:rPr>
              <w:t xml:space="preserve">y in terms of IT and staff training. </w:t>
            </w:r>
          </w:p>
        </w:tc>
      </w:tr>
      <w:tr w:rsidR="00CF442B">
        <w:tc>
          <w:tcPr>
            <w:tcW w:w="10188" w:type="dxa"/>
            <w:tcBorders>
              <w:bottom w:val="single" w:sz="4" w:space="0" w:color="auto"/>
            </w:tcBorders>
            <w:shd w:val="clear" w:color="auto" w:fill="E6E6E6"/>
          </w:tcPr>
          <w:p w:rsidR="00CF442B" w:rsidRDefault="00971F1C">
            <w:pPr>
              <w:spacing w:before="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CF442B">
        <w:tc>
          <w:tcPr>
            <w:tcW w:w="10188" w:type="dxa"/>
            <w:tcBorders>
              <w:bottom w:val="single" w:sz="4" w:space="0" w:color="auto"/>
            </w:tcBorders>
            <w:shd w:val="clear" w:color="auto" w:fill="auto"/>
          </w:tcPr>
          <w:p w:rsidR="00CF442B" w:rsidRDefault="00971F1C">
            <w:pPr>
              <w:spacing w:before="60"/>
              <w:jc w:val="both"/>
              <w:rPr>
                <w:rFonts w:ascii="Arial" w:hAnsi="Arial" w:cs="Arial"/>
                <w:noProof/>
                <w:sz w:val="20"/>
                <w:szCs w:val="20"/>
              </w:rPr>
            </w:pPr>
            <w:r>
              <w:rPr>
                <w:rFonts w:ascii="Arial" w:hAnsi="Arial" w:cs="Arial"/>
                <w:i/>
                <w:noProof/>
                <w:sz w:val="20"/>
                <w:szCs w:val="20"/>
                <w:u w:val="single"/>
              </w:rPr>
              <w:lastRenderedPageBreak/>
              <w:t>Comprehensive solution</w:t>
            </w:r>
            <w:r>
              <w:rPr>
                <w:rFonts w:ascii="Arial" w:hAnsi="Arial" w:cs="Arial"/>
                <w:noProof/>
                <w:sz w:val="20"/>
                <w:szCs w:val="20"/>
              </w:rPr>
              <w:t xml:space="preserve"> – the measure would restore a level playing field between multinationals and smaller companies that are often less digitised or less active cross-border. This would benefit SMEs and microenterprises. The measure could increase the regulatory and complianc</w:t>
            </w:r>
            <w:r>
              <w:rPr>
                <w:rFonts w:ascii="Arial" w:hAnsi="Arial" w:cs="Arial"/>
                <w:noProof/>
                <w:sz w:val="20"/>
                <w:szCs w:val="20"/>
              </w:rPr>
              <w:t xml:space="preserve">e burden, which may have a larger negative impact on cross-border SMEs. </w:t>
            </w:r>
          </w:p>
          <w:p w:rsidR="00CF442B" w:rsidRDefault="00971F1C">
            <w:pPr>
              <w:spacing w:before="60"/>
              <w:jc w:val="both"/>
              <w:rPr>
                <w:rFonts w:ascii="Arial" w:hAnsi="Arial" w:cs="Arial"/>
                <w:i/>
                <w:noProof/>
                <w:sz w:val="20"/>
                <w:szCs w:val="20"/>
              </w:rPr>
            </w:pPr>
            <w:r>
              <w:rPr>
                <w:rFonts w:ascii="Arial" w:hAnsi="Arial" w:cs="Arial"/>
                <w:i/>
                <w:noProof/>
                <w:sz w:val="20"/>
                <w:szCs w:val="20"/>
                <w:u w:val="single"/>
              </w:rPr>
              <w:t>Interim solution</w:t>
            </w:r>
            <w:r>
              <w:rPr>
                <w:rFonts w:ascii="Arial" w:hAnsi="Arial" w:cs="Arial"/>
                <w:noProof/>
                <w:sz w:val="20"/>
                <w:szCs w:val="20"/>
              </w:rPr>
              <w:t xml:space="preserve"> – SMEs would not be affected, as their revenue would not reach the threshold. </w:t>
            </w:r>
          </w:p>
        </w:tc>
      </w:tr>
      <w:tr w:rsidR="00CF442B">
        <w:tc>
          <w:tcPr>
            <w:tcW w:w="10188" w:type="dxa"/>
            <w:tcBorders>
              <w:bottom w:val="single" w:sz="4" w:space="0" w:color="auto"/>
            </w:tcBorders>
            <w:shd w:val="clear" w:color="auto" w:fill="E6E6E6"/>
          </w:tcPr>
          <w:p w:rsidR="00CF442B" w:rsidRDefault="00971F1C">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rsidR="00CF442B">
        <w:tc>
          <w:tcPr>
            <w:tcW w:w="10188" w:type="dxa"/>
            <w:shd w:val="clear" w:color="auto" w:fill="auto"/>
          </w:tcPr>
          <w:p w:rsidR="00CF442B" w:rsidRDefault="00971F1C">
            <w:pPr>
              <w:pStyle w:val="Default"/>
              <w:jc w:val="both"/>
              <w:rPr>
                <w:noProof/>
                <w:sz w:val="20"/>
                <w:szCs w:val="20"/>
              </w:rPr>
            </w:pPr>
            <w:r>
              <w:rPr>
                <w:noProof/>
                <w:sz w:val="20"/>
                <w:szCs w:val="20"/>
              </w:rPr>
              <w:t>The comprehensive solution would contribute to the long-run sustainability of the corporate tax system and to a fairer distribution of tax revenues. The interim solution would raise additional revenues for national budgets, although the expected additional</w:t>
            </w:r>
            <w:r>
              <w:rPr>
                <w:noProof/>
                <w:sz w:val="20"/>
                <w:szCs w:val="20"/>
              </w:rPr>
              <w:t xml:space="preserve"> revenue from the tax would be rather moderate taking into account the narrow scope and application of thresholds. </w:t>
            </w:r>
          </w:p>
        </w:tc>
      </w:tr>
      <w:tr w:rsidR="00CF442B">
        <w:tc>
          <w:tcPr>
            <w:tcW w:w="10188" w:type="dxa"/>
            <w:tcBorders>
              <w:bottom w:val="single" w:sz="4" w:space="0" w:color="auto"/>
            </w:tcBorders>
            <w:shd w:val="clear" w:color="auto" w:fill="E6E6E6"/>
          </w:tcPr>
          <w:p w:rsidR="00CF442B" w:rsidRDefault="00971F1C">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rsidR="00CF442B">
        <w:tc>
          <w:tcPr>
            <w:tcW w:w="10188" w:type="dxa"/>
            <w:tcBorders>
              <w:bottom w:val="single" w:sz="4" w:space="0" w:color="auto"/>
            </w:tcBorders>
            <w:shd w:val="clear" w:color="auto" w:fill="auto"/>
          </w:tcPr>
          <w:p w:rsidR="00CF442B" w:rsidRDefault="00971F1C">
            <w:pPr>
              <w:pStyle w:val="Default"/>
              <w:jc w:val="both"/>
              <w:rPr>
                <w:noProof/>
                <w:sz w:val="20"/>
                <w:szCs w:val="20"/>
              </w:rPr>
            </w:pPr>
            <w:r>
              <w:rPr>
                <w:noProof/>
                <w:sz w:val="20"/>
                <w:szCs w:val="20"/>
              </w:rPr>
              <w:t xml:space="preserve">The proposal is expected to set out the EU's vision to serve as an example to influence the international discussions. </w:t>
            </w:r>
          </w:p>
        </w:tc>
      </w:tr>
      <w:tr w:rsidR="00CF442B">
        <w:tc>
          <w:tcPr>
            <w:tcW w:w="10188" w:type="dxa"/>
            <w:tcBorders>
              <w:bottom w:val="single" w:sz="4" w:space="0" w:color="auto"/>
            </w:tcBorders>
            <w:shd w:val="clear" w:color="auto" w:fill="C0C0C0"/>
          </w:tcPr>
          <w:p w:rsidR="00CF442B" w:rsidRDefault="00971F1C">
            <w:pPr>
              <w:spacing w:before="60"/>
              <w:jc w:val="center"/>
              <w:rPr>
                <w:rFonts w:ascii="Tahoma" w:hAnsi="Tahoma" w:cs="Tahoma"/>
                <w:b/>
                <w:noProof/>
                <w:sz w:val="22"/>
                <w:szCs w:val="22"/>
              </w:rPr>
            </w:pPr>
            <w:r>
              <w:rPr>
                <w:rFonts w:ascii="Tahoma" w:hAnsi="Tahoma" w:cs="Tahoma"/>
                <w:b/>
                <w:noProof/>
                <w:sz w:val="22"/>
                <w:szCs w:val="22"/>
              </w:rPr>
              <w:t>D. Follow up</w:t>
            </w:r>
          </w:p>
        </w:tc>
      </w:tr>
      <w:tr w:rsidR="00CF442B">
        <w:tc>
          <w:tcPr>
            <w:tcW w:w="10188" w:type="dxa"/>
            <w:tcBorders>
              <w:bottom w:val="single" w:sz="4" w:space="0" w:color="auto"/>
            </w:tcBorders>
            <w:shd w:val="clear" w:color="auto" w:fill="E6E6E6"/>
          </w:tcPr>
          <w:p w:rsidR="00CF442B" w:rsidRDefault="00971F1C">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rsidR="00CF442B">
        <w:tc>
          <w:tcPr>
            <w:tcW w:w="10188" w:type="dxa"/>
            <w:tcBorders>
              <w:bottom w:val="single" w:sz="4" w:space="0" w:color="auto"/>
            </w:tcBorders>
            <w:shd w:val="clear" w:color="auto" w:fill="auto"/>
          </w:tcPr>
          <w:p w:rsidR="00CF442B" w:rsidRDefault="00971F1C">
            <w:pPr>
              <w:jc w:val="both"/>
              <w:rPr>
                <w:rFonts w:ascii="Arial" w:hAnsi="Arial" w:cs="Arial"/>
                <w:noProof/>
                <w:sz w:val="20"/>
                <w:szCs w:val="20"/>
              </w:rPr>
            </w:pPr>
            <w:r>
              <w:rPr>
                <w:rFonts w:ascii="Arial" w:hAnsi="Arial" w:cs="Arial"/>
                <w:noProof/>
                <w:sz w:val="20"/>
                <w:szCs w:val="20"/>
              </w:rPr>
              <w:t xml:space="preserve">The Commission will monitor the implementation of the legal proposal. An evaluation should be carried out five years after implementation. </w:t>
            </w:r>
          </w:p>
        </w:tc>
      </w:tr>
    </w:tbl>
    <w:p w:rsidR="00CF442B" w:rsidRDefault="00CF442B">
      <w:pPr>
        <w:jc w:val="center"/>
        <w:rPr>
          <w:noProof/>
        </w:rPr>
      </w:pPr>
    </w:p>
    <w:sectPr w:rsidR="00CF442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2B" w:rsidRDefault="00971F1C">
      <w:r>
        <w:separator/>
      </w:r>
    </w:p>
  </w:endnote>
  <w:endnote w:type="continuationSeparator" w:id="0">
    <w:p w:rsidR="00CF442B" w:rsidRDefault="0097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1C" w:rsidRPr="00971F1C" w:rsidRDefault="00971F1C" w:rsidP="00971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1C" w:rsidRPr="00971F1C" w:rsidRDefault="00971F1C" w:rsidP="00971F1C">
    <w:pPr>
      <w:pStyle w:val="FooterCoverPage"/>
      <w:rPr>
        <w:rFonts w:ascii="Arial" w:hAnsi="Arial" w:cs="Arial"/>
        <w:b/>
        <w:sz w:val="48"/>
      </w:rPr>
    </w:pPr>
    <w:r w:rsidRPr="00971F1C">
      <w:rPr>
        <w:rFonts w:ascii="Arial" w:hAnsi="Arial" w:cs="Arial"/>
        <w:b/>
        <w:sz w:val="48"/>
      </w:rPr>
      <w:t>EN</w:t>
    </w:r>
    <w:r w:rsidRPr="00971F1C">
      <w:rPr>
        <w:rFonts w:ascii="Arial" w:hAnsi="Arial" w:cs="Arial"/>
        <w:b/>
        <w:sz w:val="48"/>
      </w:rPr>
      <w:tab/>
    </w:r>
    <w:r w:rsidRPr="00971F1C">
      <w:rPr>
        <w:rFonts w:ascii="Arial" w:hAnsi="Arial" w:cs="Arial"/>
        <w:b/>
        <w:sz w:val="48"/>
      </w:rPr>
      <w:tab/>
    </w:r>
    <w:r w:rsidRPr="00971F1C">
      <w:tab/>
    </w:r>
    <w:r w:rsidRPr="00971F1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1C" w:rsidRPr="00971F1C" w:rsidRDefault="00971F1C" w:rsidP="00971F1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2B" w:rsidRDefault="00CF44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CF442B" w:rsidRDefault="00971F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2B" w:rsidRDefault="00CF4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2B" w:rsidRDefault="00971F1C">
      <w:r>
        <w:separator/>
      </w:r>
    </w:p>
  </w:footnote>
  <w:footnote w:type="continuationSeparator" w:id="0">
    <w:p w:rsidR="00CF442B" w:rsidRDefault="0097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1C" w:rsidRPr="00971F1C" w:rsidRDefault="00971F1C" w:rsidP="00971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1C" w:rsidRPr="00971F1C" w:rsidRDefault="00971F1C" w:rsidP="00971F1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1C" w:rsidRPr="00971F1C" w:rsidRDefault="00971F1C" w:rsidP="00971F1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2B" w:rsidRDefault="00CF44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2B" w:rsidRDefault="00CF44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2B" w:rsidRDefault="00CF4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D3317"/>
    <w:multiLevelType w:val="hybridMultilevel"/>
    <w:tmpl w:val="5B206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468580E-8A2E-47A4-93A9-93D223E96092"/>
    <w:docVar w:name="LW_COVERPAGE_TYPE" w:val="1"/>
    <w:docVar w:name="LW_CROSSREFERENCE" w:val="{COM(2018) 147 final}_x000d__x000a_{COM(2018) 148 final}_x000a_{SWD(2018) 81 final}"/>
    <w:docVar w:name="LW_DocType" w:val="NORMAL"/>
    <w:docVar w:name="LW_EMISSION" w:val="21.3.2018"/>
    <w:docVar w:name="LW_EMISSION_ISODATE" w:val="2018-03-21"/>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_x000b_Proposal for a Council Directive laying down rules relating to the corporate taxation of a significant digital presence_x000b__x000b_Proposal for a Council Directive on the common system of a digital services tax on revenues resulting from the provision of certain digital services"/>
  </w:docVars>
  <w:rsids>
    <w:rsidRoot w:val="00CF442B"/>
    <w:rsid w:val="00971F1C"/>
    <w:rsid w:val="00CF44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2">
    <w:name w:val="Text 2"/>
    <w:basedOn w:val="Normal"/>
    <w:pPr>
      <w:tabs>
        <w:tab w:val="left" w:pos="2302"/>
      </w:tabs>
      <w:spacing w:after="240"/>
      <w:ind w:left="1202"/>
      <w:jc w:val="both"/>
    </w:pPr>
    <w:rPr>
      <w:szCs w:val="20"/>
      <w:lang w:eastAsia="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2">
    <w:name w:val="Text 2"/>
    <w:basedOn w:val="Normal"/>
    <w:pPr>
      <w:tabs>
        <w:tab w:val="left" w:pos="2302"/>
      </w:tabs>
      <w:spacing w:after="240"/>
      <w:ind w:left="1202"/>
      <w:jc w:val="both"/>
    </w:pPr>
    <w:rPr>
      <w:szCs w:val="20"/>
      <w:lang w:eastAsia="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sharepoint/v3"/>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4685</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dcterms:created xsi:type="dcterms:W3CDTF">2018-03-16T14:36:00Z</dcterms:created>
  <dcterms:modified xsi:type="dcterms:W3CDTF">2018-03-21T15:33:00Z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