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77" w:rsidRDefault="001F0353" w:rsidP="001F0353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1B3D8085-A7F8-4C8A-BAC7-489C0E39CBD1" style="width:450.75pt;height:431.25pt">
            <v:imagedata r:id="rId11" o:title=""/>
          </v:shape>
        </w:pict>
      </w:r>
    </w:p>
    <w:bookmarkEnd w:id="0"/>
    <w:p w:rsidR="008E6A77" w:rsidRDefault="008E6A77">
      <w:pPr>
        <w:pStyle w:val="Pagedecouverture"/>
        <w:rPr>
          <w:noProof/>
        </w:rPr>
        <w:sectPr w:rsidR="008E6A77" w:rsidSect="001F035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8E6A77"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 w:rsidR="008E6A77" w:rsidRDefault="001F0353"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Tahoma" w:hAnsi="Tahoma"/>
                <w:b/>
                <w:noProof/>
                <w:sz w:val="22"/>
              </w:rPr>
              <w:lastRenderedPageBreak/>
              <w:t>Обобщение</w:t>
            </w:r>
          </w:p>
        </w:tc>
      </w:tr>
      <w:tr w:rsidR="008E6A77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8E6A77" w:rsidRDefault="001F0353">
            <w:pPr>
              <w:spacing w:before="120" w:after="120"/>
              <w:jc w:val="both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color w:val="FFFFFF" w:themeColor="background1"/>
                <w:sz w:val="20"/>
              </w:rPr>
              <w:t>Оценка на въздействието на справедливото данъчно облагане на цифровата икономика</w:t>
            </w:r>
          </w:p>
        </w:tc>
      </w:tr>
      <w:tr w:rsidR="008E6A77"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 w:rsidR="008E6A77" w:rsidRDefault="001F0353"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A. Необходимост от действия</w:t>
            </w:r>
          </w:p>
        </w:tc>
      </w:tr>
      <w:tr w:rsidR="008E6A77">
        <w:tc>
          <w:tcPr>
            <w:tcW w:w="10188" w:type="dxa"/>
            <w:tcBorders>
              <w:bottom w:val="single" w:sz="4" w:space="0" w:color="auto"/>
            </w:tcBorders>
            <w:shd w:val="clear" w:color="auto" w:fill="E0E0E0"/>
          </w:tcPr>
          <w:p w:rsidR="008E6A77" w:rsidRDefault="001F0353"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Защо? Какъв е разглежданият проблем? </w:t>
            </w:r>
          </w:p>
        </w:tc>
      </w:tr>
      <w:tr w:rsidR="008E6A77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8E6A77" w:rsidRDefault="001F0353"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Корпоративното данъчно облагане цели печалбата да се облага там, където се създава стойността, но действащата международна данъчна уредба е пригодена за традиционната икономика. Тя не е в състояние да осмисли новите начини за създаване на стойност в цифров</w:t>
            </w:r>
            <w:r>
              <w:rPr>
                <w:noProof/>
                <w:sz w:val="20"/>
              </w:rPr>
              <w:t xml:space="preserve">ата икономика, които изискват по-малко физическо присъствие и при които съществени роли играят приносът на потребителите и нематериалните активи. От това страдат държавните бюджети и социалната справедливост. В отговор на горепосоченото все повече държави </w:t>
            </w:r>
            <w:r>
              <w:rPr>
                <w:noProof/>
                <w:sz w:val="20"/>
              </w:rPr>
              <w:t xml:space="preserve">членки предприемат едностранни мерки, а това поражда риск от разпокъсване на единния пазар. </w:t>
            </w:r>
          </w:p>
        </w:tc>
      </w:tr>
      <w:tr w:rsidR="008E6A77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8E6A77" w:rsidRDefault="001F0353"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Какво се очаква да бъде постигнато с настоящата инициатива? </w:t>
            </w:r>
          </w:p>
        </w:tc>
      </w:tr>
      <w:tr w:rsidR="008E6A77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8E6A77" w:rsidRDefault="001F0353"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На първо място, от инициативата се очаква да защити целостта и правилното функциониране на единния п</w:t>
            </w:r>
            <w:r>
              <w:rPr>
                <w:noProof/>
                <w:sz w:val="20"/>
              </w:rPr>
              <w:t>азар. На второ място, тя цели да гарантира, че финансите на държавите членки ще останат устойчиви и че националните основи за облагане с корпоративен данък няма да бъдат подронени от цифровизацията. На трето място, тя ще допринесе за съхраняване на социалн</w:t>
            </w:r>
            <w:r>
              <w:rPr>
                <w:noProof/>
                <w:sz w:val="20"/>
              </w:rPr>
              <w:t>ата справедливост и за осигуряване на равнопоставени условия за всички предприятия.</w:t>
            </w:r>
          </w:p>
        </w:tc>
      </w:tr>
      <w:tr w:rsidR="008E6A77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8E6A77" w:rsidRDefault="001F0353"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Каква е добавената стойност от действие на равнището на ЕС?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 w:rsidR="008E6A77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8E6A77" w:rsidRDefault="001F0353"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Тъй като проблемът е в международното разпределение на правата за данъчно облагане, той не може да бъде разрешен в пълна степен на равнището на държавите членки. Освен това действието на равнището на ЕС ще предотврати разпокъсването на единния пазар, новит</w:t>
            </w:r>
            <w:r>
              <w:rPr>
                <w:noProof/>
                <w:sz w:val="20"/>
              </w:rPr>
              <w:t xml:space="preserve">е пречки пред предприятията или потенциалните вратички, които биха могли да се появят в резултат от некоординираните действия на отделните държави членки.  </w:t>
            </w:r>
          </w:p>
        </w:tc>
      </w:tr>
      <w:tr w:rsidR="008E6A77"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 w:rsidR="008E6A77" w:rsidRDefault="001F0353"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Б. Решения</w:t>
            </w:r>
          </w:p>
        </w:tc>
      </w:tr>
      <w:tr w:rsidR="008E6A77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8E6A77" w:rsidRDefault="001F0353"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Какви законодателни и незаконодателни варианти на политиката са разгледани? Има ли </w:t>
            </w:r>
            <w:r>
              <w:rPr>
                <w:rFonts w:ascii="Tahoma" w:hAnsi="Tahoma"/>
                <w:b/>
                <w:noProof/>
                <w:sz w:val="20"/>
              </w:rPr>
              <w:t>предпочитан вариант? Защо?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 w:rsidR="008E6A77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8E6A77" w:rsidRDefault="001F0353">
            <w:pPr>
              <w:pStyle w:val="Default"/>
              <w:jc w:val="both"/>
              <w:rPr>
                <w:noProof/>
                <w:sz w:val="20"/>
                <w:szCs w:val="20"/>
                <w:u w:val="single"/>
              </w:rPr>
            </w:pPr>
            <w:r>
              <w:rPr>
                <w:noProof/>
                <w:sz w:val="20"/>
              </w:rPr>
              <w:t xml:space="preserve">На първо място се разглежда комплексно решение. Основните варианти: </w:t>
            </w:r>
          </w:p>
          <w:p w:rsidR="008E6A77" w:rsidRDefault="001F0353">
            <w:pPr>
              <w:pStyle w:val="Default"/>
              <w:ind w:left="284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u w:val="single"/>
              </w:rPr>
              <w:t>Вариант 1</w:t>
            </w:r>
            <w:r>
              <w:rPr>
                <w:noProof/>
              </w:rPr>
              <w:t>:</w:t>
            </w:r>
            <w:r>
              <w:rPr>
                <w:noProof/>
                <w:sz w:val="20"/>
              </w:rPr>
              <w:t xml:space="preserve"> Да се променят правилата за общата консолидирана основа за облагане с корпоративен данък (ОКООКД). </w:t>
            </w:r>
          </w:p>
          <w:p w:rsidR="008E6A77" w:rsidRDefault="001F0353">
            <w:pPr>
              <w:pStyle w:val="Default"/>
              <w:ind w:left="284"/>
              <w:jc w:val="both"/>
              <w:rPr>
                <w:noProof/>
                <w:sz w:val="20"/>
                <w:szCs w:val="20"/>
                <w:u w:val="single"/>
              </w:rPr>
            </w:pPr>
            <w:r>
              <w:rPr>
                <w:noProof/>
                <w:u w:val="single"/>
              </w:rPr>
              <w:t>Вариант 2</w:t>
            </w:r>
            <w:r>
              <w:rPr>
                <w:noProof/>
              </w:rPr>
              <w:t>:</w:t>
            </w:r>
            <w:r>
              <w:rPr>
                <w:rFonts w:eastAsiaTheme="minorHAnsi"/>
                <w:noProof/>
                <w:sz w:val="20"/>
              </w:rPr>
              <w:t xml:space="preserve"> Директива относно цифровото място на</w:t>
            </w:r>
            <w:r>
              <w:rPr>
                <w:rFonts w:eastAsiaTheme="minorHAnsi"/>
                <w:noProof/>
                <w:sz w:val="20"/>
              </w:rPr>
              <w:t xml:space="preserve"> стопанска дейност и принципите за отнасяне на печалбата, с корекции на ОКООКД.  </w:t>
            </w:r>
          </w:p>
          <w:p w:rsidR="008E6A77" w:rsidRDefault="001F0353">
            <w:pPr>
              <w:pStyle w:val="Default"/>
              <w:ind w:left="284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u w:val="single"/>
              </w:rPr>
              <w:t>Вариант 3 (предпочитан)</w:t>
            </w:r>
            <w:r>
              <w:rPr>
                <w:noProof/>
              </w:rPr>
              <w:t>:</w:t>
            </w:r>
            <w:r>
              <w:rPr>
                <w:rFonts w:eastAsiaTheme="minorHAnsi"/>
                <w:noProof/>
                <w:sz w:val="20"/>
              </w:rPr>
              <w:t xml:space="preserve"> Вариант 2 плюс препоръка за промяна на правилата спрямо трети държави. </w:t>
            </w:r>
          </w:p>
          <w:p w:rsidR="008E6A77" w:rsidRDefault="001F0353"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На второ място, тъй като реформата на правилата за корпоративното данъчно обл</w:t>
            </w:r>
            <w:r>
              <w:rPr>
                <w:noProof/>
                <w:sz w:val="20"/>
              </w:rPr>
              <w:t xml:space="preserve">агане ще отнеме известно време и с цел да се предотврати приемането на едностранни мерки от страна на държавите членки, се разглежда и </w:t>
            </w:r>
            <w:r>
              <w:rPr>
                <w:b/>
                <w:noProof/>
                <w:sz w:val="20"/>
              </w:rPr>
              <w:t>временно</w:t>
            </w:r>
            <w:r>
              <w:rPr>
                <w:noProof/>
                <w:sz w:val="20"/>
              </w:rPr>
              <w:t xml:space="preserve"> решение. Предпочитаното временно решение е Директива относно обща система на данък върху някои цифрови услуги.  </w:t>
            </w:r>
          </w:p>
        </w:tc>
      </w:tr>
      <w:tr w:rsidR="008E6A77">
        <w:tc>
          <w:tcPr>
            <w:tcW w:w="10188" w:type="dxa"/>
            <w:shd w:val="clear" w:color="auto" w:fill="CCCCCC"/>
          </w:tcPr>
          <w:p w:rsidR="008E6A77" w:rsidRDefault="001F0353"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Кой подкрепя отделните варианти?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 w:rsidR="008E6A77">
        <w:trPr>
          <w:trHeight w:val="862"/>
        </w:trPr>
        <w:tc>
          <w:tcPr>
            <w:tcW w:w="10188" w:type="dxa"/>
            <w:shd w:val="clear" w:color="auto" w:fill="auto"/>
          </w:tcPr>
          <w:p w:rsidR="008E6A77" w:rsidRDefault="001F0353"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u w:val="single"/>
              </w:rPr>
              <w:t>Комплексно решение:</w:t>
            </w:r>
            <w:r>
              <w:rPr>
                <w:noProof/>
                <w:sz w:val="20"/>
              </w:rPr>
              <w:t xml:space="preserve"> 14 от 21 национални данъчни администрации и 58 % от 446-те респонденти на откритата обществена консултация смятат, че комплексното решение може най-добре да разреши текущите проблеми. </w:t>
            </w:r>
          </w:p>
          <w:p w:rsidR="008E6A77" w:rsidRDefault="001F0353">
            <w:pPr>
              <w:pStyle w:val="Default"/>
              <w:jc w:val="both"/>
              <w:rPr>
                <w:noProof/>
                <w:sz w:val="20"/>
              </w:rPr>
            </w:pPr>
            <w:r>
              <w:rPr>
                <w:i/>
                <w:noProof/>
                <w:sz w:val="20"/>
                <w:u w:val="single"/>
              </w:rPr>
              <w:t xml:space="preserve">Временно </w:t>
            </w:r>
            <w:r>
              <w:rPr>
                <w:i/>
                <w:noProof/>
                <w:sz w:val="20"/>
                <w:u w:val="single"/>
              </w:rPr>
              <w:t>решение:</w:t>
            </w:r>
            <w:r>
              <w:rPr>
                <w:noProof/>
                <w:sz w:val="20"/>
              </w:rPr>
              <w:t xml:space="preserve"> 10 от 21 национални данъчни администрации и 53 % от респондентите на откритата обществена консултация смятат, че текущите проблеми може да се разрешат най-добре с помощта на „данък върху приходите от някои цифрови услуги“.</w:t>
            </w:r>
          </w:p>
        </w:tc>
      </w:tr>
      <w:tr w:rsidR="008E6A77"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 w:rsidR="008E6A77" w:rsidRDefault="001F0353">
            <w:pPr>
              <w:spacing w:before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В. Въздействие на предп</w:t>
            </w:r>
            <w:r>
              <w:rPr>
                <w:rFonts w:ascii="Tahoma" w:hAnsi="Tahoma"/>
                <w:b/>
                <w:noProof/>
                <w:sz w:val="22"/>
              </w:rPr>
              <w:t>очитаните варианти</w:t>
            </w:r>
          </w:p>
        </w:tc>
      </w:tr>
      <w:tr w:rsidR="008E6A77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8E6A77" w:rsidRDefault="001F0353"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са ползите от предпочитания вариант (ако има такъв; в противен случай — от основните варианти)?</w:t>
            </w:r>
            <w:r>
              <w:rPr>
                <w:rFonts w:ascii="Tahoma" w:hAnsi="Tahoma"/>
                <w:noProof/>
                <w:sz w:val="20"/>
              </w:rPr>
              <w:t xml:space="preserve">                                      </w:t>
            </w:r>
          </w:p>
        </w:tc>
      </w:tr>
      <w:tr w:rsidR="008E6A77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8E6A77" w:rsidRDefault="001F0353"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u w:val="single"/>
              </w:rPr>
              <w:t>Комплексно решение</w:t>
            </w:r>
            <w:r>
              <w:rPr>
                <w:i/>
                <w:noProof/>
                <w:sz w:val="20"/>
              </w:rPr>
              <w:t xml:space="preserve">: </w:t>
            </w:r>
            <w:r>
              <w:rPr>
                <w:noProof/>
                <w:sz w:val="20"/>
              </w:rPr>
              <w:t xml:space="preserve">Решението ще засили усещането на </w:t>
            </w:r>
            <w:r>
              <w:rPr>
                <w:b/>
                <w:noProof/>
                <w:sz w:val="20"/>
              </w:rPr>
              <w:t>гражданите</w:t>
            </w:r>
            <w:r>
              <w:rPr>
                <w:noProof/>
                <w:sz w:val="20"/>
              </w:rPr>
              <w:t xml:space="preserve"> за наличие на справедливост, като гарантира, че големите дружества със значителни цифрови дейности ще заплащат своя дял от данъци в ЕС. </w:t>
            </w:r>
            <w:r>
              <w:rPr>
                <w:b/>
                <w:noProof/>
                <w:sz w:val="20"/>
              </w:rPr>
              <w:t>Предприятията</w:t>
            </w:r>
            <w:r>
              <w:rPr>
                <w:noProof/>
                <w:sz w:val="20"/>
              </w:rPr>
              <w:t xml:space="preserve"> ще се радват на по-равнопоставени условия, тъй като преразглеждането на правилата ще отстрани нарушенията</w:t>
            </w:r>
            <w:r>
              <w:rPr>
                <w:noProof/>
                <w:sz w:val="20"/>
              </w:rPr>
              <w:t xml:space="preserve"> на конкуренцията. Ползата за </w:t>
            </w:r>
            <w:r>
              <w:rPr>
                <w:b/>
                <w:noProof/>
                <w:sz w:val="20"/>
              </w:rPr>
              <w:t>националните данъчни администрации</w:t>
            </w:r>
            <w:r>
              <w:rPr>
                <w:noProof/>
                <w:sz w:val="20"/>
              </w:rPr>
              <w:t xml:space="preserve"> ще се изрази в положително въздействие върху публичните финанси, тъй като решението ще спомогне за постигане на дългосрочна устойчивост на системата на корпоративното </w:t>
            </w:r>
            <w:r>
              <w:rPr>
                <w:noProof/>
                <w:sz w:val="20"/>
              </w:rPr>
              <w:lastRenderedPageBreak/>
              <w:t xml:space="preserve">данъчно облагане. </w:t>
            </w:r>
          </w:p>
          <w:p w:rsidR="008E6A77" w:rsidRDefault="001F0353">
            <w:pPr>
              <w:pStyle w:val="Default"/>
              <w:jc w:val="both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u w:val="single"/>
              </w:rPr>
              <w:t>Време</w:t>
            </w:r>
            <w:r>
              <w:rPr>
                <w:i/>
                <w:noProof/>
                <w:u w:val="single"/>
              </w:rPr>
              <w:t>нно решение</w:t>
            </w:r>
            <w:r>
              <w:rPr>
                <w:noProof/>
              </w:rPr>
              <w:t>:</w:t>
            </w:r>
            <w:r>
              <w:rPr>
                <w:i/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>То ще засили усещането на гражданите за наличие на справедливост, като гарантира минимално равнище на облагане в ЕС за дружествата, които са най-силно зависими от участието и данните на потребителите. Като предотврати разпокъсването на единния</w:t>
            </w:r>
            <w:r>
              <w:rPr>
                <w:noProof/>
                <w:sz w:val="20"/>
              </w:rPr>
              <w:t xml:space="preserve"> пазар, то ще осигури стабилна данъчна уредба за предприятията, осъществяващи дейност в ЕС. </w:t>
            </w:r>
          </w:p>
        </w:tc>
      </w:tr>
      <w:tr w:rsidR="008E6A77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8E6A77" w:rsidRDefault="001F0353"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lastRenderedPageBreak/>
              <w:t>Какви са разходите за предпочитания вариант (ако има такъв, в противен случай — за основните варианти)?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 w:rsidR="008E6A77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8E6A77" w:rsidRDefault="001F0353"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  <w:u w:val="single"/>
              </w:rPr>
              <w:t>Комплексно решение</w:t>
            </w:r>
            <w:r>
              <w:rPr>
                <w:i/>
                <w:noProof/>
                <w:sz w:val="20"/>
              </w:rPr>
              <w:t xml:space="preserve">: </w:t>
            </w:r>
            <w:r>
              <w:rPr>
                <w:noProof/>
                <w:sz w:val="20"/>
              </w:rPr>
              <w:t>Мярката ще увеличи регулаторната теж</w:t>
            </w:r>
            <w:r>
              <w:rPr>
                <w:noProof/>
                <w:sz w:val="20"/>
              </w:rPr>
              <w:t xml:space="preserve">ест и тежестта, свързана със спазването на изискванията, за всички </w:t>
            </w:r>
            <w:r>
              <w:rPr>
                <w:b/>
                <w:noProof/>
                <w:sz w:val="20"/>
              </w:rPr>
              <w:t>предприятия</w:t>
            </w:r>
            <w:r>
              <w:rPr>
                <w:noProof/>
                <w:sz w:val="20"/>
              </w:rPr>
              <w:t xml:space="preserve">, които попадат в обхвата на решението. </w:t>
            </w:r>
            <w:r>
              <w:rPr>
                <w:b/>
                <w:noProof/>
                <w:sz w:val="20"/>
              </w:rPr>
              <w:t>Националните данъчни администрации</w:t>
            </w:r>
            <w:r>
              <w:rPr>
                <w:noProof/>
                <w:sz w:val="20"/>
              </w:rPr>
              <w:t xml:space="preserve"> също ще понесат разходи за привеждане в действие на новата система, най-вече за информационни технологи</w:t>
            </w:r>
            <w:r>
              <w:rPr>
                <w:noProof/>
                <w:sz w:val="20"/>
              </w:rPr>
              <w:t xml:space="preserve">и и обучение на персонала. </w:t>
            </w:r>
          </w:p>
          <w:p w:rsidR="008E6A77" w:rsidRDefault="001F0353">
            <w:pPr>
              <w:pStyle w:val="Default"/>
              <w:jc w:val="both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u w:val="single"/>
              </w:rPr>
              <w:t>Временно решение</w:t>
            </w:r>
            <w:r>
              <w:rPr>
                <w:noProof/>
              </w:rPr>
              <w:t>:</w:t>
            </w:r>
            <w:r>
              <w:rPr>
                <w:i/>
                <w:noProof/>
                <w:sz w:val="20"/>
              </w:rPr>
              <w:t xml:space="preserve"> </w:t>
            </w:r>
            <w:r>
              <w:rPr>
                <w:b/>
                <w:noProof/>
              </w:rPr>
              <w:t>Големите предприятия</w:t>
            </w:r>
            <w:r>
              <w:rPr>
                <w:noProof/>
              </w:rPr>
              <w:t>, които надвишават праговете, ще бъдат изправени пред допълнителни изисквания за отчетност, за да могат да изчисляват своята данъчна основа в държавите членки, в които осъществяват дейност.</w:t>
            </w:r>
            <w:r>
              <w:rPr>
                <w:noProof/>
                <w:sz w:val="20"/>
              </w:rPr>
              <w:t xml:space="preserve"> </w:t>
            </w:r>
            <w:r>
              <w:rPr>
                <w:b/>
                <w:noProof/>
                <w:sz w:val="20"/>
              </w:rPr>
              <w:t>Националните данъчни администрации</w:t>
            </w:r>
            <w:r>
              <w:rPr>
                <w:noProof/>
                <w:sz w:val="20"/>
              </w:rPr>
              <w:t xml:space="preserve"> също ще понесат първоначални разходи за привеждане в действие на новата система, най-вече за информационни технологии и обучение на персонала. </w:t>
            </w:r>
          </w:p>
        </w:tc>
      </w:tr>
      <w:tr w:rsidR="008E6A77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8E6A77" w:rsidRDefault="001F0353"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Какви ще са последиците за предприятията, МСП и микропредприятията? </w:t>
            </w:r>
          </w:p>
        </w:tc>
      </w:tr>
      <w:tr w:rsidR="008E6A77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8E6A77" w:rsidRDefault="001F0353">
            <w:pPr>
              <w:spacing w:before="6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sz w:val="20"/>
                <w:u w:val="single"/>
              </w:rPr>
              <w:t>Комплексно решение</w:t>
            </w:r>
            <w:r>
              <w:rPr>
                <w:rFonts w:ascii="Arial" w:hAnsi="Arial"/>
                <w:noProof/>
                <w:sz w:val="20"/>
              </w:rPr>
              <w:t xml:space="preserve">: мярката ще възстанови равнопоставените условия между мултинационалните дружества и по-малките дружества, които често са по-слабо цифровизирани и с по-слаба презгранична дейност. Полза от това ще имат МСП и микропредприятията. Мярката би могла да увеличи </w:t>
            </w:r>
            <w:r>
              <w:rPr>
                <w:rFonts w:ascii="Arial" w:hAnsi="Arial"/>
                <w:noProof/>
                <w:sz w:val="20"/>
              </w:rPr>
              <w:t xml:space="preserve">регулаторната тежест и тежестта, свързана със спазването на изискванията, отрицателното въздействие от които може да бъде по-силно за презграничните МСП. </w:t>
            </w:r>
          </w:p>
          <w:p w:rsidR="008E6A77" w:rsidRDefault="001F0353">
            <w:pPr>
              <w:spacing w:before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noProof/>
                <w:sz w:val="20"/>
                <w:u w:val="single"/>
              </w:rPr>
              <w:t>Временно решение</w:t>
            </w:r>
            <w:r>
              <w:rPr>
                <w:rFonts w:ascii="Arial" w:hAnsi="Arial"/>
                <w:noProof/>
                <w:sz w:val="20"/>
              </w:rPr>
              <w:t xml:space="preserve">: МСП няма да бъдат засегнати, тъй като техните приходи не биха достигнали прага. </w:t>
            </w:r>
          </w:p>
        </w:tc>
      </w:tr>
      <w:tr w:rsidR="008E6A77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8E6A77" w:rsidRDefault="001F0353">
            <w:pPr>
              <w:spacing w:before="60"/>
              <w:jc w:val="both"/>
              <w:rPr>
                <w:rFonts w:ascii="Tahoma" w:hAnsi="Tahoma" w:cs="Tahoma"/>
                <w:b/>
                <w:i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Щ</w:t>
            </w:r>
            <w:r>
              <w:rPr>
                <w:rFonts w:ascii="Tahoma" w:hAnsi="Tahoma"/>
                <w:b/>
                <w:noProof/>
                <w:sz w:val="20"/>
              </w:rPr>
              <w:t>е има ли значително въздействие върху националните бюджети и администрации?</w:t>
            </w:r>
          </w:p>
        </w:tc>
      </w:tr>
      <w:tr w:rsidR="008E6A77">
        <w:tc>
          <w:tcPr>
            <w:tcW w:w="10188" w:type="dxa"/>
            <w:shd w:val="clear" w:color="auto" w:fill="auto"/>
          </w:tcPr>
          <w:p w:rsidR="008E6A77" w:rsidRDefault="001F0353"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Комплексното решение ще спомогне за постигане на дългосрочна устойчивост на системата за корпоративно данъчно облагане и за по-справедливо разпределение на приходите от данъци. Бл</w:t>
            </w:r>
            <w:r>
              <w:rPr>
                <w:noProof/>
                <w:sz w:val="20"/>
              </w:rPr>
              <w:t xml:space="preserve">агодарение на временното решение в националните бюджети могат да постъпят допълнителни приходи, макар да се очаква допълнителните приходи от данъка да са по-скоро скромни, предвид на тесния обхват и прилагането на прагове. </w:t>
            </w:r>
          </w:p>
        </w:tc>
      </w:tr>
      <w:tr w:rsidR="008E6A77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8E6A77" w:rsidRDefault="001F0353"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Ще има ли друго значително възд</w:t>
            </w:r>
            <w:r>
              <w:rPr>
                <w:rFonts w:ascii="Tahoma" w:hAnsi="Tahoma"/>
                <w:b/>
                <w:noProof/>
                <w:sz w:val="20"/>
              </w:rPr>
              <w:t>ействие?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 w:rsidR="008E6A77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8E6A77" w:rsidRDefault="001F0353">
            <w:pPr>
              <w:pStyle w:val="Default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Очаква се предложението да представи виждането на ЕС, което да послужи за пример и да повлияе на международните обсъждания. </w:t>
            </w:r>
          </w:p>
        </w:tc>
      </w:tr>
      <w:tr w:rsidR="008E6A77">
        <w:tc>
          <w:tcPr>
            <w:tcW w:w="10188" w:type="dxa"/>
            <w:tcBorders>
              <w:bottom w:val="single" w:sz="4" w:space="0" w:color="auto"/>
            </w:tcBorders>
            <w:shd w:val="clear" w:color="auto" w:fill="C0C0C0"/>
          </w:tcPr>
          <w:p w:rsidR="008E6A77" w:rsidRDefault="001F0353">
            <w:pPr>
              <w:spacing w:before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Г. Последващи действия</w:t>
            </w:r>
          </w:p>
        </w:tc>
      </w:tr>
      <w:tr w:rsidR="008E6A77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8E6A77" w:rsidRDefault="001F0353"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Кога ще се извърши преглед на политиката? </w:t>
            </w:r>
          </w:p>
        </w:tc>
      </w:tr>
      <w:tr w:rsidR="008E6A77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8E6A77" w:rsidRDefault="001F0353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Комисията ще наблюдава изпълнението на законодателното предложение. Пет години след привеждането в действие следва да бъде извършена оценка. </w:t>
            </w:r>
          </w:p>
        </w:tc>
      </w:tr>
    </w:tbl>
    <w:p w:rsidR="008E6A77" w:rsidRDefault="008E6A77">
      <w:pPr>
        <w:jc w:val="center"/>
        <w:rPr>
          <w:noProof/>
        </w:rPr>
      </w:pPr>
    </w:p>
    <w:sectPr w:rsidR="008E6A7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A77" w:rsidRDefault="001F0353">
      <w:r>
        <w:separator/>
      </w:r>
    </w:p>
  </w:endnote>
  <w:endnote w:type="continuationSeparator" w:id="0">
    <w:p w:rsidR="008E6A77" w:rsidRDefault="001F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353" w:rsidRPr="001F0353" w:rsidRDefault="001F0353" w:rsidP="001F03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353" w:rsidRPr="001F0353" w:rsidRDefault="001F0353" w:rsidP="001F0353">
    <w:pPr>
      <w:pStyle w:val="FooterCoverPage"/>
      <w:rPr>
        <w:rFonts w:ascii="Arial" w:hAnsi="Arial" w:cs="Arial"/>
        <w:b/>
        <w:sz w:val="48"/>
      </w:rPr>
    </w:pPr>
    <w:r w:rsidRPr="001F0353">
      <w:rPr>
        <w:rFonts w:ascii="Arial" w:hAnsi="Arial" w:cs="Arial"/>
        <w:b/>
        <w:sz w:val="48"/>
      </w:rPr>
      <w:t>BG</w:t>
    </w:r>
    <w:r w:rsidRPr="001F0353">
      <w:rPr>
        <w:rFonts w:ascii="Arial" w:hAnsi="Arial" w:cs="Arial"/>
        <w:b/>
        <w:sz w:val="48"/>
      </w:rPr>
      <w:tab/>
    </w:r>
    <w:r w:rsidRPr="001F0353">
      <w:rPr>
        <w:rFonts w:ascii="Arial" w:hAnsi="Arial" w:cs="Arial"/>
        <w:b/>
        <w:sz w:val="48"/>
      </w:rPr>
      <w:tab/>
    </w:r>
    <w:r w:rsidRPr="001F0353">
      <w:tab/>
    </w:r>
    <w:r w:rsidRPr="001F0353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353" w:rsidRPr="001F0353" w:rsidRDefault="001F0353" w:rsidP="001F0353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77" w:rsidRDefault="008E6A77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775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6A77" w:rsidRDefault="001F03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77" w:rsidRDefault="008E6A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A77" w:rsidRDefault="001F0353">
      <w:r>
        <w:separator/>
      </w:r>
    </w:p>
  </w:footnote>
  <w:footnote w:type="continuationSeparator" w:id="0">
    <w:p w:rsidR="008E6A77" w:rsidRDefault="001F0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353" w:rsidRPr="001F0353" w:rsidRDefault="001F0353" w:rsidP="001F03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353" w:rsidRPr="001F0353" w:rsidRDefault="001F0353" w:rsidP="001F0353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353" w:rsidRPr="001F0353" w:rsidRDefault="001F0353" w:rsidP="001F0353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77" w:rsidRDefault="008E6A7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77" w:rsidRDefault="008E6A7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77" w:rsidRDefault="008E6A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D3317"/>
    <w:multiLevelType w:val="hybridMultilevel"/>
    <w:tmpl w:val="5B2066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7?\u1088?\u1080?\u1076?\u1088?\u1091?\u1078?\u1072?\u1074?\u1072?\u1097?"/>
    <w:docVar w:name="LW_CORRIGENDUM" w:val="&lt;UNUSED&gt;"/>
    <w:docVar w:name="LW_COVERPAGE_EXISTS" w:val="True"/>
    <w:docVar w:name="LW_COVERPAGE_GUID" w:val="1B3D8085-A7F8-4C8A-BAC7-489C0E39CBD1"/>
    <w:docVar w:name="LW_COVERPAGE_TYPE" w:val="1"/>
    <w:docVar w:name="LW_CROSSREFERENCE" w:val="{COM(2018) 147 final}_x000d__x000a_{COM(2018) 148 final}_x000a_{SWD(2018) 81 final}"/>
    <w:docVar w:name="LW_DocType" w:val="NORMAL"/>
    <w:docVar w:name="LW_EMISSION" w:val="21.3.2018"/>
    <w:docVar w:name="LW_EMISSION_ISODATE" w:val="2018-03-21"/>
    <w:docVar w:name="LW_EMISSION_LOCATION" w:val="BRX"/>
    <w:docVar w:name="LW_EMISSION_PREFIX" w:val="\u1041?\u1088?\u1102?\u1082?\u1089?\u1077?\u1083?,"/>
    <w:docVar w:name="LW_EMISSION_SUFFIX" w:val="\u1075?."/>
    <w:docVar w:name="LW_ID_DOCTYPE_NONLW" w:val="CP-02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SWD"/>
    <w:docVar w:name="LW_REF.INST.NEW_ADOPTED" w:val="final"/>
    <w:docVar w:name="LW_REF.INST.NEW_TEXT" w:val="(2018) 8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\u1056?\u1040?\u1041?\u1054?\u1058?\u1045?\u1053? \u1044?\u1054?\u1050?\u1059?\u1052?\u1045?\u1053?\u1058? \u1053?\u1040? \u1057?\u1051?\u1059?\u1046?\u1041?\u1048?\u1058?\u1045? \u1053?\u1040? \u1050?\u1054?\u1052?\u1048?\u1057?\u1048?\u1071?\u1058?\u1040?_x000b__x000b_\u1054?\u1041?\u1054?\u1041?\u1065?\u1045?\u1053?\u1040? \u1054?\u1062?\u1045?\u1053?\u1050?\u1040? \u1053?\u1040? \u1042?\u1066?\u1047?\u1044?\u1045?\u1049?\u1057?\u1058?\u1042?\u1048?\u1045?\u1058?\u1054?_x000b_"/>
    <w:docVar w:name="LW_TYPEACTEPRINCIPAL.CP" w:val="_x000b_\u1055?\u1088?\u1077?\u1076?\u1083?\u1086?\u1078?\u1077?\u1085?\u1080?\u1077? \u1079?\u1072? \u1044?\u1080?\u1088?\u1077?\u1082?\u1090?\u1080?\u1074?\u1072? \u1085?\u1072? \u1057?\u1098?\u1074?\u1077?\u1090?\u1072? \u1079?\u1072? \u1086?\u1087?\u1088?\u1077?\u1076?\u1077?\u1083?\u1103?\u1085?\u1077? \u1085?\u1072? \u1087?\u1088?\u1072?\u1074?\u1080?\u1083?\u1072?\u1090?\u1072? \u1086?\u1090?\u1085?\u1086?\u1089?\u1085?\u1086? \u1082?\u1086?\u1088?\u1087?\u1086?\u1088?\u1072?\u1090?\u1080?\u1074?\u1085?\u1086?\u1090?\u1086? \u1076?\u1072?\u1085?\u1098?\u1095?\u1085?\u1086? \u1086?\u1073?\u1083?\u1072?\u1075?\u1072?\u1085?\u1077? \u1085?\u1072? \u1079?\u1085?\u1072?\u1095?\u1080?\u1090?\u1077?\u1083?\u1085?\u1086? \u1094?\u1080?\u1092?\u1088?\u1086?\u1074?\u1086? \u1087?\u1088?\u1080?\u1089?\u1098?\u1089?\u1090?\u1074?\u1080?\u1077?_x000b__x000b_\u1055?\u1088?\u1077?\u1076?\u1083?\u1086?\u1078?\u1077?\u1085?\u1080?\u1077? \u1079?\u1072? \u1044?\u1080?\u1088?\u1077?\u1082?\u1090?\u1080?\u1074?\u1072? \u1085?\u1072? \u1057?\u1098?\u1074?\u1077?\u1090?\u1072? \u1086?\u1090?\u1085?\u1086?\u1089?\u1085?\u1086? \u1086?\u1073?\u1097?\u1072?\u1090?\u1072? \u1089?\u1080?\u1089?\u1090?\u1077?\u1084?\u1072? \u1085?\u1072? \u1076?\u1072?\u1085?\u1098?\u1082? \u1074?\u1098?\u1088?\u1093?\u1091? \u1094?\u1080?\u1092?\u1088?\u1086?\u1074?\u1080?\u1090?\u1077? \u1091?\u1089?\u1083?\u1091?\u1075?\u1080?, \u1085?\u1072?\u1095?\u1080?\u1089?\u1083?\u1103?\u1074?\u1072?\u1085? \u1074?\u1098?\u1088?\u1093?\u1091? \u1087?\u1088?\u1080?\u1093?\u1086?\u1076?\u1080?\u1090?\u1077? \u1086?\u1090? \u1087?\u1088?\u1077?\u1076?\u1086?\u1089?\u1090?\u1072?\u1074?\u1103?\u1085?\u1077?\u1090?\u1086? \u1085?\u1072? \u1085?\u1103?\u1082?\u1086?\u1080? \u1094?\u1080?\u1092?\u1088?\u1086?\u1074?\u1080? \u1091?\u1089?\u1083?\u1091?\u1075?\u1080?"/>
  </w:docVars>
  <w:rsids>
    <w:rsidRoot w:val="008E6A77"/>
    <w:rsid w:val="001F0353"/>
    <w:rsid w:val="008E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paragraph" w:customStyle="1" w:styleId="Text2">
    <w:name w:val="Text 2"/>
    <w:basedOn w:val="Normal"/>
    <w:pPr>
      <w:tabs>
        <w:tab w:val="left" w:pos="2302"/>
      </w:tabs>
      <w:spacing w:after="240"/>
      <w:ind w:left="1202"/>
      <w:jc w:val="both"/>
    </w:pPr>
    <w:rPr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paragraph" w:customStyle="1" w:styleId="Text2">
    <w:name w:val="Text 2"/>
    <w:basedOn w:val="Normal"/>
    <w:pPr>
      <w:tabs>
        <w:tab w:val="left" w:pos="2302"/>
      </w:tabs>
      <w:spacing w:after="240"/>
      <w:ind w:left="1202"/>
      <w:jc w:val="both"/>
    </w:pPr>
    <w:rPr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DCF41F10D214DBDDF7E1F5EB8F7C1" ma:contentTypeVersion="1" ma:contentTypeDescription="Create a new document." ma:contentTypeScope="" ma:versionID="4d11a2104eb79e191fab213970d36f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CCE80E-734A-4297-8D0E-984F7E32D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88CBB-D78F-412D-9B35-4671E1A44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B228E3-FEEC-429F-8C93-CFCC37DE56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899</Words>
  <Characters>5520</Characters>
  <Application>Microsoft Office Word</Application>
  <DocSecurity>0</DocSecurity>
  <Lines>91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PAREDES ECHAURI Cristina (CAB-ALMUNIA)</cp:lastModifiedBy>
  <cp:revision>20</cp:revision>
  <dcterms:created xsi:type="dcterms:W3CDTF">2018-03-16T14:56:00Z</dcterms:created>
  <dcterms:modified xsi:type="dcterms:W3CDTF">2018-03-21T15:29:00Z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Order">
    <vt:r8>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NewReviewCycle">
    <vt:lpwstr/>
  </property>
  <property fmtid="{D5CDD505-2E9C-101B-9397-08002B2CF9AE}" pid="9" name="ContentTypeId">
    <vt:lpwstr>0x010100AB6DCF41F10D214DBDDF7E1F5EB8F7C1</vt:lpwstr>
  </property>
  <property fmtid="{D5CDD505-2E9C-101B-9397-08002B2CF9AE}" pid="10" name="TemplateUrl">
    <vt:lpwstr/>
  </property>
  <property fmtid="{D5CDD505-2E9C-101B-9397-08002B2CF9AE}" pid="11" name="Level of sensitivity">
    <vt:lpwstr>Standard treatment</vt:lpwstr>
  </property>
</Properties>
</file>