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D3" w:rsidRDefault="00934502" w:rsidP="00934502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CA87A912-E189-4574-8731-C25DDAFC1472" style="width:450.75pt;height:435.75pt">
            <v:imagedata r:id="rId8" o:title=""/>
          </v:shape>
        </w:pict>
      </w:r>
    </w:p>
    <w:bookmarkEnd w:id="0"/>
    <w:p w:rsidR="000351D3" w:rsidRDefault="000351D3">
      <w:pPr>
        <w:rPr>
          <w:noProof/>
        </w:rPr>
        <w:sectPr w:rsidR="000351D3" w:rsidSect="009345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 w:rsidR="000351D3" w:rsidRDefault="00934502">
            <w:pPr>
              <w:spacing w:before="60" w:after="60"/>
              <w:jc w:val="center"/>
              <w:rPr>
                <w:rFonts w:ascii="Arial" w:hAnsi="Arial" w:cs="Arial"/>
                <w:b/>
                <w:noProof/>
              </w:rPr>
            </w:pPr>
            <w:bookmarkStart w:id="1" w:name="_GoBack"/>
            <w:bookmarkEnd w:id="1"/>
            <w:r>
              <w:rPr>
                <w:rFonts w:ascii="Arial" w:hAnsi="Arial"/>
                <w:b/>
                <w:noProof/>
              </w:rPr>
              <w:lastRenderedPageBreak/>
              <w:t>Обобщение</w:t>
            </w:r>
          </w:p>
        </w:tc>
      </w:tr>
      <w:tr w:rsidR="000351D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0351D3" w:rsidRDefault="00934502">
            <w:pPr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noProof/>
                <w:color w:val="FFFFFF" w:themeColor="background1"/>
              </w:rPr>
              <w:t xml:space="preserve">Оценка на въздействието на </w:t>
            </w:r>
            <w:r>
              <w:rPr>
                <w:rFonts w:ascii="Arial" w:hAnsi="Arial"/>
                <w:noProof/>
                <w:color w:val="F2F2F2" w:themeColor="background1" w:themeShade="F2"/>
              </w:rPr>
              <w:t>предложение за Инициатива за интегрирана нормативна уредба в областта на покритите облигации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 w:rsidR="000351D3" w:rsidRDefault="00934502">
            <w:pPr>
              <w:spacing w:before="60" w:after="60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 xml:space="preserve">A. Необходимост от </w:t>
            </w:r>
            <w:r>
              <w:rPr>
                <w:rFonts w:ascii="Arial" w:hAnsi="Arial"/>
                <w:b/>
                <w:noProof/>
              </w:rPr>
              <w:t>действия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E0E0E0"/>
          </w:tcPr>
          <w:p w:rsidR="000351D3" w:rsidRDefault="00934502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t xml:space="preserve">Защо? Какъв е разглежданият проблем? 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0351D3" w:rsidRDefault="00934502">
            <w:pPr>
              <w:spacing w:after="120"/>
              <w:ind w:right="-93"/>
              <w:jc w:val="both"/>
              <w:rPr>
                <w:rFonts w:ascii="Arial" w:eastAsiaTheme="minorHAnsi" w:hAnsi="Arial" w:cs="Arial"/>
                <w:noProof/>
              </w:rPr>
            </w:pPr>
            <w:r>
              <w:rPr>
                <w:rFonts w:ascii="Arial" w:hAnsi="Arial"/>
                <w:noProof/>
              </w:rPr>
              <w:t xml:space="preserve">Инвестициите и създаването на работни места са основни цели на ЕС. Като част от съюза на капиталовите пазари (СКП) ЕС започна няколко инициативи за мобилизиране на средства за растежа в Европа и за стимулиране на пазарното финансиране. Покритите облигации </w:t>
            </w:r>
            <w:r>
              <w:rPr>
                <w:rFonts w:ascii="Arial" w:hAnsi="Arial"/>
                <w:noProof/>
              </w:rPr>
              <w:t xml:space="preserve">са важен източник на евтино и дългосрочно финансиране за банките. Те улесняват финансирането на ипотечни заеми и заеми в публичния сектор, с което се подкрепя финансирането в по-общ план. </w:t>
            </w:r>
          </w:p>
          <w:p w:rsidR="000351D3" w:rsidRDefault="00934502">
            <w:pPr>
              <w:spacing w:after="120"/>
              <w:jc w:val="both"/>
              <w:rPr>
                <w:rFonts w:ascii="Arial" w:eastAsiaTheme="minorHAnsi" w:hAnsi="Arial" w:cs="Arial"/>
                <w:noProof/>
              </w:rPr>
            </w:pPr>
            <w:r>
              <w:rPr>
                <w:rFonts w:ascii="Arial" w:eastAsiaTheme="minorHAnsi" w:hAnsi="Arial"/>
                <w:noProof/>
              </w:rPr>
              <w:t>Пазарите на покрити облигации обаче не са еднакво развити в различн</w:t>
            </w:r>
            <w:r>
              <w:rPr>
                <w:rFonts w:ascii="Arial" w:eastAsiaTheme="minorHAnsi" w:hAnsi="Arial"/>
                <w:noProof/>
              </w:rPr>
              <w:t>ите части на единния пазар. Те са много големи в някои държави членки и по-малки в други. Макар за покритите облигации да се прилага преференциално пруденциално третиране предвид по-ниския им риск, в правото на Съюза не се дава определение на това какво вс</w:t>
            </w:r>
            <w:r>
              <w:rPr>
                <w:rFonts w:ascii="Arial" w:eastAsiaTheme="minorHAnsi" w:hAnsi="Arial"/>
                <w:noProof/>
              </w:rPr>
              <w:t xml:space="preserve">ъщност представлява покритата облигация. 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0351D3" w:rsidRDefault="00934502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t xml:space="preserve">Какво се очаква да бъде постигнато с настоящата инициатива? 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0351D3" w:rsidRDefault="0093450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Theme="minorHAnsi" w:hAnsi="Arial" w:cs="Arial"/>
                <w:noProof/>
              </w:rPr>
            </w:pPr>
            <w:r>
              <w:rPr>
                <w:rFonts w:ascii="Arial" w:hAnsi="Arial"/>
                <w:noProof/>
              </w:rPr>
              <w:t>С инициативата се цели на първо място да се разширят възможностите на финансовите участници да инвестират в икономиката като цяло чрез улесняване на кр</w:t>
            </w:r>
            <w:r>
              <w:rPr>
                <w:rFonts w:ascii="Arial" w:hAnsi="Arial"/>
                <w:noProof/>
              </w:rPr>
              <w:t>едитните институции да използват покрити облигации. С нея се цели да бъдат създадени благоприятни условия за пазарите на покрити облигации в държавите членки, в които тези пазари понастоящем не съществуват или са недостатъчно развити, като средство за подп</w:t>
            </w:r>
            <w:r>
              <w:rPr>
                <w:rFonts w:ascii="Arial" w:hAnsi="Arial"/>
                <w:noProof/>
              </w:rPr>
              <w:t xml:space="preserve">омагане на финансирането на реалната икономика в съответствие с целите на СКП. Други цели на инициативата са да се разнообрази кръгът от инвеститори (днес повечето покрити облигации се купуват от банки); допълнително да се стимулират инвестициите в ЕС; да </w:t>
            </w:r>
            <w:r>
              <w:rPr>
                <w:rFonts w:ascii="Arial" w:hAnsi="Arial"/>
                <w:noProof/>
              </w:rPr>
              <w:t>се привлекат повече инвеститори от трети държави.</w:t>
            </w:r>
          </w:p>
          <w:p w:rsidR="000351D3" w:rsidRDefault="00934502">
            <w:pPr>
              <w:spacing w:after="12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На второ място, с инициативата ще се преодолеят проблемите от пруденциален характер, произтичащи от настоящата липса на достатъчно пълно определение в правото на Съюза на основните характеристики на покрити</w:t>
            </w:r>
            <w:r>
              <w:rPr>
                <w:rFonts w:ascii="Arial" w:hAnsi="Arial"/>
                <w:noProof/>
              </w:rPr>
              <w:t>те облигации. Увеличаването на равнището на хармонизация на тези характеристики би трябвало да гарантира, че преференциалното третиране, предвидено в няколко законодателни акта на ЕС, се предоставя за покрити облигации, които имат определен минимален набор</w:t>
            </w:r>
            <w:r>
              <w:rPr>
                <w:rFonts w:ascii="Arial" w:hAnsi="Arial"/>
                <w:noProof/>
              </w:rPr>
              <w:t xml:space="preserve"> от общи основни характеристики, с което от своя страна ще се гарантира пруденциална надеждност и високо ниво на защита на инвеститорите. Инициативата ще включва и целеви изменения на изискванията по Регламента за капиталовите изисквания, съобразно които н</w:t>
            </w:r>
            <w:r>
              <w:rPr>
                <w:rFonts w:ascii="Arial" w:hAnsi="Arial"/>
                <w:noProof/>
              </w:rPr>
              <w:t>а инвестиращите в покрити облигации кредитни институции се предоставя преференциално капиталово третиране.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0351D3" w:rsidRDefault="00934502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t>Каква е добавената стойност от действие на равнището на ЕС?</w:t>
            </w:r>
            <w:r>
              <w:rPr>
                <w:rFonts w:ascii="Arial" w:hAnsi="Arial"/>
                <w:noProof/>
              </w:rPr>
              <w:t xml:space="preserve"> 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0351D3" w:rsidRDefault="00934502">
            <w:pPr>
              <w:spacing w:after="120"/>
              <w:jc w:val="both"/>
              <w:rPr>
                <w:rFonts w:ascii="Arial" w:eastAsiaTheme="minorHAnsi" w:hAnsi="Arial" w:cs="Arial"/>
                <w:noProof/>
              </w:rPr>
            </w:pPr>
            <w:r>
              <w:rPr>
                <w:rFonts w:ascii="Arial" w:eastAsiaTheme="minorHAnsi" w:hAnsi="Arial"/>
                <w:noProof/>
              </w:rPr>
              <w:t>По отношение на потенциала на СКП равнището на ЕС е най-ефективното равнище за преодоляване на значителните разлики в националните нормативни уредби, различаващите се практики на пазара и на регулаторно равнище в различните държави членки, фрагментацията н</w:t>
            </w:r>
            <w:r>
              <w:rPr>
                <w:rFonts w:ascii="Arial" w:eastAsiaTheme="minorHAnsi" w:hAnsi="Arial"/>
                <w:noProof/>
              </w:rPr>
              <w:t xml:space="preserve">а единния пазар и липсата на хармонизация, които възпрепятстват трансграничните инвестиции. </w:t>
            </w:r>
          </w:p>
          <w:p w:rsidR="000351D3" w:rsidRDefault="00934502">
            <w:pPr>
              <w:spacing w:after="120"/>
              <w:jc w:val="both"/>
              <w:rPr>
                <w:rFonts w:ascii="Arial" w:eastAsiaTheme="minorHAnsi" w:hAnsi="Arial" w:cs="Arial"/>
                <w:noProof/>
              </w:rPr>
            </w:pPr>
            <w:r>
              <w:rPr>
                <w:rFonts w:ascii="Arial" w:eastAsiaTheme="minorHAnsi" w:hAnsi="Arial"/>
                <w:noProof/>
              </w:rPr>
              <w:t>На второ място, проблемите от пруденциален характер произтичат от факта, че правото на ЕС не урежда по изчерпателен начин това какво представлява покритата облигац</w:t>
            </w:r>
            <w:r>
              <w:rPr>
                <w:rFonts w:ascii="Arial" w:eastAsiaTheme="minorHAnsi" w:hAnsi="Arial"/>
                <w:noProof/>
              </w:rPr>
              <w:t>ия. Необходимо е действие на ЕС за определяне на понятието „покрита облигация“, за да се гарантира, че предоставяното понастоящем с правото на ЕС преференциално третиране е пруденциално надеждно.</w:t>
            </w:r>
          </w:p>
          <w:p w:rsidR="000351D3" w:rsidRDefault="00934502">
            <w:pPr>
              <w:spacing w:after="120"/>
              <w:jc w:val="both"/>
              <w:rPr>
                <w:rFonts w:ascii="Arial" w:eastAsiaTheme="minorHAnsi" w:hAnsi="Arial" w:cs="Arial"/>
                <w:noProof/>
              </w:rPr>
            </w:pPr>
            <w:r>
              <w:rPr>
                <w:rFonts w:ascii="Arial" w:eastAsiaTheme="minorHAnsi" w:hAnsi="Arial"/>
                <w:noProof/>
              </w:rPr>
              <w:t>При все това действието следва да запази добре функциониращи</w:t>
            </w:r>
            <w:r>
              <w:rPr>
                <w:rFonts w:ascii="Arial" w:eastAsiaTheme="minorHAnsi" w:hAnsi="Arial"/>
                <w:noProof/>
              </w:rPr>
              <w:t xml:space="preserve">те понастоящем пазари и да се ограничи до абсолютно необходимото за изготвяне на общо определение на основните характеристики на покритите облигации.   </w:t>
            </w:r>
          </w:p>
        </w:tc>
      </w:tr>
    </w:tbl>
    <w:p w:rsidR="000351D3" w:rsidRDefault="000351D3">
      <w:pPr>
        <w:rPr>
          <w:rFonts w:ascii="Arial" w:hAnsi="Arial" w:cs="Arial"/>
          <w:noProof/>
          <w:sz w:val="20"/>
          <w:szCs w:val="20"/>
        </w:rPr>
      </w:pP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 w:rsidR="000351D3" w:rsidRDefault="00934502">
            <w:pPr>
              <w:spacing w:before="60" w:after="60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Б. Решения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0351D3" w:rsidRDefault="00934502">
            <w:pPr>
              <w:spacing w:before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t>Какви законодателни и незаконодателни варианти на политиката са разгледани? Има ли предпо</w:t>
            </w:r>
            <w:r>
              <w:rPr>
                <w:rFonts w:ascii="Arial" w:hAnsi="Arial"/>
                <w:b/>
                <w:noProof/>
              </w:rPr>
              <w:t>четен вариант? Защо?</w:t>
            </w:r>
            <w:r>
              <w:rPr>
                <w:rFonts w:ascii="Arial" w:hAnsi="Arial"/>
                <w:noProof/>
              </w:rPr>
              <w:t xml:space="preserve"> 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0351D3" w:rsidRDefault="00934502">
            <w:pPr>
              <w:spacing w:after="120"/>
              <w:jc w:val="both"/>
              <w:rPr>
                <w:rFonts w:ascii="Arial" w:eastAsiaTheme="minorHAnsi" w:hAnsi="Arial" w:cs="Arial"/>
                <w:noProof/>
              </w:rPr>
            </w:pPr>
            <w:r>
              <w:rPr>
                <w:rFonts w:ascii="Arial" w:hAnsi="Arial"/>
                <w:noProof/>
              </w:rPr>
              <w:t xml:space="preserve">Комисията разгледа няколко варианта на политиката, с които горепосочените цели се постигат в различна степен. Базовият сценарий се състои в запазване на статуквото (т.е. без действия) Има и набор от варианти, които се различават по </w:t>
            </w:r>
            <w:r>
              <w:rPr>
                <w:rFonts w:ascii="Arial" w:hAnsi="Arial"/>
                <w:noProof/>
              </w:rPr>
              <w:t>отношение на интензивността на хармонизацията, вариращи от вариант без регулиране до варианти, включващи пълна хармонизация. По-конкретно:</w:t>
            </w:r>
          </w:p>
          <w:p w:rsidR="000351D3" w:rsidRDefault="00934502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Базов сценарий: не се предприема нищо;</w:t>
            </w:r>
          </w:p>
          <w:p w:rsidR="000351D3" w:rsidRDefault="00934502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Вариант 1: без регулиране;</w:t>
            </w:r>
          </w:p>
          <w:p w:rsidR="000351D3" w:rsidRDefault="00934502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Вариант 2: минимална хармонизация въз основа на нац</w:t>
            </w:r>
            <w:r>
              <w:rPr>
                <w:rFonts w:ascii="Arial" w:hAnsi="Arial"/>
                <w:noProof/>
              </w:rPr>
              <w:t>ионалните режими;</w:t>
            </w:r>
          </w:p>
          <w:p w:rsidR="000351D3" w:rsidRDefault="00934502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Вариант 3: пълна хармонизация, заменяща националните режими; или</w:t>
            </w:r>
          </w:p>
          <w:p w:rsidR="000351D3" w:rsidRDefault="00934502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contextualSpacing w:val="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Вариант 4: „29-и режим“, действащ успоредно с националните режими.</w:t>
            </w:r>
          </w:p>
          <w:p w:rsidR="000351D3" w:rsidRDefault="00934502">
            <w:pPr>
              <w:spacing w:after="12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eastAsiaTheme="minorHAnsi" w:hAnsi="Arial"/>
                <w:noProof/>
              </w:rPr>
              <w:t>Предпочетеният вариант е минимална хармонизация въз основа на националните режими. При вариант 2 се постиг</w:t>
            </w:r>
            <w:r>
              <w:rPr>
                <w:rFonts w:ascii="Arial" w:eastAsiaTheme="minorHAnsi" w:hAnsi="Arial"/>
                <w:noProof/>
              </w:rPr>
              <w:t>ат повечето от целите на инициативата при разумно равнище на разходите. С него освен това се постига подходящо равновесие между необходимата степен на гъвкавост, за да се вземат предвид особеностите на държавите членки, и необходимото единство, за да се по</w:t>
            </w:r>
            <w:r>
              <w:rPr>
                <w:rFonts w:ascii="Arial" w:eastAsiaTheme="minorHAnsi" w:hAnsi="Arial"/>
                <w:noProof/>
              </w:rPr>
              <w:t>стигне съгласуваност на равнището на ЕС. Това вероятно би бил най-ефективният вариант от гледна точка на постигането на целите, който същевременно би осигурил ефикасност и минимални смущения и разходи, свързани с прехода. Този вариант е също така един от н</w:t>
            </w:r>
            <w:r>
              <w:rPr>
                <w:rFonts w:ascii="Arial" w:eastAsiaTheme="minorHAnsi" w:hAnsi="Arial"/>
                <w:noProof/>
              </w:rPr>
              <w:t xml:space="preserve">ай-амбициозните от регулаторна гледна точка сред всички разгледани варианти, като в същото време представлява курсът на действие, който се ползва с най-силна подкрепа от заинтересованите страни. </w:t>
            </w:r>
          </w:p>
        </w:tc>
      </w:tr>
      <w:tr w:rsidR="000351D3">
        <w:tc>
          <w:tcPr>
            <w:tcW w:w="9747" w:type="dxa"/>
            <w:shd w:val="clear" w:color="auto" w:fill="CCCCCC"/>
          </w:tcPr>
          <w:p w:rsidR="000351D3" w:rsidRDefault="00934502">
            <w:pPr>
              <w:spacing w:before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t>Кой подкрепя отделните варианти?</w:t>
            </w:r>
            <w:r>
              <w:rPr>
                <w:rFonts w:ascii="Arial" w:hAnsi="Arial"/>
                <w:noProof/>
              </w:rPr>
              <w:t xml:space="preserve"> </w:t>
            </w:r>
          </w:p>
        </w:tc>
      </w:tr>
      <w:tr w:rsidR="000351D3">
        <w:tc>
          <w:tcPr>
            <w:tcW w:w="9747" w:type="dxa"/>
            <w:shd w:val="clear" w:color="auto" w:fill="auto"/>
          </w:tcPr>
          <w:p w:rsidR="000351D3" w:rsidRDefault="00934502">
            <w:pPr>
              <w:spacing w:after="12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Заинтересованите страни подкрепят най-много вариант 2. Сред тях има институционални инвеститори, надзорни органи, държави членки и представители на сектора на покритите облигации. ЕБО (доклад от 2016 г.), ЕЦБ, Европейският парламент (доклад от юли 2017 г.)</w:t>
            </w:r>
            <w:r>
              <w:rPr>
                <w:rFonts w:ascii="Arial" w:hAnsi="Arial"/>
                <w:noProof/>
              </w:rPr>
              <w:t xml:space="preserve"> и националните и европейските надзорни органи изразиха подкрепа за инициативи със сравнително подобно естество и съдържание. Повечето от държавите членки също подкрепят този вариант, включително представящите всички най-големи пазари. Подкрепа за този вар</w:t>
            </w:r>
            <w:r>
              <w:rPr>
                <w:rFonts w:ascii="Arial" w:hAnsi="Arial"/>
                <w:noProof/>
              </w:rPr>
              <w:t xml:space="preserve">иант изрази и Съветът за европейски покрити облигации.  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 w:rsidR="000351D3" w:rsidRDefault="00934502">
            <w:pPr>
              <w:spacing w:before="60" w:after="60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В. Въздействие на предпочетения вариант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0351D3" w:rsidRDefault="00934502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t>Какви са ползите от предпочетения вариант?</w:t>
            </w:r>
            <w:r>
              <w:rPr>
                <w:rFonts w:ascii="Arial" w:hAnsi="Arial"/>
                <w:noProof/>
              </w:rPr>
              <w:t xml:space="preserve"> 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0351D3" w:rsidRDefault="00934502">
            <w:pPr>
              <w:spacing w:after="120"/>
              <w:jc w:val="both"/>
              <w:rPr>
                <w:rFonts w:ascii="Arial" w:eastAsiaTheme="minorHAnsi" w:hAnsi="Arial" w:cs="Arial"/>
                <w:noProof/>
              </w:rPr>
            </w:pPr>
            <w:r>
              <w:rPr>
                <w:rFonts w:ascii="Arial" w:eastAsiaTheme="minorHAnsi" w:hAnsi="Arial"/>
                <w:noProof/>
              </w:rPr>
              <w:t>Прилагането на този вариант ще даде тласък за развитието на пазарите на покрити облигации в държавите, които нямат такива пазари или в които те не са достатъчно добре развити, увеличавайки емитирането с между 50 % и 75 % от базовата стойност от 342 милиард</w:t>
            </w:r>
            <w:r>
              <w:rPr>
                <w:rFonts w:ascii="Arial" w:eastAsiaTheme="minorHAnsi" w:hAnsi="Arial"/>
                <w:noProof/>
              </w:rPr>
              <w:t>а евро. С него също така ще намалеят разходите на емитентите за финансиране. Ще се постигне съвкупно спестяване на разходи за финансиране от между 50 % и 75 % от базовия диапазон от 2,2—2,7 милиарда евро годишно. Този вариант ще допринесе за разнообразяван</w:t>
            </w:r>
            <w:r>
              <w:rPr>
                <w:rFonts w:ascii="Arial" w:eastAsiaTheme="minorHAnsi" w:hAnsi="Arial"/>
                <w:noProof/>
              </w:rPr>
              <w:t>ето на кръга от инвеститори (60 % инвеститори, различни от банки), за улесняването на трансграничните инвестиции и за привличането на инвеститори от трети държави (16,5 % инвестиции от трети държави за допълнителни 80 милиарда евро годишно от държави извън</w:t>
            </w:r>
            <w:r>
              <w:rPr>
                <w:rFonts w:ascii="Arial" w:eastAsiaTheme="minorHAnsi" w:hAnsi="Arial"/>
                <w:noProof/>
              </w:rPr>
              <w:t xml:space="preserve"> ЕС). Като цяло той ще спомогне за постигането на икономии в разходите по заеми за реалната икономика в размер между 50 % и 75 % от базовия диапазон от 1,5—1,9 милиарда евро годишно. С този вариант ще се преодолеят проблемите от пруденциален характер, вклю</w:t>
            </w:r>
            <w:r>
              <w:rPr>
                <w:rFonts w:ascii="Arial" w:eastAsiaTheme="minorHAnsi" w:hAnsi="Arial"/>
                <w:noProof/>
              </w:rPr>
              <w:t>чително по отношение на пазарните иновации, и ще се постигнат ползи от пруденциално естество, произтичащи от привеждането в съответствие на структурните характеристики на продукта с преференциалното пруденциално третиране на равнището на ЕС. На последно мя</w:t>
            </w:r>
            <w:r>
              <w:rPr>
                <w:rFonts w:ascii="Arial" w:eastAsiaTheme="minorHAnsi" w:hAnsi="Arial"/>
                <w:noProof/>
              </w:rPr>
              <w:t xml:space="preserve">сто, с него ще се подобри защитата на инвеститорите и ще се снижат разходите на инвеститорите за комплексна проверка. </w:t>
            </w:r>
          </w:p>
        </w:tc>
      </w:tr>
    </w:tbl>
    <w:tbl>
      <w:tblPr>
        <w:tblStyle w:val="TableGrid1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0351D3" w:rsidRDefault="00934502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t>Какви са разходите, свързани с предпочетения вариант?</w:t>
            </w:r>
            <w:r>
              <w:rPr>
                <w:rFonts w:ascii="Arial" w:hAnsi="Arial"/>
                <w:noProof/>
              </w:rPr>
              <w:t xml:space="preserve">                                      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0351D3" w:rsidRDefault="00934502">
            <w:pPr>
              <w:spacing w:after="120"/>
              <w:jc w:val="both"/>
              <w:rPr>
                <w:rFonts w:ascii="Arial" w:eastAsiaTheme="minorHAnsi" w:hAnsi="Arial" w:cs="Arial"/>
                <w:noProof/>
              </w:rPr>
            </w:pPr>
            <w:r>
              <w:rPr>
                <w:rFonts w:ascii="Arial" w:eastAsiaTheme="minorHAnsi" w:hAnsi="Arial"/>
                <w:noProof/>
              </w:rPr>
              <w:t>С предпочетения вариант се постигат повечет</w:t>
            </w:r>
            <w:r>
              <w:rPr>
                <w:rFonts w:ascii="Arial" w:eastAsiaTheme="minorHAnsi" w:hAnsi="Arial"/>
                <w:noProof/>
              </w:rPr>
              <w:t>о от целите на инициативата при разумни разходи чрез съчетаване на достатъчно гъвкавост, за да се вземат предвид особеностите на държавите членки, с целта за постигане на съгласуваност на равнището на ЕС в областта на покритите облигации. При предпочетения</w:t>
            </w:r>
            <w:r>
              <w:rPr>
                <w:rFonts w:ascii="Arial" w:eastAsiaTheme="minorHAnsi" w:hAnsi="Arial"/>
                <w:noProof/>
              </w:rPr>
              <w:t xml:space="preserve"> вариант се очаква както еднократните, така и постоянните преки административни разходи да нараснат за емитентите в юрисдикциите с ниски разходи. Разходите </w:t>
            </w:r>
            <w:r>
              <w:rPr>
                <w:rFonts w:ascii="Arial" w:eastAsiaTheme="minorHAnsi" w:hAnsi="Arial"/>
                <w:noProof/>
              </w:rPr>
              <w:lastRenderedPageBreak/>
              <w:t>ще нараснат и за надзорните органи, и по-специално за юрисдикциите с минимална намеса, които се очак</w:t>
            </w:r>
            <w:r>
              <w:rPr>
                <w:rFonts w:ascii="Arial" w:eastAsiaTheme="minorHAnsi" w:hAnsi="Arial"/>
                <w:noProof/>
              </w:rPr>
              <w:t>ва да се приближат към базовата стойност за юрисдикциите с високи разходи. От друга страна, разходите за инвеститорите няма да нараснат. Характеристиките на кредитно подобрение на предвидените правила ще намалят разходите на инвеститорите за комплексна про</w:t>
            </w:r>
            <w:r>
              <w:rPr>
                <w:rFonts w:ascii="Arial" w:eastAsiaTheme="minorHAnsi" w:hAnsi="Arial"/>
                <w:noProof/>
              </w:rPr>
              <w:t>верка.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0351D3" w:rsidRDefault="00934502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t xml:space="preserve">Какви ще са последиците за предприятията, МСП и микропредприятията? 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0351D3" w:rsidRDefault="00934502">
            <w:pPr>
              <w:spacing w:after="120"/>
              <w:jc w:val="both"/>
              <w:rPr>
                <w:rFonts w:ascii="Arial" w:hAnsi="Arial" w:cs="Arial"/>
                <w:i/>
                <w:noProof/>
              </w:rPr>
            </w:pPr>
            <w:r>
              <w:rPr>
                <w:rFonts w:ascii="Arial" w:eastAsiaTheme="minorHAnsi" w:hAnsi="Arial"/>
                <w:noProof/>
              </w:rPr>
              <w:t xml:space="preserve">Избраният вариант на политиката ще има някои преки и непреки благоприятни въздействия по отношение на финансирането на МСП. Най-значимата полза за МСП обаче ще е следствие от </w:t>
            </w:r>
            <w:r>
              <w:rPr>
                <w:rFonts w:ascii="Arial" w:eastAsiaTheme="minorHAnsi" w:hAnsi="Arial"/>
                <w:noProof/>
              </w:rPr>
              <w:t>инициативата за европейските обезпечени ценни книжа, която, както е обяснено в началото на настоящата оценка на въздействието, е отделна паралелна инициатива.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0351D3" w:rsidRDefault="00934502">
            <w:pPr>
              <w:spacing w:before="60"/>
              <w:jc w:val="both"/>
              <w:rPr>
                <w:rFonts w:ascii="Arial" w:hAnsi="Arial" w:cs="Arial"/>
                <w:b/>
                <w:i/>
                <w:noProof/>
              </w:rPr>
            </w:pPr>
            <w:r>
              <w:rPr>
                <w:rFonts w:ascii="Arial" w:hAnsi="Arial"/>
                <w:b/>
                <w:noProof/>
              </w:rPr>
              <w:t>Ще има ли значителни въздействия върху националните бюджети и администрации?</w:t>
            </w:r>
          </w:p>
        </w:tc>
      </w:tr>
      <w:tr w:rsidR="000351D3">
        <w:tc>
          <w:tcPr>
            <w:tcW w:w="9747" w:type="dxa"/>
            <w:shd w:val="clear" w:color="auto" w:fill="auto"/>
          </w:tcPr>
          <w:p w:rsidR="000351D3" w:rsidRDefault="00934502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Не.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0351D3" w:rsidRDefault="00934502">
            <w:pPr>
              <w:spacing w:before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t xml:space="preserve">Ще има ли </w:t>
            </w:r>
            <w:r>
              <w:rPr>
                <w:rFonts w:ascii="Arial" w:hAnsi="Arial"/>
                <w:b/>
                <w:noProof/>
              </w:rPr>
              <w:t>други значителни въздействия?</w:t>
            </w:r>
            <w:r>
              <w:rPr>
                <w:rFonts w:ascii="Arial" w:hAnsi="Arial"/>
                <w:noProof/>
              </w:rPr>
              <w:t xml:space="preserve"> 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0351D3" w:rsidRDefault="00934502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Не.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C0C0C0"/>
          </w:tcPr>
          <w:p w:rsidR="000351D3" w:rsidRDefault="00934502">
            <w:pPr>
              <w:spacing w:before="60" w:after="60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Г. Последващи действия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0351D3" w:rsidRDefault="00934502">
            <w:pPr>
              <w:spacing w:before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t xml:space="preserve">Кога ще се извърши преглед на политиката? </w:t>
            </w:r>
          </w:p>
        </w:tc>
      </w:tr>
      <w:tr w:rsidR="000351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0351D3" w:rsidRDefault="00934502">
            <w:pPr>
              <w:spacing w:after="120"/>
              <w:jc w:val="both"/>
              <w:rPr>
                <w:rFonts w:ascii="Arial" w:eastAsiaTheme="minorHAnsi" w:hAnsi="Arial" w:cs="Arial"/>
                <w:noProof/>
              </w:rPr>
            </w:pPr>
            <w:r>
              <w:rPr>
                <w:rFonts w:ascii="Arial" w:eastAsiaTheme="minorHAnsi" w:hAnsi="Arial"/>
                <w:noProof/>
              </w:rPr>
              <w:t>Първият преглед на новата нормативна уредба ще може да се извърши 2—3 години след влизането ѝ в сила.</w:t>
            </w:r>
          </w:p>
        </w:tc>
      </w:tr>
    </w:tbl>
    <w:p w:rsidR="000351D3" w:rsidRDefault="000351D3">
      <w:pPr>
        <w:rPr>
          <w:noProof/>
        </w:rPr>
      </w:pPr>
    </w:p>
    <w:sectPr w:rsidR="000351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D3" w:rsidRDefault="00934502">
      <w:pPr>
        <w:spacing w:after="0" w:line="240" w:lineRule="auto"/>
      </w:pPr>
      <w:r>
        <w:separator/>
      </w:r>
    </w:p>
  </w:endnote>
  <w:endnote w:type="continuationSeparator" w:id="0">
    <w:p w:rsidR="000351D3" w:rsidRDefault="0093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2" w:rsidRPr="00934502" w:rsidRDefault="00934502" w:rsidP="009345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2" w:rsidRPr="00934502" w:rsidRDefault="00934502" w:rsidP="00934502">
    <w:pPr>
      <w:pStyle w:val="FooterCoverPage"/>
      <w:rPr>
        <w:rFonts w:ascii="Arial" w:hAnsi="Arial" w:cs="Arial"/>
        <w:b/>
        <w:sz w:val="48"/>
      </w:rPr>
    </w:pPr>
    <w:r w:rsidRPr="00934502">
      <w:rPr>
        <w:rFonts w:ascii="Arial" w:hAnsi="Arial" w:cs="Arial"/>
        <w:b/>
        <w:sz w:val="48"/>
      </w:rPr>
      <w:t>BG</w:t>
    </w:r>
    <w:r w:rsidRPr="00934502">
      <w:rPr>
        <w:rFonts w:ascii="Arial" w:hAnsi="Arial" w:cs="Arial"/>
        <w:b/>
        <w:sz w:val="48"/>
      </w:rPr>
      <w:tab/>
    </w:r>
    <w:r w:rsidRPr="00934502">
      <w:rPr>
        <w:rFonts w:ascii="Arial" w:hAnsi="Arial" w:cs="Arial"/>
        <w:b/>
        <w:sz w:val="48"/>
      </w:rPr>
      <w:tab/>
    </w:r>
    <w:r w:rsidRPr="00934502">
      <w:tab/>
    </w:r>
    <w:r w:rsidRPr="00934502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2" w:rsidRPr="00934502" w:rsidRDefault="00934502" w:rsidP="00934502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D3" w:rsidRDefault="000351D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27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1D3" w:rsidRDefault="009345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51D3" w:rsidRDefault="000351D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D3" w:rsidRDefault="000351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D3" w:rsidRDefault="00934502">
      <w:pPr>
        <w:spacing w:after="0" w:line="240" w:lineRule="auto"/>
      </w:pPr>
      <w:r>
        <w:separator/>
      </w:r>
    </w:p>
  </w:footnote>
  <w:footnote w:type="continuationSeparator" w:id="0">
    <w:p w:rsidR="000351D3" w:rsidRDefault="0093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2" w:rsidRPr="00934502" w:rsidRDefault="00934502" w:rsidP="009345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2" w:rsidRPr="00934502" w:rsidRDefault="00934502" w:rsidP="00934502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2" w:rsidRPr="00934502" w:rsidRDefault="00934502" w:rsidP="00934502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D3" w:rsidRDefault="000351D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D3" w:rsidRDefault="000351D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D3" w:rsidRDefault="000351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22D0"/>
    <w:multiLevelType w:val="hybridMultilevel"/>
    <w:tmpl w:val="8EF01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CA87A912-E189-4574-8731-C25DDAFC1472"/>
    <w:docVar w:name="LW_COVERPAGE_TYPE" w:val="1"/>
    <w:docVar w:name="LW_CROSSREFERENCE" w:val="{COM(2018) 94 final}_x000a_{COM(2018) 93 final}_x000d__x000a_{SWD(2018) 50 final}"/>
    <w:docVar w:name="LW_DocType" w:val="NORMAL"/>
    <w:docVar w:name="LW_EMISSION" w:val="12.3.2018"/>
    <w:docVar w:name="LW_EMISSION_ISODATE" w:val="2018-03-12"/>
    <w:docVar w:name="LW_EMISSION_LOCATION" w:val="BRX"/>
    <w:docVar w:name="LW_EMISSION_PREFIX" w:val="\u1041?\u1088?\u1102?\u1082?\u1089?\u1077?\u1083?,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 \u1079?\u1072? \u1080?\u1079?\u1084?\u1077?\u1085?\u1077?\u1085?\u1080?\u1077? \u1085?\u1072? \u1056?\u1077?\u1075?\u1083?\u1072?\u1084?\u1077?\u1085?\u1090? (\u1045?\u1057?) \u8470? 575/2013 \u1087?\u1086? \u1086?\u1090?\u1085?\u1086?\u1096?\u1077?\u1085?\u1080?\u1077? \u1085?\u1072? \u1077?\u1082?\u1089?\u1087?\u1086?\u1079?\u1080?\u1094?\u1080?\u1080?\u1090?\u1077? \u1087?\u1086?\u1076? \u1092?\u1086?\u1088?\u1084?\u1072?\u1090?\u1072? \u1085?\u1072? \u1087?\u1086?\u1082?\u1088?\u1080?\u1090?\u1080? \u1086?\u1073?\u1083?\u1080?\u1075?\u1072?\u1094?\u1080?\u1080?"/>
    <w:docVar w:name="LW_PART_NBR" w:val="1"/>
    <w:docVar w:name="LW_PART_NBR_TOTAL" w:val="1"/>
    <w:docVar w:name="LW_REF.INST.NEW" w:val="SWD"/>
    <w:docVar w:name="LW_REF.INST.NEW_ADOPTED" w:val="final"/>
    <w:docVar w:name="LW_REF.INST.NEW_TEXT" w:val="(2018) 5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 \u1086?\u1090?\u1085?\u1086?\u1089?\u1085?\u1086? \u1077?\u1084?\u1080?\u1090?\u1080?\u1088?\u1072?\u1085?\u1077?\u1090?\u1086? \u1085?\u1072? \u1087?\u1086?\u1082?\u1088?\u1080?\u1090?\u1080? \u1086?\u1073?\u1083?\u1080?\u1075?\u1072?\u1094?\u1080?\u1080? \u1080? \u1087?\u1091?\u1073?\u1083?\u1080?\u1095?\u1085?\u1080?\u1103? \u1085?\u1072?\u1076?\u1079?\u1086?\u1088? \u1074?\u1098?\u1088?\u1093?\u1091? \u1090?\u1103?\u1093? \u1080? \u1079?\u1072? \u1080?\u1079?\u1084?\u1077?\u1085?\u1077?\u1085?\u1080?\u1077? \u1085?\u1072? \u1044?\u1080?\u1088?\u1077?\u1082?\u1090?\u1080?\u1074?\u1072? 2009/65/\u1045?\u1054? \u1080? \u1044?\u1080?\u1088?\u1077?\u1082?\u1090?\u1080?\u1074?\u1072? 2014/59/\u1045?\u1057?"/>
  </w:docVars>
  <w:rsids>
    <w:rsidRoot w:val="000351D3"/>
    <w:rsid w:val="000351D3"/>
    <w:rsid w:val="0093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1271</Words>
  <Characters>7534</Characters>
  <Application>Microsoft Office Word</Application>
  <DocSecurity>0</DocSecurity>
  <Lines>119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WADHWANIA Nadia (MARE-EXT)</cp:lastModifiedBy>
  <cp:revision>21</cp:revision>
  <dcterms:created xsi:type="dcterms:W3CDTF">2018-01-10T11:15:00Z</dcterms:created>
  <dcterms:modified xsi:type="dcterms:W3CDTF">2018-03-20T14:07:00Z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</Properties>
</file>