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366EE2-FBBF-4761-BF0C-85E2C48F273D" style="width:450.35pt;height:408.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Toc505766460"/>
      <w:bookmarkStart w:id="1" w:name="_GoBack"/>
      <w:bookmarkEnd w:id="1"/>
      <w:r>
        <w:rPr>
          <w:noProof/>
        </w:rPr>
        <w:lastRenderedPageBreak/>
        <w:t>ОБЯСНИТЕЛЕН МЕМОРАНДУМ</w:t>
      </w:r>
      <w:bookmarkEnd w:id="0"/>
    </w:p>
    <w:p>
      <w:pPr>
        <w:pStyle w:val="ManualHeading1"/>
        <w:rPr>
          <w:noProof/>
        </w:rPr>
      </w:pPr>
      <w:bookmarkStart w:id="2" w:name="_Toc505766461"/>
      <w:r>
        <w:rPr>
          <w:noProof/>
        </w:rPr>
        <w:t>1.</w:t>
      </w:r>
      <w:r>
        <w:rPr>
          <w:noProof/>
        </w:rPr>
        <w:tab/>
        <w:t>КОНТЕКСТ НА ПРЕДЛОЖЕНИЕТО</w:t>
      </w:r>
      <w:bookmarkEnd w:id="2"/>
    </w:p>
    <w:p>
      <w:pPr>
        <w:pStyle w:val="ManualHeading2"/>
        <w:rPr>
          <w:rFonts w:eastAsia="Arial Unicode MS"/>
          <w:noProof/>
        </w:rPr>
      </w:pPr>
      <w:bookmarkStart w:id="3" w:name="_Toc505766462"/>
      <w:r>
        <w:rPr>
          <w:noProof/>
          <w:color w:val="000000"/>
          <w:u w:color="000000"/>
          <w:bdr w:val="nil"/>
        </w:rPr>
        <w:t>•</w:t>
      </w:r>
      <w:r>
        <w:rPr>
          <w:noProof/>
        </w:rPr>
        <w:tab/>
        <w:t>Основания и цели на предложението</w:t>
      </w:r>
      <w:bookmarkEnd w:id="3"/>
    </w:p>
    <w:p>
      <w:pPr>
        <w:spacing w:before="0" w:after="240"/>
        <w:rPr>
          <w:noProof/>
        </w:rPr>
      </w:pPr>
      <w:r>
        <w:rPr>
          <w:noProof/>
        </w:rPr>
        <w:t>Днес Комисията прие пакет от мерки за задълбочаване на съюза на капиталовите пазари заедно със съобщението „Завършване на съюза на капиталовите пазари до 2019 г. — време е да ускорим процеса“. Пакетът включва настоящото предложение, както и предложение за рамка, благоприятстваща покритите облигации, предложение за улесняване на трансграничното предлагане на инвестиционни фондове, предложение за благоприятстваща уредба за европейските доставчици на услуги за колективно финансиране (ЕДУКФ) на бизнеса, както и предложение относно приложимото право към действието на прехвърлянето на вземания спрямо трети лица и съобщение относно приложимото право към имуществените последици от сделките с ценни книжа.</w:t>
      </w:r>
    </w:p>
    <w:p>
      <w:pPr>
        <w:spacing w:before="0" w:after="240"/>
        <w:rPr>
          <w:noProof/>
        </w:rPr>
      </w:pPr>
      <w:r>
        <w:rPr>
          <w:noProof/>
        </w:rPr>
        <w:t>Покритите облигации представляват дългови инструменти, емитирани от кредитни институции и обезпечени с обособен пул от активи, които са директно изискуеми за удовлетворяване на притежателите на облигации като привилегировани кредитори. Същевременно притежателите на облигации запазват правото си да предявят вземане към емитента като обикновени кредитори. Това право на двойно вземане по отношение на пула от обезпечения и емитента е известно като механизъм за „двойна защита“.</w:t>
      </w:r>
    </w:p>
    <w:p>
      <w:pPr>
        <w:spacing w:before="0" w:after="240"/>
        <w:rPr>
          <w:noProof/>
        </w:rPr>
      </w:pPr>
      <w:r>
        <w:rPr>
          <w:noProof/>
        </w:rPr>
        <w:t>Покритите облигации се емитират от кредитни институции и като такива представляват важен и ефикасен източник на финансиране за европейските банки. Те улесняват финансирането на ипотечни заеми и заеми в публичния сектор, с което се подкрепя финансирането в по-общ план. Значително предимство на покритите облигации в сравнение с другите видове източници за финансиране на банките, като например обезпечените с активи ценни книжа, е фактът, че банките запазват риска в балансите си, а инвеститорите имат пряко вземане към банката. Поради това покритите облигации дават възможност на банките не само да отпускат повече заеми, но и да правят това с по-голяма сигурност. Не на последно място по тази причина покритите облигации се търгуваха добре по време на финансовата криза в сравнение с другите инструменти за финансиране. Те се оказаха надежден и стабилен източник на финансиране за европейските банки в период, в който възможностите по останалите канали за финансиране намаляваха.</w:t>
      </w:r>
    </w:p>
    <w:p>
      <w:pPr>
        <w:rPr>
          <w:noProof/>
        </w:rPr>
      </w:pPr>
      <w:r>
        <w:rPr>
          <w:noProof/>
        </w:rPr>
        <w:t>Създаването на рамка, благоприятстваща покритите облигации, на равнището на ЕС ще засили тяхното използване като стабилен и разходноефективен източник на финансиране за кредитните институции, особено когато пазарите са по-слабо развити, за да се подпомогне финансирането на реалната икономика в съответствие с целите на съюза на капиталовите пазари (СКП). Тази благоприятстваща покритите облигации рамка ще предостави на инвеститорите по-широк и сигурен набор от инвестиционни възможности и ще спомогне за запазване на финансовата стабилност. Държавите членки ще трябва да транспонират правилата, като гарантират, че националните рамки за покритите облигации отговарят на изложените в настоящото предложение принципни изисквания. Поради това всички покрити облигации в Европа ще трябва да отговарят на изложените в настоящото предложение минимални изисквания за хармонизация.</w:t>
      </w:r>
    </w:p>
    <w:p>
      <w:pPr>
        <w:rPr>
          <w:noProof/>
          <w:szCs w:val="24"/>
        </w:rPr>
      </w:pPr>
      <w:r>
        <w:rPr>
          <w:noProof/>
        </w:rPr>
        <w:lastRenderedPageBreak/>
        <w:t>Рамката, благоприятстваща покритите облигации, е предвидена в Работната програма на Комисията за 2018 г.</w:t>
      </w:r>
      <w:r>
        <w:rPr>
          <w:rStyle w:val="FootnoteReference"/>
          <w:noProof/>
        </w:rPr>
        <w:footnoteReference w:id="1"/>
      </w:r>
      <w:r>
        <w:rPr>
          <w:noProof/>
        </w:rPr>
        <w:t xml:space="preserve"> В писмото си за намеренията, последвало последната му реч за състоянието на Съюза, председателят на Европейската комисия потвърди, че инициативата за рамка, благоприятстваща покритите облигации, следва да бъде започната или приключена до края на 2018 г., за да се гарантира по-задълбочен и по-справедлив вътрешен пазар</w:t>
      </w:r>
      <w:r>
        <w:rPr>
          <w:rStyle w:val="FootnoteReference"/>
          <w:noProof/>
        </w:rPr>
        <w:footnoteReference w:id="2"/>
      </w:r>
      <w:r>
        <w:rPr>
          <w:noProof/>
        </w:rPr>
        <w:t>. Комисията потвърди това свое намерение в междинния преглед на Плана за действие за изграждане на съюз на капиталовите пазари (СКП) от юни 2017 г.</w:t>
      </w:r>
      <w:r>
        <w:rPr>
          <w:rStyle w:val="FootnoteReference"/>
          <w:noProof/>
        </w:rPr>
        <w:footnoteReference w:id="3"/>
      </w:r>
      <w:r>
        <w:rPr>
          <w:noProof/>
        </w:rPr>
        <w:t xml:space="preserve"> </w:t>
      </w:r>
    </w:p>
    <w:p>
      <w:pPr>
        <w:spacing w:before="0" w:after="240"/>
        <w:rPr>
          <w:noProof/>
        </w:rPr>
      </w:pPr>
      <w:r>
        <w:rPr>
          <w:noProof/>
        </w:rPr>
        <w:t>Покритите облигации не са еднакво значими в различните части на единния пазар — те са много важни в някои държави членки и по-маловажни в други. Освен това те са само частично уредени в правото на Съюза. Макар за тях да се прилага преференциално пруденциално и регулаторно третиране в различни отношения предвид по-ниския риск (например от инвестиралите в тях банки не се изисква да заделят толкова регулаторен капитал, колкото когато инвестират в други активи), правото на Съюза не урежда по изчерпателен начин това какво всъщност представлява покритата облигация. Вместо това се предоставят различни видове преференциално третиране за покрити облигации, съответстващи на определението в Директива 2009/65/ЕО</w:t>
      </w:r>
      <w:r>
        <w:rPr>
          <w:rStyle w:val="FootnoteReference"/>
          <w:noProof/>
        </w:rPr>
        <w:footnoteReference w:id="4"/>
      </w:r>
      <w:r>
        <w:rPr>
          <w:noProof/>
        </w:rPr>
        <w:t>. Това определение обаче е изготвено с конкретно намерение — да се ограничат инструментите, в които предприятията за колективно инвестиране в прехвърлими ценни книжа (ПКИПЦК) могат да инвестират — и не може да послужи за по-широките цели на политиката на СКП.</w:t>
      </w:r>
    </w:p>
    <w:p>
      <w:pPr>
        <w:spacing w:before="0" w:after="240"/>
        <w:rPr>
          <w:noProof/>
        </w:rPr>
      </w:pPr>
      <w:r>
        <w:rPr>
          <w:noProof/>
        </w:rPr>
        <w:t>Очаква се евентуалната законодателна рамка на Съюза относно покритите облигации да увеличи възможностите на кредитните институции да финансират реалната икономика и да допринесе за развитието на покритите облигации в целия Съюз, особено в държавите членки, в които понастоящем няма пазар за тях.</w:t>
      </w:r>
    </w:p>
    <w:p>
      <w:pPr>
        <w:spacing w:before="0" w:after="240"/>
        <w:rPr>
          <w:noProof/>
        </w:rPr>
      </w:pPr>
      <w:r>
        <w:rPr>
          <w:noProof/>
        </w:rPr>
        <w:t>Тази рамка ще увеличи също така трансграничните потоци на капитал и инвестиции. По този начин тя ще допринесе за СКП, и по-специално за по-нататъшно разширяване на възможностите на кредитните институции да подкрепят икономиката като цяло. С нея по-специално ще се гарантира, че банките разполагат с широка гама от сигурни и ефективни инструменти за финансиране.</w:t>
      </w:r>
    </w:p>
    <w:p>
      <w:pPr>
        <w:spacing w:before="0" w:after="240"/>
        <w:rPr>
          <w:noProof/>
          <w:szCs w:val="24"/>
        </w:rPr>
      </w:pPr>
      <w:r>
        <w:rPr>
          <w:noProof/>
        </w:rPr>
        <w:t>Рамката се състои от директива и регламент — двата инструмента следва да бъдат разглеждани като единен пакет.</w:t>
      </w:r>
    </w:p>
    <w:p>
      <w:pPr>
        <w:pBdr>
          <w:top w:val="nil"/>
          <w:left w:val="nil"/>
          <w:bottom w:val="nil"/>
          <w:right w:val="nil"/>
          <w:between w:val="nil"/>
          <w:bar w:val="nil"/>
        </w:pBdr>
        <w:spacing w:before="0" w:after="240"/>
        <w:rPr>
          <w:noProof/>
          <w:szCs w:val="24"/>
        </w:rPr>
      </w:pPr>
      <w:r>
        <w:rPr>
          <w:noProof/>
        </w:rPr>
        <w:t xml:space="preserve">Основната цел на предложения регламент е да се измени член 129 от Регламент (ЕС) № 575/2013 (Регламент за капиталовите изисквания — РКИ). Измененията се основават на сегашното пруденциално третиране, но с тях се добавят изисквания за минимална свръхобезпеченост и заместващи активи. С тях ще се въведат по-строги изисквания по отношение на покритите облигации, за които се предоставя преференциално капиталово третиране. </w:t>
      </w:r>
    </w:p>
    <w:p>
      <w:pPr>
        <w:pBdr>
          <w:top w:val="nil"/>
          <w:left w:val="nil"/>
          <w:bottom w:val="nil"/>
          <w:right w:val="nil"/>
          <w:between w:val="nil"/>
          <w:bar w:val="nil"/>
        </w:pBdr>
        <w:spacing w:before="0" w:after="240"/>
        <w:rPr>
          <w:rFonts w:eastAsia="Arial Unicode MS"/>
          <w:noProof/>
        </w:rPr>
      </w:pPr>
      <w:r>
        <w:rPr>
          <w:noProof/>
        </w:rPr>
        <w:lastRenderedPageBreak/>
        <w:t>С предложената директива ще се определят основните елементи на покритите облигации и ще се предостави общо определение, което да послужи за последователна и достатъчно подробна отправна точка за целите на пруденциалното регулиране, приложима за всички финансови сектори. С нея ще се установят структурните характеристики на инструмента, специфичен за покритите облигации публичен надзор, правила за използване на знака „Европейски покрити облигации“, и задължения за компетентните органи за публикуване в областта на покритите облигации.</w:t>
      </w:r>
    </w:p>
    <w:p>
      <w:pPr>
        <w:pStyle w:val="ManualHeading2"/>
        <w:rPr>
          <w:rFonts w:eastAsia="Arial Unicode MS"/>
          <w:noProof/>
          <w:color w:val="000000"/>
          <w:u w:color="000000"/>
          <w:bdr w:val="nil"/>
        </w:rPr>
      </w:pPr>
      <w:bookmarkStart w:id="4" w:name="_Toc505766463"/>
      <w:r>
        <w:rPr>
          <w:noProof/>
          <w:color w:val="000000"/>
          <w:u w:color="000000"/>
          <w:bdr w:val="nil"/>
        </w:rPr>
        <w:t>•</w:t>
      </w:r>
      <w:r>
        <w:rPr>
          <w:noProof/>
        </w:rPr>
        <w:tab/>
        <w:t>Съгласуваност с действащите разпоредби в тази област на политиката</w:t>
      </w:r>
      <w:bookmarkEnd w:id="4"/>
    </w:p>
    <w:p>
      <w:pPr>
        <w:pBdr>
          <w:top w:val="nil"/>
          <w:left w:val="nil"/>
          <w:bottom w:val="nil"/>
          <w:right w:val="nil"/>
          <w:between w:val="nil"/>
          <w:bar w:val="nil"/>
        </w:pBdr>
        <w:spacing w:before="0" w:after="240"/>
        <w:rPr>
          <w:noProof/>
          <w:szCs w:val="24"/>
        </w:rPr>
      </w:pPr>
      <w:r>
        <w:rPr>
          <w:noProof/>
        </w:rPr>
        <w:t>Предложението е част от текущата работа за гарантиране на достатъчно високо качество на покритите облигации, което да е основание за продължаване на преференциалното им третиране.</w:t>
      </w:r>
    </w:p>
    <w:p>
      <w:pPr>
        <w:pBdr>
          <w:top w:val="nil"/>
          <w:left w:val="nil"/>
          <w:bottom w:val="nil"/>
          <w:right w:val="nil"/>
          <w:between w:val="nil"/>
          <w:bar w:val="nil"/>
        </w:pBdr>
        <w:spacing w:before="0" w:after="240"/>
        <w:rPr>
          <w:noProof/>
          <w:szCs w:val="24"/>
        </w:rPr>
      </w:pPr>
      <w:r>
        <w:rPr>
          <w:noProof/>
        </w:rPr>
        <w:t>То се основава на текущите усилия на Европейския банков орган (ЕБО) да определи най-добрите практики по отношение на емитирането на покрити облигации</w:t>
      </w:r>
      <w:r>
        <w:rPr>
          <w:rStyle w:val="FootnoteReference"/>
          <w:noProof/>
        </w:rPr>
        <w:footnoteReference w:id="5"/>
      </w:r>
      <w:r>
        <w:rPr>
          <w:noProof/>
        </w:rPr>
        <w:t>. Тези усилия са в отговор на препоръката на Европейски съвет за системен риск (ЕССР) за определяне и наблюдение на най-добрите практики, за да се осигури устойчива и съгласувана рамка за покритите облигации в целия Съюз</w:t>
      </w:r>
      <w:r>
        <w:rPr>
          <w:rStyle w:val="FootnoteReference"/>
          <w:noProof/>
        </w:rPr>
        <w:footnoteReference w:id="6"/>
      </w:r>
      <w:r>
        <w:rPr>
          <w:noProof/>
        </w:rPr>
        <w:t>.</w:t>
      </w:r>
    </w:p>
    <w:p>
      <w:pPr>
        <w:pBdr>
          <w:top w:val="nil"/>
          <w:left w:val="nil"/>
          <w:bottom w:val="nil"/>
          <w:right w:val="nil"/>
          <w:between w:val="nil"/>
          <w:bar w:val="nil"/>
        </w:pBdr>
        <w:spacing w:before="0" w:after="240"/>
        <w:rPr>
          <w:rFonts w:eastAsia="Arial Unicode MS"/>
          <w:noProof/>
        </w:rPr>
      </w:pPr>
      <w:r>
        <w:rPr>
          <w:noProof/>
        </w:rPr>
        <w:t>С предложението действащото законодателство се изменя в съответствие с препоръката на ЕБО и се привежда в пълно съответствие с разпоредбите на политиката в областта на пруденциалните изисквания за инвестиращите в покрити облигации институции.</w:t>
      </w:r>
    </w:p>
    <w:p>
      <w:pPr>
        <w:pStyle w:val="ManualHeading2"/>
        <w:rPr>
          <w:rFonts w:eastAsia="Arial Unicode MS"/>
          <w:noProof/>
        </w:rPr>
      </w:pPr>
      <w:bookmarkStart w:id="5" w:name="_Toc505766464"/>
      <w:r>
        <w:rPr>
          <w:noProof/>
          <w:color w:val="000000"/>
          <w:u w:color="000000"/>
          <w:bdr w:val="nil"/>
        </w:rPr>
        <w:t>•</w:t>
      </w:r>
      <w:r>
        <w:rPr>
          <w:noProof/>
        </w:rPr>
        <w:tab/>
        <w:t>Съгласуваност с други политики на Съюза</w:t>
      </w:r>
      <w:bookmarkEnd w:id="5"/>
    </w:p>
    <w:p>
      <w:pPr>
        <w:pBdr>
          <w:top w:val="nil"/>
          <w:left w:val="nil"/>
          <w:bottom w:val="nil"/>
          <w:right w:val="nil"/>
          <w:between w:val="nil"/>
          <w:bar w:val="nil"/>
        </w:pBdr>
        <w:spacing w:before="0" w:after="240"/>
        <w:rPr>
          <w:noProof/>
          <w:szCs w:val="24"/>
        </w:rPr>
      </w:pPr>
      <w:r>
        <w:rPr>
          <w:noProof/>
        </w:rPr>
        <w:t>Една от най-важните цели на Комисията е да се стимулират инвестициите и да се създадат работни места. Комисията вече започна някои инициативи, с които да гарантира, че финансовата система дава своя пълен принос в това отношение. На първо място сред тях е инициативата за СКП, която обхваща редица инициативи за мобилизиране на средства за растежа в Европа. Покритите облигации следва да се разглеждат в контекста на СКП, тъй като банковото финансиране понастоящем е подчертано най-важният канал за финансиране в Европа и едно от действията по инициативата за СКП е допълнително да се разширят възможностите на банките да подкрепят икономиката като цяло. За европейските банки покритите облигации представляват ефективен и стабилен инструмент за финансиране. Евентуалната законодателна рамка за хармонизиране на покритите облигации следва да се разглежда в този по-широк контекст.</w:t>
      </w:r>
    </w:p>
    <w:p>
      <w:pPr>
        <w:pBdr>
          <w:top w:val="nil"/>
          <w:left w:val="nil"/>
          <w:bottom w:val="nil"/>
          <w:right w:val="nil"/>
          <w:between w:val="nil"/>
          <w:bar w:val="nil"/>
        </w:pBdr>
        <w:spacing w:before="0" w:after="240"/>
        <w:rPr>
          <w:rFonts w:eastAsia="Arial Unicode MS"/>
          <w:noProof/>
        </w:rPr>
      </w:pPr>
      <w:r>
        <w:rPr>
          <w:noProof/>
        </w:rPr>
        <w:t xml:space="preserve">Друга важна цел на Комисията в сферата на финансовите пазари е да се гарантира, че капиталовите изисквания за банките отразяват в техните баланси свързаните с активите рискове. Съответно с изискванията по РКИ се гарантира, че покритите облигации, за които се предоставя най-преференциалното третиране, се характеризират с постоянно високо ниво на защита на инвеститорите. Тъй като обаче правото на Съюза не урежда по изчерпателен начин това какво всъщност представлява покритата облигация (вж. по-горе), е необходимо хармонизиране, за да се гарантира, че покритите облигации имат подобни структурни характеристики в целия Съюз, които осигуряват съответствието </w:t>
      </w:r>
      <w:r>
        <w:rPr>
          <w:noProof/>
        </w:rPr>
        <w:lastRenderedPageBreak/>
        <w:t>им с приложимите пруденциални изисквания. Поради това хармонизирането е в съответствие с целта на Комисията за финансова стабилност, която тя си е поставила при регулирането на финансовите пазари.</w:t>
      </w:r>
    </w:p>
    <w:p>
      <w:pPr>
        <w:pStyle w:val="ManualHeading1"/>
        <w:rPr>
          <w:noProof/>
        </w:rPr>
      </w:pPr>
      <w:bookmarkStart w:id="6" w:name="_Toc505766465"/>
      <w:r>
        <w:rPr>
          <w:noProof/>
        </w:rPr>
        <w:t>2.</w:t>
      </w:r>
      <w:r>
        <w:rPr>
          <w:noProof/>
        </w:rPr>
        <w:tab/>
        <w:t>ПРАВНО ОСНОВАНИЕ, СУБСИДИАРНОСТ И ПРОПОРЦИОНАЛНОСТ</w:t>
      </w:r>
      <w:bookmarkEnd w:id="6"/>
    </w:p>
    <w:p>
      <w:pPr>
        <w:pStyle w:val="ManualHeading2"/>
        <w:rPr>
          <w:rFonts w:eastAsia="Arial Unicode MS"/>
          <w:noProof/>
          <w:u w:color="000000"/>
          <w:bdr w:val="nil"/>
        </w:rPr>
      </w:pPr>
      <w:bookmarkStart w:id="7" w:name="_Toc505766466"/>
      <w:r>
        <w:rPr>
          <w:noProof/>
        </w:rPr>
        <w:t>•</w:t>
      </w:r>
      <w:r>
        <w:rPr>
          <w:noProof/>
        </w:rPr>
        <w:tab/>
        <w:t>Правно основание</w:t>
      </w:r>
      <w:bookmarkEnd w:id="7"/>
    </w:p>
    <w:p>
      <w:pPr>
        <w:pBdr>
          <w:top w:val="nil"/>
          <w:left w:val="nil"/>
          <w:bottom w:val="nil"/>
          <w:right w:val="nil"/>
          <w:between w:val="nil"/>
          <w:bar w:val="nil"/>
        </w:pBdr>
        <w:spacing w:before="0" w:after="240"/>
        <w:rPr>
          <w:rFonts w:eastAsia="Arial Unicode MS"/>
          <w:noProof/>
        </w:rPr>
      </w:pPr>
      <w:r>
        <w:rPr>
          <w:noProof/>
        </w:rPr>
        <w:t>Предложеното изменение се основава на член 114 от Договора за функционирането на Европейския съюз, т.е. същото правно основание като това на изменяния акт.</w:t>
      </w:r>
    </w:p>
    <w:p>
      <w:pPr>
        <w:pStyle w:val="ManualHeading2"/>
        <w:rPr>
          <w:rFonts w:eastAsia="Arial Unicode MS"/>
          <w:noProof/>
          <w:u w:color="000000"/>
          <w:bdr w:val="nil"/>
        </w:rPr>
      </w:pPr>
      <w:bookmarkStart w:id="8" w:name="_Toc505766467"/>
      <w:r>
        <w:rPr>
          <w:noProof/>
        </w:rPr>
        <w:t>•</w:t>
      </w:r>
      <w:r>
        <w:rPr>
          <w:noProof/>
        </w:rPr>
        <w:tab/>
        <w:t>Субсидиарност (извън областите на изключителна компетентност)</w:t>
      </w:r>
      <w:bookmarkEnd w:id="8"/>
      <w:r>
        <w:rPr>
          <w:noProof/>
        </w:rPr>
        <w:t xml:space="preserve"> </w:t>
      </w:r>
    </w:p>
    <w:p>
      <w:pPr>
        <w:pBdr>
          <w:top w:val="nil"/>
          <w:left w:val="nil"/>
          <w:bottom w:val="nil"/>
          <w:right w:val="nil"/>
          <w:between w:val="nil"/>
          <w:bar w:val="nil"/>
        </w:pBdr>
        <w:spacing w:before="0" w:after="240"/>
        <w:rPr>
          <w:rFonts w:eastAsia="Arial Unicode MS"/>
          <w:noProof/>
        </w:rPr>
      </w:pPr>
      <w:r>
        <w:rPr>
          <w:noProof/>
        </w:rPr>
        <w:t>Тъй като законодателството на Съюза предоставя преференциално капиталово третиране на покритите облигации, свързаните с него изисквания трябва да бъдат изменени на равнището на Съюза. Освен това се счита за необходимо изискванията за преференциално капиталово третиране да се установят на равнището на Съюза, за да се гарантират съгласувана степен на защита на инвеститорите и еднакви условия на конкуренция за европейските кредитни институции.</w:t>
      </w:r>
    </w:p>
    <w:p>
      <w:pPr>
        <w:pStyle w:val="ManualHeading2"/>
        <w:rPr>
          <w:rFonts w:eastAsia="Arial Unicode MS"/>
          <w:noProof/>
          <w:u w:color="000000"/>
          <w:bdr w:val="nil"/>
        </w:rPr>
      </w:pPr>
      <w:bookmarkStart w:id="9" w:name="_Toc505766468"/>
      <w:r>
        <w:rPr>
          <w:noProof/>
        </w:rPr>
        <w:t>•</w:t>
      </w:r>
      <w:r>
        <w:rPr>
          <w:noProof/>
        </w:rPr>
        <w:tab/>
        <w:t>Пропорционалност</w:t>
      </w:r>
      <w:bookmarkEnd w:id="9"/>
    </w:p>
    <w:p>
      <w:pPr>
        <w:pBdr>
          <w:top w:val="nil"/>
          <w:left w:val="nil"/>
          <w:bottom w:val="nil"/>
          <w:right w:val="nil"/>
          <w:between w:val="nil"/>
          <w:bar w:val="nil"/>
        </w:pBdr>
        <w:spacing w:before="0" w:after="240"/>
        <w:rPr>
          <w:noProof/>
          <w:szCs w:val="24"/>
        </w:rPr>
      </w:pPr>
      <w:r>
        <w:rPr>
          <w:noProof/>
        </w:rPr>
        <w:t>С предложението се постига баланс между това да се осигури достатъчно устойчива рамка за покритите облигации, за които се предоставя преференциално третиране, и да се избегне прекомерното увеличаване на разходите за емитиране. Като се стремеше да постигне точния баланс, Комисията разгледа всички свързани разходи и потенциални ползи (вж. придружаващата оценка на въздействието). Предложението се основава на препоръките от доклада на ЕБО от 2016 г., но дава възможност за известни ограничени отклонения (напр. някои разпоредби са не толкова подробни, колкото е предвидено в доклада на ЕБО). Целта е да се оставят повече възможности за защита на съществуващите добре функциониращи национални системи, което бе категорично предложено от заинтересованите страни по време на консултациите и с което се подобрява пропорционалността на предложението. Отклоненията не засягат основните структурни характеристики на покритите облигации и надзора върху тях.</w:t>
      </w:r>
    </w:p>
    <w:p>
      <w:pPr>
        <w:pBdr>
          <w:top w:val="nil"/>
          <w:left w:val="nil"/>
          <w:bottom w:val="nil"/>
          <w:right w:val="nil"/>
          <w:between w:val="nil"/>
          <w:bar w:val="nil"/>
        </w:pBdr>
        <w:spacing w:before="0" w:after="240"/>
        <w:rPr>
          <w:rFonts w:eastAsia="Arial Unicode MS"/>
          <w:noProof/>
        </w:rPr>
      </w:pPr>
      <w:r>
        <w:rPr>
          <w:noProof/>
        </w:rPr>
        <w:t>В предложението са включени разпоредби относно унаследяването на съществуващи покрити облигации, за да се разпределят равномерно във времето разходите за техните емитенти и за пазарите. Както е видно от оценката на въздействието, очакваните разходи може да се считат за пропорционални спрямо очакваните ползи.</w:t>
      </w:r>
    </w:p>
    <w:p>
      <w:pPr>
        <w:pStyle w:val="ManualHeading2"/>
        <w:rPr>
          <w:rFonts w:eastAsia="Arial Unicode MS"/>
          <w:noProof/>
          <w:u w:color="000000"/>
          <w:bdr w:val="nil"/>
        </w:rPr>
      </w:pPr>
      <w:bookmarkStart w:id="10" w:name="_Toc505766469"/>
      <w:r>
        <w:rPr>
          <w:noProof/>
        </w:rPr>
        <w:t>•</w:t>
      </w:r>
      <w:r>
        <w:rPr>
          <w:noProof/>
        </w:rPr>
        <w:tab/>
        <w:t>Избор на инструмент</w:t>
      </w:r>
      <w:bookmarkEnd w:id="10"/>
    </w:p>
    <w:p>
      <w:pPr>
        <w:pBdr>
          <w:top w:val="nil"/>
          <w:left w:val="nil"/>
          <w:bottom w:val="nil"/>
          <w:right w:val="nil"/>
          <w:between w:val="nil"/>
          <w:bar w:val="nil"/>
        </w:pBdr>
        <w:spacing w:before="0" w:after="240"/>
        <w:rPr>
          <w:rFonts w:eastAsia="Arial Unicode MS"/>
          <w:noProof/>
        </w:rPr>
      </w:pPr>
      <w:r>
        <w:rPr>
          <w:noProof/>
        </w:rPr>
        <w:t>Подходящият инструмент е регламент, тъй като разпоредбите заменят тези в Регламент (ЕС) № 575/2013, които се отнасят за допустимостта на покритите облигации за преференциално капиталово третиране. Това води до същите преки правни последици като при сега действащия регламент, с което се гарантира, че целите на предложението се постигат по съгласуван начин в целия Съюз, и се допринася за по-голяма сигурност и еднакви условия на конкуренция за емитентите и инвеститорите.</w:t>
      </w:r>
    </w:p>
    <w:p>
      <w:pPr>
        <w:pStyle w:val="ManualHeading1"/>
        <w:rPr>
          <w:noProof/>
        </w:rPr>
      </w:pPr>
      <w:bookmarkStart w:id="11" w:name="_Toc505766470"/>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bookmarkEnd w:id="11"/>
    </w:p>
    <w:p>
      <w:pPr>
        <w:pStyle w:val="ManualHeading2"/>
        <w:rPr>
          <w:rFonts w:eastAsia="Arial Unicode MS"/>
          <w:noProof/>
          <w:u w:color="000000"/>
          <w:bdr w:val="nil"/>
        </w:rPr>
      </w:pPr>
      <w:bookmarkStart w:id="12" w:name="_Toc505766471"/>
      <w:r>
        <w:rPr>
          <w:noProof/>
        </w:rPr>
        <w:t>•</w:t>
      </w:r>
      <w:r>
        <w:rPr>
          <w:noProof/>
        </w:rPr>
        <w:tab/>
        <w:t>Последващи оценки/проверки за пригодност на действащото законодателство</w:t>
      </w:r>
      <w:bookmarkEnd w:id="12"/>
    </w:p>
    <w:p>
      <w:pPr>
        <w:pBdr>
          <w:top w:val="nil"/>
          <w:left w:val="nil"/>
          <w:bottom w:val="nil"/>
          <w:right w:val="nil"/>
          <w:between w:val="nil"/>
          <w:bar w:val="nil"/>
        </w:pBdr>
        <w:spacing w:before="0" w:after="240"/>
        <w:rPr>
          <w:rFonts w:eastAsia="Arial Unicode MS"/>
          <w:noProof/>
        </w:rPr>
      </w:pPr>
      <w:r>
        <w:rPr>
          <w:noProof/>
        </w:rPr>
        <w:t>Инициативата относно покритите облигации засяга област, която понастоящем до голяма степен не е уредена от законодателството на Съюза.</w:t>
      </w:r>
    </w:p>
    <w:p>
      <w:pPr>
        <w:pStyle w:val="ManualHeading2"/>
        <w:rPr>
          <w:rFonts w:eastAsia="Arial Unicode MS"/>
          <w:noProof/>
          <w:u w:color="000000"/>
          <w:bdr w:val="nil"/>
        </w:rPr>
      </w:pPr>
      <w:bookmarkStart w:id="13" w:name="_Toc505766472"/>
      <w:r>
        <w:rPr>
          <w:noProof/>
        </w:rPr>
        <w:t>•</w:t>
      </w:r>
      <w:r>
        <w:rPr>
          <w:noProof/>
        </w:rPr>
        <w:tab/>
        <w:t>Консултации със заинтересованите страни</w:t>
      </w:r>
      <w:bookmarkEnd w:id="13"/>
    </w:p>
    <w:p>
      <w:pPr>
        <w:spacing w:before="0"/>
        <w:rPr>
          <w:noProof/>
          <w:szCs w:val="24"/>
        </w:rPr>
      </w:pPr>
      <w:r>
        <w:rPr>
          <w:noProof/>
        </w:rPr>
        <w:t xml:space="preserve">Комисията проведе консултации със заинтересованите страни в няколко случая при подготовката на настоящото предложение, и по-специално посредством: </w:t>
      </w:r>
    </w:p>
    <w:p>
      <w:pPr>
        <w:spacing w:before="0"/>
        <w:rPr>
          <w:noProof/>
          <w:szCs w:val="24"/>
        </w:rPr>
      </w:pPr>
      <w:r>
        <w:rPr>
          <w:noProof/>
        </w:rPr>
        <w:t>i)</w:t>
      </w:r>
      <w:r>
        <w:rPr>
          <w:noProof/>
        </w:rPr>
        <w:tab/>
        <w:t>открита обществена консултация относно покритите облигации (от септември 2015 г. до 6-ти януари 2016 г.),</w:t>
      </w:r>
    </w:p>
    <w:p>
      <w:pPr>
        <w:spacing w:before="0"/>
        <w:rPr>
          <w:noProof/>
          <w:szCs w:val="24"/>
        </w:rPr>
      </w:pPr>
      <w:r>
        <w:rPr>
          <w:noProof/>
        </w:rPr>
        <w:t>ii)</w:t>
      </w:r>
      <w:r>
        <w:rPr>
          <w:noProof/>
        </w:rPr>
        <w:tab/>
        <w:t xml:space="preserve">публикуване на оценка на въздействието от етапа на създаване (9-ти юни 2017 г.), </w:t>
      </w:r>
    </w:p>
    <w:p>
      <w:pPr>
        <w:spacing w:before="0"/>
        <w:rPr>
          <w:noProof/>
          <w:szCs w:val="24"/>
        </w:rPr>
      </w:pPr>
      <w:r>
        <w:rPr>
          <w:noProof/>
        </w:rPr>
        <w:t>iii)</w:t>
      </w:r>
      <w:r>
        <w:rPr>
          <w:noProof/>
        </w:rPr>
        <w:tab/>
        <w:t>две заседания на Експертната група по банково дело, плащания и застраховане и едно заседание на Комитета по финансови услуги.</w:t>
      </w:r>
    </w:p>
    <w:p>
      <w:pPr>
        <w:spacing w:before="0" w:after="240"/>
        <w:rPr>
          <w:noProof/>
          <w:szCs w:val="24"/>
        </w:rPr>
      </w:pPr>
      <w:r>
        <w:rPr>
          <w:noProof/>
        </w:rPr>
        <w:t>Съгласно Плана за действие за СКП целта на обществената консултация бе да се оценят слабостите и уязвимите звена на националните пазари на покрити облигации и да се преценят предимствата от въвеждането на европейска рамка. Макар респондентите да имаха опасения, че основано на универсален подход хармонизиране би могло да наруши работата на добре функциониращи пазари и да ограничи гъвкавостта и предлаганата гама продукти, те също така изразиха умерена подкрепа за целенасочени действия на равнището на ЕС, при условие че хармонизирането се основава на принципи и на съществуващите рамки и че при него се отчитат особеностите на националните пазари. Резултатите от консултацията бяха обсъдени на публично изслушване, проведено на 1 февруари 2016 г.</w:t>
      </w:r>
      <w:r>
        <w:rPr>
          <w:rStyle w:val="FootnoteReference"/>
          <w:noProof/>
        </w:rPr>
        <w:footnoteReference w:id="7"/>
      </w:r>
    </w:p>
    <w:p>
      <w:pPr>
        <w:spacing w:before="0" w:after="240"/>
        <w:rPr>
          <w:rFonts w:eastAsia="Times New Roman"/>
          <w:noProof/>
          <w:szCs w:val="24"/>
        </w:rPr>
      </w:pPr>
      <w:r>
        <w:rPr>
          <w:noProof/>
        </w:rPr>
        <w:t>Комисията получи четири отговора относно първоначалната оценка на въздействието, като всички те бяха в подкрепа на законодателната инициатива на ЕС. Респондентите посочиха конкретни аспекти от съответната национална рамка (напр. по отношение на ликвидността) и потвърдиха общото мнение в полза на хармонизацията, без да се накърнява действието на добре функциониращите национални системи.</w:t>
      </w:r>
    </w:p>
    <w:p>
      <w:pPr>
        <w:spacing w:before="0" w:after="240"/>
        <w:rPr>
          <w:rFonts w:eastAsia="Times New Roman"/>
          <w:noProof/>
          <w:szCs w:val="24"/>
        </w:rPr>
      </w:pPr>
      <w:r>
        <w:rPr>
          <w:noProof/>
        </w:rPr>
        <w:t>На първото заседание на Експертната група по банково дело, плащания и застраховане (9 юни 2017 г.) повечето държави членки изразиха подкрепа за установяването на рамка за покритите облигации на равнището на Съюза въз основа на препоръката на ЕБО от 2016 г., стига тя да бъде на принципна основа. По време на втората среща (28 септември 2017 г.) се проведе по-задълбочена дискусия, но в общи линии държавите членки отново подкрепиха подхода, застъпващ принципната основа. Те изразиха сходни мнения и на заседанието на Комитета по финансови услуги през юли 2017 г.</w:t>
      </w:r>
    </w:p>
    <w:p>
      <w:pPr>
        <w:pBdr>
          <w:top w:val="nil"/>
          <w:left w:val="nil"/>
          <w:bottom w:val="nil"/>
          <w:right w:val="nil"/>
          <w:between w:val="nil"/>
          <w:bar w:val="nil"/>
        </w:pBdr>
        <w:spacing w:before="0" w:after="240"/>
        <w:rPr>
          <w:noProof/>
          <w:szCs w:val="24"/>
        </w:rPr>
      </w:pPr>
      <w:r>
        <w:rPr>
          <w:noProof/>
        </w:rPr>
        <w:t xml:space="preserve">Предложението стъпва и върху информацията, получена на допълнителните срещи със заинтересованите страни и институциите на ЕС. Като цяло (въпреки тенденцията да акцентират върху своята индивидуална гледна точка) заинтересованите страни подчертаха потребността да се постигне равновесие между необходимите изменения на </w:t>
      </w:r>
      <w:r>
        <w:rPr>
          <w:noProof/>
        </w:rPr>
        <w:lastRenderedPageBreak/>
        <w:t>съществуващата рамка с цел преодоляване на проблемите от пруденциален характер, от една страна, и стремежа да се избегнат смущения в действието на добре функциониращите национални системи, от друга. Проблемите от пруденциален характер, свързани с преференциалното третиране на покритите облигации, бяха подчертани най-вече от ЕССР, ЕБО и Европейската централна банка, и до известна степен от компетентните органи на държавите членки, притежаващи добре развити пазари на покрити облигации, както и от агенциите за кредитен рейтинг; съображенията, свързани със запазването на добре функциониращите национални пазари, бяха застъпени в мненията предимно на държавите членки с добре развити пазари на покрити облигации, на емитентите и на инвеститорите.</w:t>
      </w:r>
    </w:p>
    <w:p>
      <w:pPr>
        <w:pBdr>
          <w:top w:val="nil"/>
          <w:left w:val="nil"/>
          <w:bottom w:val="nil"/>
          <w:right w:val="nil"/>
          <w:between w:val="nil"/>
          <w:bar w:val="nil"/>
        </w:pBdr>
        <w:spacing w:before="0" w:after="240"/>
        <w:rPr>
          <w:rFonts w:eastAsia="Arial Unicode MS"/>
          <w:noProof/>
        </w:rPr>
      </w:pPr>
      <w:r>
        <w:rPr>
          <w:noProof/>
        </w:rPr>
        <w:t>Подкрепа за действията изрази и Европейският парламент, като призова за европейска законодателна рамка в областта на покритите облигации</w:t>
      </w:r>
      <w:r>
        <w:rPr>
          <w:rStyle w:val="FootnoteReference"/>
          <w:noProof/>
        </w:rPr>
        <w:footnoteReference w:id="8"/>
      </w:r>
      <w:r>
        <w:rPr>
          <w:noProof/>
        </w:rPr>
        <w:t>.</w:t>
      </w:r>
    </w:p>
    <w:p>
      <w:pPr>
        <w:pStyle w:val="ManualHeading2"/>
        <w:rPr>
          <w:rFonts w:eastAsia="Arial Unicode MS"/>
          <w:noProof/>
          <w:u w:color="000000"/>
          <w:bdr w:val="nil"/>
        </w:rPr>
      </w:pPr>
      <w:bookmarkStart w:id="14" w:name="_Toc505766473"/>
      <w:r>
        <w:rPr>
          <w:noProof/>
        </w:rPr>
        <w:t>•</w:t>
      </w:r>
      <w:r>
        <w:rPr>
          <w:noProof/>
        </w:rPr>
        <w:tab/>
        <w:t>Събиране и използване на експертни становища</w:t>
      </w:r>
      <w:bookmarkEnd w:id="14"/>
    </w:p>
    <w:p>
      <w:pPr>
        <w:spacing w:before="0" w:after="240"/>
        <w:rPr>
          <w:noProof/>
          <w:szCs w:val="24"/>
        </w:rPr>
      </w:pPr>
      <w:r>
        <w:rPr>
          <w:noProof/>
        </w:rPr>
        <w:t>На 1 юли 2014 г. ЕБО представи доклад, в който извежда най-добрите практики за осигуряването на устойчива и съгласувана рамка за покритите облигации в целия Съюз</w:t>
      </w:r>
      <w:r>
        <w:rPr>
          <w:rStyle w:val="FootnoteReference"/>
          <w:noProof/>
        </w:rPr>
        <w:footnoteReference w:id="9"/>
      </w:r>
      <w:r>
        <w:rPr>
          <w:noProof/>
        </w:rPr>
        <w:t>. Докладът бе изготвен в отговор на Препоръката на ЕССР от декември 2012 г. относно финансирането на кредитните институции</w:t>
      </w:r>
      <w:r>
        <w:rPr>
          <w:rStyle w:val="FootnoteReference"/>
          <w:noProof/>
        </w:rPr>
        <w:footnoteReference w:id="10"/>
      </w:r>
      <w:r>
        <w:rPr>
          <w:noProof/>
        </w:rPr>
        <w:t>. В документа ЕБО представя и становището си относно адекватността на настоящото пруденциално третиране на покритите облигации, което Комисията поиска през декември 2013 г. по силата на член 503 от РКИ</w:t>
      </w:r>
      <w:r>
        <w:rPr>
          <w:rStyle w:val="FootnoteReference"/>
          <w:noProof/>
        </w:rPr>
        <w:footnoteReference w:id="11"/>
      </w:r>
      <w:r>
        <w:rPr>
          <w:noProof/>
        </w:rPr>
        <w:t>.</w:t>
      </w:r>
    </w:p>
    <w:p>
      <w:pPr>
        <w:spacing w:before="0" w:after="240"/>
        <w:rPr>
          <w:noProof/>
          <w:szCs w:val="24"/>
        </w:rPr>
      </w:pPr>
      <w:r>
        <w:rPr>
          <w:noProof/>
        </w:rPr>
        <w:t>Като следваща стъпка ЕССР отправи препоръка до ЕБО да наблюдава функционирането на пазара на покрити облигации от гледна точка на набелязаните от ЕБО най-добри практики, като го призова да препоръча по-нататъшни действия при необходимост.</w:t>
      </w:r>
    </w:p>
    <w:p>
      <w:pPr>
        <w:spacing w:before="0" w:after="240"/>
        <w:rPr>
          <w:noProof/>
          <w:szCs w:val="24"/>
        </w:rPr>
      </w:pPr>
      <w:r>
        <w:rPr>
          <w:noProof/>
        </w:rPr>
        <w:t xml:space="preserve">В отговор на това през декември 2016 г. ЕБО представи </w:t>
      </w:r>
      <w:r>
        <w:rPr>
          <w:i/>
          <w:noProof/>
        </w:rPr>
        <w:t>Доклад за покритите облигации — препоръки относно хармонизацията на рамката за покритите облигации в ЕС</w:t>
      </w:r>
      <w:r>
        <w:rPr>
          <w:noProof/>
        </w:rPr>
        <w:t>. Той включва цялостен анализ на промените в регулаторната среда на покритите облигации в отделни държави членки, като поставя специален акцент върху степента на хармонизация с най-добрите практики, установени в предишния доклад. Въз основа на резултатите от анализа ЕБО призова за законодателни действия, насочени към хармонизация на рамката за покритите облигации на равнището на Съюза.</w:t>
      </w:r>
    </w:p>
    <w:p>
      <w:pPr>
        <w:spacing w:before="0" w:after="240"/>
        <w:rPr>
          <w:noProof/>
          <w:szCs w:val="24"/>
        </w:rPr>
      </w:pPr>
      <w:r>
        <w:rPr>
          <w:noProof/>
        </w:rPr>
        <w:t>Настоящото предложение се опира на анализа и препоръките, представени от ЕБО. То се отклонява от тях в няколко по-второстепенни области – например, степента на подробност, свързана с дериватите в пула от обезпечения, незадължителния характер на наблюдението на пула от обезпечения, както и равнището на свръхобезпеченoст.</w:t>
      </w:r>
    </w:p>
    <w:p>
      <w:pPr>
        <w:pBdr>
          <w:top w:val="nil"/>
          <w:left w:val="nil"/>
          <w:bottom w:val="nil"/>
          <w:right w:val="nil"/>
          <w:between w:val="nil"/>
          <w:bar w:val="nil"/>
        </w:pBdr>
        <w:spacing w:before="0" w:after="240"/>
        <w:rPr>
          <w:noProof/>
          <w:szCs w:val="24"/>
        </w:rPr>
      </w:pPr>
      <w:r>
        <w:rPr>
          <w:noProof/>
        </w:rPr>
        <w:lastRenderedPageBreak/>
        <w:t>През август 2016 г. Комисията възложи на ICF</w:t>
      </w:r>
      <w:r>
        <w:rPr>
          <w:rStyle w:val="FootnoteReference"/>
          <w:noProof/>
        </w:rPr>
        <w:footnoteReference w:id="12"/>
      </w:r>
      <w:r>
        <w:rPr>
          <w:noProof/>
        </w:rPr>
        <w:t xml:space="preserve"> проучване, въз основа на което да се оценят текущото функциониране на пазарите на покрити облигации, както и разходите и ползите от евентуално действие на ЕС. Проучването беше публикувано през май 2017 г. и в него бяха разгледани потенциалните ползи и разходи, свързани с препоръките на ЕБО. В документа се стига до общото заключение, че потенциалните ползи от законодателната инициатива са повече от потенциалните разходи, което дава основания за предприемане на законодателното действие.</w:t>
      </w:r>
    </w:p>
    <w:p>
      <w:pPr>
        <w:pBdr>
          <w:top w:val="nil"/>
          <w:left w:val="nil"/>
          <w:bottom w:val="nil"/>
          <w:right w:val="nil"/>
          <w:between w:val="nil"/>
          <w:bar w:val="nil"/>
        </w:pBdr>
        <w:spacing w:before="0" w:after="240"/>
        <w:rPr>
          <w:rFonts w:eastAsia="Arial Unicode MS"/>
          <w:noProof/>
        </w:rPr>
      </w:pPr>
      <w:r>
        <w:rPr>
          <w:noProof/>
        </w:rPr>
        <w:t>През декември 2017 г. Базелският комитет по банков надзор (БКБН) завърши последните следкризисни реформи на „Базел III“ – международната регулаторна рамка за банките</w:t>
      </w:r>
      <w:r>
        <w:rPr>
          <w:rStyle w:val="FootnoteReference"/>
          <w:noProof/>
        </w:rPr>
        <w:footnoteReference w:id="13"/>
      </w:r>
      <w:r>
        <w:rPr>
          <w:noProof/>
        </w:rPr>
        <w:t>. Като част от реформите БКБН преразгледа стандартизирания подход към кредитния риск, като наред с другото включи и нови стандарти за експозициите към покрити облигации. За първи път новите стандарти до голяма степен възпроизвеждат на международно равнище подхода, използван от ЕС в РКИ, като дават възможност при определени условия да се определят по-ниски рискови тегла за експозициите към покрити облигации. Така се признава, че третирането на покритите облигации е ЕС е издържано в пруденциално отношение и е обосновано от гледна точка на основните характеристики на този инструмент.</w:t>
      </w:r>
    </w:p>
    <w:p>
      <w:pPr>
        <w:pStyle w:val="ManualHeading2"/>
        <w:rPr>
          <w:rFonts w:eastAsia="Arial Unicode MS"/>
          <w:noProof/>
          <w:u w:color="000000"/>
          <w:bdr w:val="nil"/>
        </w:rPr>
      </w:pPr>
      <w:bookmarkStart w:id="15" w:name="_Toc505766474"/>
      <w:r>
        <w:rPr>
          <w:noProof/>
        </w:rPr>
        <w:t>•</w:t>
      </w:r>
      <w:r>
        <w:rPr>
          <w:noProof/>
        </w:rPr>
        <w:tab/>
        <w:t>Оценка на въздействието</w:t>
      </w:r>
      <w:bookmarkEnd w:id="15"/>
    </w:p>
    <w:p>
      <w:pPr>
        <w:spacing w:before="0" w:after="240"/>
        <w:rPr>
          <w:noProof/>
          <w:szCs w:val="24"/>
        </w:rPr>
      </w:pPr>
      <w:r>
        <w:rPr>
          <w:noProof/>
        </w:rPr>
        <w:t>Настоящото предложение е придружено от оценка на въздействието, която бе представена на Комитета за регулаторен контрол (КРК) на 6 октомври 2017 г. и одобрена на 17 ноември 2017 г.</w:t>
      </w:r>
      <w:r>
        <w:rPr>
          <w:rStyle w:val="FootnoteReference"/>
          <w:noProof/>
        </w:rPr>
        <w:footnoteReference w:id="14"/>
      </w:r>
    </w:p>
    <w:p>
      <w:pPr>
        <w:spacing w:before="0"/>
        <w:rPr>
          <w:noProof/>
          <w:szCs w:val="24"/>
        </w:rPr>
      </w:pPr>
      <w:r>
        <w:rPr>
          <w:noProof/>
        </w:rPr>
        <w:t xml:space="preserve">КРК оцени високо широкообхватната и добре структурирана оценка на въздействието, като подчерта систематичното следване на логиката на намесата, както и множеството количествени данни, представени в подкрепа на заключенията в нея. КРК препоръча изменения на доклада в две насоки: </w:t>
      </w:r>
    </w:p>
    <w:p>
      <w:pPr>
        <w:spacing w:before="0"/>
        <w:rPr>
          <w:noProof/>
          <w:szCs w:val="24"/>
        </w:rPr>
      </w:pPr>
      <w:r>
        <w:rPr>
          <w:noProof/>
        </w:rPr>
        <w:t>а)</w:t>
      </w:r>
      <w:r>
        <w:rPr>
          <w:noProof/>
        </w:rPr>
        <w:tab/>
        <w:t>да се посочат причините, поради които „29-ият режим“ се смята за непривлекателен;</w:t>
      </w:r>
      <w:r>
        <w:rPr>
          <w:noProof/>
        </w:rPr>
        <w:tab/>
        <w:t xml:space="preserve">и </w:t>
      </w:r>
    </w:p>
    <w:p>
      <w:pPr>
        <w:spacing w:before="0" w:after="240"/>
        <w:rPr>
          <w:noProof/>
          <w:szCs w:val="24"/>
        </w:rPr>
      </w:pPr>
      <w:r>
        <w:rPr>
          <w:noProof/>
        </w:rPr>
        <w:t>б)</w:t>
      </w:r>
      <w:r>
        <w:rPr>
          <w:noProof/>
        </w:rPr>
        <w:tab/>
        <w:t>да се внесе повече яснота върху основните елементи на подхода за „минимална хармонизация“ и да се посочи дали (както и по какъв начин) те се отклоняват от препоръките на ЕБО (за целта бе добавено приложение 6).</w:t>
      </w:r>
    </w:p>
    <w:p>
      <w:pPr>
        <w:spacing w:before="0"/>
        <w:rPr>
          <w:noProof/>
          <w:szCs w:val="24"/>
        </w:rPr>
      </w:pPr>
      <w:r>
        <w:rPr>
          <w:noProof/>
        </w:rPr>
        <w:t xml:space="preserve">Оценката на въздействието беше изменена съобразно тези препоръки, като бяха включени и някои допълнителни предложения на КРК: </w:t>
      </w:r>
    </w:p>
    <w:p>
      <w:pPr>
        <w:spacing w:before="0"/>
        <w:rPr>
          <w:noProof/>
          <w:szCs w:val="24"/>
        </w:rPr>
      </w:pPr>
      <w:r>
        <w:rPr>
          <w:noProof/>
        </w:rPr>
        <w:t>i)</w:t>
      </w:r>
      <w:r>
        <w:rPr>
          <w:noProof/>
        </w:rPr>
        <w:tab/>
        <w:t xml:space="preserve">по-подробни обяснения във връзка с европейските обезпечени ценни книжа; </w:t>
      </w:r>
    </w:p>
    <w:p>
      <w:pPr>
        <w:spacing w:before="0"/>
        <w:rPr>
          <w:noProof/>
          <w:szCs w:val="24"/>
        </w:rPr>
      </w:pPr>
      <w:r>
        <w:rPr>
          <w:noProof/>
        </w:rPr>
        <w:t>ii)</w:t>
      </w:r>
      <w:r>
        <w:rPr>
          <w:noProof/>
        </w:rPr>
        <w:tab/>
        <w:t xml:space="preserve">по-подробно разяснение на предимствата от емитирането на покрити облигации; </w:t>
      </w:r>
    </w:p>
    <w:p>
      <w:pPr>
        <w:spacing w:before="0"/>
        <w:rPr>
          <w:noProof/>
          <w:szCs w:val="24"/>
        </w:rPr>
      </w:pPr>
      <w:r>
        <w:rPr>
          <w:noProof/>
        </w:rPr>
        <w:t>iii)</w:t>
      </w:r>
      <w:r>
        <w:rPr>
          <w:noProof/>
        </w:rPr>
        <w:tab/>
        <w:t>по-задълбочен анализ на въздействието, което регулаторната хармонизация ще окаже върху трансграничната търговия (емисии, инвестиции) с покрити облигации;</w:t>
      </w:r>
    </w:p>
    <w:p>
      <w:pPr>
        <w:spacing w:before="0"/>
        <w:rPr>
          <w:noProof/>
          <w:szCs w:val="24"/>
        </w:rPr>
      </w:pPr>
      <w:r>
        <w:rPr>
          <w:noProof/>
        </w:rPr>
        <w:t>iv)</w:t>
      </w:r>
      <w:r>
        <w:rPr>
          <w:noProof/>
        </w:rPr>
        <w:tab/>
        <w:t xml:space="preserve">разяснения относно отхвърления вариант за актуализиране на пруденциалното третиране на покритите облигации; </w:t>
      </w:r>
    </w:p>
    <w:p>
      <w:pPr>
        <w:spacing w:before="0"/>
        <w:rPr>
          <w:noProof/>
          <w:szCs w:val="24"/>
        </w:rPr>
      </w:pPr>
      <w:r>
        <w:rPr>
          <w:noProof/>
        </w:rPr>
        <w:lastRenderedPageBreak/>
        <w:t>v)</w:t>
      </w:r>
      <w:r>
        <w:rPr>
          <w:noProof/>
        </w:rPr>
        <w:tab/>
        <w:t xml:space="preserve">по-подробно разяснение на „ефекта на опосредствано въздействие“, разглеждан във финансовата литература; и </w:t>
      </w:r>
    </w:p>
    <w:p>
      <w:pPr>
        <w:spacing w:before="0" w:after="240"/>
        <w:rPr>
          <w:noProof/>
          <w:szCs w:val="24"/>
        </w:rPr>
      </w:pPr>
      <w:r>
        <w:rPr>
          <w:noProof/>
        </w:rPr>
        <w:t>vi)</w:t>
      </w:r>
      <w:r>
        <w:rPr>
          <w:noProof/>
        </w:rPr>
        <w:tab/>
        <w:t>таблица, онагледяваща връзките между дейностите по мониторинг и ползите от сравнителния анализ.</w:t>
      </w:r>
    </w:p>
    <w:p>
      <w:pPr>
        <w:spacing w:before="0"/>
        <w:rPr>
          <w:noProof/>
          <w:szCs w:val="24"/>
        </w:rPr>
      </w:pPr>
      <w:r>
        <w:rPr>
          <w:noProof/>
        </w:rPr>
        <w:t>Комисията проучи редица варианти за развитие на пазарите на покрити облигации и преодоляване на проблемите от пруденциален характер. Вариантите се различават по степента на хармонизация – от липса на регулиране до цялостна хармонизация:</w:t>
      </w:r>
    </w:p>
    <w:p>
      <w:pPr>
        <w:pStyle w:val="Bullet0"/>
        <w:numPr>
          <w:ilvl w:val="0"/>
          <w:numId w:val="2"/>
        </w:numPr>
        <w:rPr>
          <w:noProof/>
        </w:rPr>
      </w:pPr>
      <w:r>
        <w:rPr>
          <w:noProof/>
        </w:rPr>
        <w:t>базов сценарий: не се предприема нищо;</w:t>
      </w:r>
    </w:p>
    <w:p>
      <w:pPr>
        <w:pStyle w:val="Bullet0"/>
        <w:rPr>
          <w:noProof/>
        </w:rPr>
      </w:pPr>
      <w:r>
        <w:rPr>
          <w:noProof/>
        </w:rPr>
        <w:t>вариант 1: без регулиране;</w:t>
      </w:r>
    </w:p>
    <w:p>
      <w:pPr>
        <w:pStyle w:val="Bullet0"/>
        <w:rPr>
          <w:noProof/>
        </w:rPr>
      </w:pPr>
      <w:r>
        <w:rPr>
          <w:noProof/>
        </w:rPr>
        <w:t>вариант 2: минимална хармонизация въз основа на националните режими;</w:t>
      </w:r>
    </w:p>
    <w:p>
      <w:pPr>
        <w:pStyle w:val="Bullet0"/>
        <w:rPr>
          <w:noProof/>
        </w:rPr>
      </w:pPr>
      <w:r>
        <w:rPr>
          <w:noProof/>
        </w:rPr>
        <w:t>вариант 3: пълна хармонизация, заменяща националните режими; и</w:t>
      </w:r>
    </w:p>
    <w:p>
      <w:pPr>
        <w:pStyle w:val="Bullet0"/>
        <w:rPr>
          <w:noProof/>
        </w:rPr>
      </w:pPr>
      <w:r>
        <w:rPr>
          <w:noProof/>
        </w:rPr>
        <w:t>вариант 4: „29-и режим“, действащ успоредно с националните режими.</w:t>
      </w:r>
    </w:p>
    <w:p>
      <w:pPr>
        <w:spacing w:before="0" w:after="240"/>
        <w:rPr>
          <w:noProof/>
          <w:szCs w:val="24"/>
        </w:rPr>
      </w:pPr>
      <w:r>
        <w:rPr>
          <w:noProof/>
        </w:rPr>
        <w:t>Вариант 1 (без регулиране) бе преценен като неефективен от гледна точка на постигането на целите, тъй като няма гаранция, че държавите членки биха се придържали към най-добрите практики. При вариант 3 (пълна хармонизация) целите вероятно биха били постигнати, но би могло да се стигне до смущения на добре функциониращите понастоящем пазари. Вариант 4 („29-и режим“, който за емитентите означава пълна доброволна интеграция като алтернатива на националната нормативна уредба за покритите облигации без необходимост от изменение на съществуващите национални закони) зависи от ефективното му прилагане на практика от страна на участниците в сектора. Данните от консултациите сочат, че такова ефективно прилагане е малко вероятно, което би намалило шансовете за постигане на поставените цели. Освен това прилагането на успореден режим би довело до допълнителна фрагментация и до дублиране на разходите.</w:t>
      </w:r>
    </w:p>
    <w:p>
      <w:pPr>
        <w:spacing w:before="0" w:after="240"/>
        <w:rPr>
          <w:noProof/>
          <w:szCs w:val="24"/>
        </w:rPr>
      </w:pPr>
      <w:r>
        <w:rPr>
          <w:noProof/>
        </w:rPr>
        <w:t>Предпочетеният вариант е вторият (минимална хармонизация въз основа на националните режими). При него се постигат повечето от целите на инициативата при разумно равнище на разходите. С него също така се постига равновесие между необходимата гъвкавост, за да се вземат предвид особеностите на държавите членки, и необходимото единство, за да се постигне съгласуваност на равнището на Съюза. Това вероятно би бил най-ефективният вариант от гледна точка на постигането на целите, който същевременно би осигурил ефикасност и минимални смущения и разходи, свързани с прехода. Той е и един от най-амбициозните от регулаторна гледна точка варианти, който освен това се ползва с най-силна подкрепа от заинтересованите страни.</w:t>
      </w:r>
    </w:p>
    <w:p>
      <w:pPr>
        <w:spacing w:before="0" w:after="240"/>
        <w:rPr>
          <w:noProof/>
          <w:szCs w:val="24"/>
        </w:rPr>
      </w:pPr>
      <w:r>
        <w:rPr>
          <w:noProof/>
        </w:rPr>
        <w:t>Прилагането на този вариант би дало тласък за развитието на пазарите на покрити облигации в държавите, които нямат такива пазари или в които те не са достатъчно добре развити. Той би осигурил по-ниски разходи на емитентите за финансиране, по-разнообразен кръг от инвеститори, би улеснил трансграничните инвестиции, както и привличането на инвеститори извън ЕС. Като цяло всичко това би намалило разходите по заеми.</w:t>
      </w:r>
    </w:p>
    <w:p>
      <w:pPr>
        <w:spacing w:before="0" w:after="240"/>
        <w:rPr>
          <w:noProof/>
          <w:szCs w:val="24"/>
        </w:rPr>
      </w:pPr>
      <w:r>
        <w:rPr>
          <w:noProof/>
        </w:rPr>
        <w:t xml:space="preserve">Този вариант би обхванал проблемите от пруденциален характер, включително по отношение на пазарните иновации, и би осигурил ползи от пруденциално естество, произтичащи от привеждането в съответствие на структурните характеристики на продукта с преференциалното пруденциално третиране на равнището на Съюза. Благодарение на характеристиките си на кредитно подобрение този вариант би </w:t>
      </w:r>
      <w:r>
        <w:rPr>
          <w:noProof/>
        </w:rPr>
        <w:lastRenderedPageBreak/>
        <w:t>обезпечил по-добра защита на инвеститорите и би снижил разходите им за комплексна проверка.</w:t>
      </w:r>
    </w:p>
    <w:p>
      <w:pPr>
        <w:pBdr>
          <w:top w:val="nil"/>
          <w:left w:val="nil"/>
          <w:bottom w:val="nil"/>
          <w:right w:val="nil"/>
          <w:between w:val="nil"/>
          <w:bar w:val="nil"/>
        </w:pBdr>
        <w:spacing w:before="0" w:after="240"/>
        <w:rPr>
          <w:rFonts w:eastAsia="Arial Unicode MS"/>
          <w:noProof/>
        </w:rPr>
      </w:pPr>
      <w:r>
        <w:rPr>
          <w:noProof/>
        </w:rPr>
        <w:t>При него се очаква както еднократните, така и постоянните преки административни разходи да нараснат за емитентите в юрисдикциите с ниски разходи (вж. оценката на въздействието). Разходите биха нараснали и за надзорните органи. Същевременно биха възникнали ползи за емитентите под формата на по-ниски разходи за финансиране, а за гражданите – на по-ниски разходи по заеми. За инвеститорите не би имало увеличение на разходите поради по-ниските разходи за комплексна проверка.</w:t>
      </w:r>
    </w:p>
    <w:p>
      <w:pPr>
        <w:pStyle w:val="ManualHeading2"/>
        <w:rPr>
          <w:rFonts w:eastAsia="Arial Unicode MS"/>
          <w:noProof/>
          <w:u w:color="000000"/>
          <w:bdr w:val="nil"/>
        </w:rPr>
      </w:pPr>
      <w:bookmarkStart w:id="16" w:name="_Toc505766475"/>
      <w:r>
        <w:rPr>
          <w:noProof/>
        </w:rPr>
        <w:t>•</w:t>
      </w:r>
      <w:r>
        <w:rPr>
          <w:noProof/>
        </w:rPr>
        <w:tab/>
        <w:t>Пригодност и опростяване на законодателството</w:t>
      </w:r>
      <w:bookmarkEnd w:id="16"/>
    </w:p>
    <w:p>
      <w:pPr>
        <w:pBdr>
          <w:top w:val="nil"/>
          <w:left w:val="nil"/>
          <w:bottom w:val="nil"/>
          <w:right w:val="nil"/>
          <w:between w:val="nil"/>
          <w:bar w:val="nil"/>
        </w:pBdr>
        <w:spacing w:before="0" w:after="240"/>
        <w:rPr>
          <w:rFonts w:eastAsia="Arial Unicode MS"/>
          <w:noProof/>
        </w:rPr>
      </w:pPr>
      <w:r>
        <w:rPr>
          <w:noProof/>
        </w:rPr>
        <w:t>С пакета от мерки за покритите облигации, и по-специално с директивата, придружаваща настоящото предложение, се цели да се хармонизира област, която понастоящем е уредена основно на национално равнище. Със заложеното в директивата минимално ниво на хармонизиране ще се постигне опростяване, изразяващо се в базово синхронизиране на основните елементи на националните уредби.</w:t>
      </w:r>
    </w:p>
    <w:p>
      <w:pPr>
        <w:pStyle w:val="ManualHeading2"/>
        <w:rPr>
          <w:rFonts w:eastAsia="Arial Unicode MS"/>
          <w:noProof/>
          <w:u w:color="000000"/>
          <w:bdr w:val="nil"/>
        </w:rPr>
      </w:pPr>
      <w:bookmarkStart w:id="17" w:name="_Toc505766476"/>
      <w:r>
        <w:rPr>
          <w:noProof/>
        </w:rPr>
        <w:t>•</w:t>
      </w:r>
      <w:r>
        <w:rPr>
          <w:noProof/>
        </w:rPr>
        <w:tab/>
        <w:t>Основни права</w:t>
      </w:r>
      <w:bookmarkEnd w:id="17"/>
    </w:p>
    <w:p>
      <w:pPr>
        <w:pBdr>
          <w:top w:val="nil"/>
          <w:left w:val="nil"/>
          <w:bottom w:val="nil"/>
          <w:right w:val="nil"/>
          <w:between w:val="nil"/>
          <w:bar w:val="nil"/>
        </w:pBdr>
        <w:spacing w:before="0" w:after="240"/>
        <w:rPr>
          <w:rFonts w:eastAsia="Arial Unicode MS"/>
          <w:noProof/>
        </w:rPr>
      </w:pPr>
      <w:r>
        <w:rPr>
          <w:noProof/>
        </w:rPr>
        <w:t>ЕС е поел ангажимент за високи стандарти за защита на основните права. В този контекст предложението вероятно няма да окаже пряко въздействие върху тези права, изброени в Хартата на основните права на Европейския съюз.</w:t>
      </w:r>
    </w:p>
    <w:p>
      <w:pPr>
        <w:pStyle w:val="ManualHeading1"/>
        <w:rPr>
          <w:noProof/>
        </w:rPr>
      </w:pPr>
      <w:bookmarkStart w:id="18" w:name="_Toc505766477"/>
      <w:r>
        <w:rPr>
          <w:noProof/>
        </w:rPr>
        <w:t>4.</w:t>
      </w:r>
      <w:r>
        <w:rPr>
          <w:noProof/>
        </w:rPr>
        <w:tab/>
        <w:t>ОТРАЖЕНИЕ ВЪРХУ БЮДЖЕТА</w:t>
      </w:r>
      <w:bookmarkEnd w:id="18"/>
    </w:p>
    <w:p>
      <w:pPr>
        <w:pBdr>
          <w:top w:val="nil"/>
          <w:left w:val="nil"/>
          <w:bottom w:val="nil"/>
          <w:right w:val="nil"/>
          <w:between w:val="nil"/>
          <w:bar w:val="nil"/>
        </w:pBdr>
        <w:spacing w:before="0" w:after="240"/>
        <w:rPr>
          <w:rFonts w:eastAsia="Arial Unicode MS"/>
          <w:noProof/>
        </w:rPr>
      </w:pPr>
      <w:r>
        <w:rPr>
          <w:noProof/>
        </w:rPr>
        <w:t>Предложението няма да има отражение върху бюджета на Съюза.</w:t>
      </w:r>
    </w:p>
    <w:p>
      <w:pPr>
        <w:pStyle w:val="ManualHeading1"/>
        <w:rPr>
          <w:noProof/>
        </w:rPr>
      </w:pPr>
      <w:bookmarkStart w:id="19" w:name="_Toc505766478"/>
      <w:r>
        <w:rPr>
          <w:noProof/>
        </w:rPr>
        <w:t>5.</w:t>
      </w:r>
      <w:r>
        <w:rPr>
          <w:noProof/>
        </w:rPr>
        <w:tab/>
        <w:t>ДРУГИ ЕЛЕМЕНТИ</w:t>
      </w:r>
      <w:bookmarkEnd w:id="19"/>
    </w:p>
    <w:p>
      <w:pPr>
        <w:pStyle w:val="ManualHeading2"/>
        <w:rPr>
          <w:rFonts w:eastAsia="Arial Unicode MS"/>
          <w:noProof/>
          <w:u w:color="000000"/>
          <w:bdr w:val="nil"/>
        </w:rPr>
      </w:pPr>
      <w:bookmarkStart w:id="20" w:name="_Toc505766479"/>
      <w:r>
        <w:rPr>
          <w:noProof/>
        </w:rPr>
        <w:t>•</w:t>
      </w:r>
      <w:r>
        <w:rPr>
          <w:noProof/>
        </w:rPr>
        <w:tab/>
        <w:t>Планове за изпълнение и механизми за мониторинг, оценка и докладване</w:t>
      </w:r>
      <w:bookmarkEnd w:id="20"/>
    </w:p>
    <w:p>
      <w:pPr>
        <w:spacing w:before="0" w:after="240"/>
        <w:rPr>
          <w:noProof/>
          <w:szCs w:val="24"/>
        </w:rPr>
      </w:pPr>
      <w:r>
        <w:rPr>
          <w:noProof/>
        </w:rPr>
        <w:t xml:space="preserve">Придружаващото предложение за нова директива за покритите облигации включва общ план за наблюдение на промените на пазара на покрити облигации, с който от Комисията се изисква да извърши оценка на директивата в тясно сътрудничество с ЕБО най-малко пет години след крайния срок за транспониране, както и да представи на Европейския парламент, Съвета и Европейския икономически и социален комитет доклад за основните си констатации. </w:t>
      </w:r>
    </w:p>
    <w:p>
      <w:pPr>
        <w:spacing w:before="0" w:after="240"/>
        <w:rPr>
          <w:noProof/>
        </w:rPr>
      </w:pPr>
      <w:r>
        <w:rPr>
          <w:noProof/>
        </w:rPr>
        <w:t>Оценката трябва да се извърши в съответствие с Насоките на Комисията за по-добро законотворчество. Докладът трябва да обхваща също така емитирането на покрити облигации в съответствие с член 129 от РКИ, промените по отношение на активите за обезпечаване на емисиите и равнището на свръхобезпеченост.</w:t>
      </w:r>
    </w:p>
    <w:p>
      <w:pPr>
        <w:pBdr>
          <w:top w:val="nil"/>
          <w:left w:val="nil"/>
          <w:bottom w:val="nil"/>
          <w:right w:val="nil"/>
          <w:between w:val="nil"/>
          <w:bar w:val="nil"/>
        </w:pBdr>
        <w:spacing w:before="0" w:after="240"/>
        <w:rPr>
          <w:rFonts w:eastAsia="Arial Unicode MS"/>
          <w:noProof/>
        </w:rPr>
      </w:pPr>
      <w:r>
        <w:rPr>
          <w:noProof/>
        </w:rPr>
        <w:t>За настоящото предложение не са предвидени конкретни планове за изпълнение или разпоредби за наблюдение, оценка и докладване.</w:t>
      </w:r>
    </w:p>
    <w:p>
      <w:pPr>
        <w:pStyle w:val="ManualHeading2"/>
        <w:rPr>
          <w:rFonts w:eastAsia="Arial Unicode MS"/>
          <w:noProof/>
          <w:u w:color="000000"/>
          <w:bdr w:val="nil"/>
        </w:rPr>
      </w:pPr>
      <w:bookmarkStart w:id="21" w:name="_Toc505766480"/>
      <w:r>
        <w:rPr>
          <w:noProof/>
        </w:rPr>
        <w:t>•</w:t>
      </w:r>
      <w:r>
        <w:rPr>
          <w:noProof/>
        </w:rPr>
        <w:tab/>
        <w:t>Подробно разяснение на конкретните разпоредби на предложението</w:t>
      </w:r>
      <w:bookmarkEnd w:id="21"/>
    </w:p>
    <w:p>
      <w:pPr>
        <w:spacing w:before="0" w:after="240"/>
        <w:rPr>
          <w:i/>
          <w:noProof/>
          <w:szCs w:val="24"/>
        </w:rPr>
      </w:pPr>
      <w:r>
        <w:rPr>
          <w:i/>
          <w:noProof/>
        </w:rPr>
        <w:t>Изменение на член 129</w:t>
      </w:r>
      <w:r>
        <w:rPr>
          <w:noProof/>
        </w:rPr>
        <w:t xml:space="preserve"> </w:t>
      </w:r>
      <w:r>
        <w:rPr>
          <w:i/>
          <w:noProof/>
        </w:rPr>
        <w:t>от Регламент (ЕС) № 575/2013</w:t>
      </w:r>
    </w:p>
    <w:p>
      <w:pPr>
        <w:spacing w:before="0" w:after="240"/>
        <w:rPr>
          <w:noProof/>
          <w:szCs w:val="24"/>
        </w:rPr>
      </w:pPr>
      <w:r>
        <w:rPr>
          <w:noProof/>
        </w:rPr>
        <w:t xml:space="preserve">Член 129 се изменя, за да се въведат нови изисквания за минимална свръхобезпеченост и заместващи активи. Предходните разпоредби относно прозрачността се преместват в </w:t>
      </w:r>
      <w:r>
        <w:rPr>
          <w:noProof/>
        </w:rPr>
        <w:lastRenderedPageBreak/>
        <w:t>частта на новата Директива за определяне на структурните характеристики на покритите облигации.</w:t>
      </w:r>
    </w:p>
    <w:p>
      <w:pPr>
        <w:rPr>
          <w:noProof/>
          <w:szCs w:val="24"/>
        </w:rPr>
      </w:pPr>
      <w:r>
        <w:rPr>
          <w:noProof/>
        </w:rPr>
        <w:t xml:space="preserve">С член 129, параграф 1, буква г), подточка ii) и буква е), подточка ii) се позволява покритите облигации да бъдат обезпечени с първостепенни дялове, емитирани от френските </w:t>
      </w:r>
      <w:r>
        <w:rPr>
          <w:i/>
          <w:noProof/>
        </w:rPr>
        <w:t>Fonds communs de Titrisation</w:t>
      </w:r>
      <w:r>
        <w:rPr>
          <w:noProof/>
        </w:rPr>
        <w:t xml:space="preserve"> или от равностойни дружества, които са уредени в законодателството на държава членка и секюритизират експозиции, свързани с жилищни или търговски имоти, при определени условия, включително изискването тези дялове да не превишават 10 % от номиналната стойност на емисията в обращение. Тази възможност се премахва, тъй като само в някои държави рамката за покритите облигации предвижда включването на ценни книжа, обезпечени с ипотека върху жилищен или търговски имот. Използването на такива структури намалява и се счита за излишно усложняване на програмата за покрити облигации.</w:t>
      </w:r>
    </w:p>
    <w:p>
      <w:pPr>
        <w:spacing w:before="0" w:after="240"/>
        <w:rPr>
          <w:noProof/>
          <w:szCs w:val="24"/>
        </w:rPr>
      </w:pPr>
      <w:r>
        <w:rPr>
          <w:noProof/>
        </w:rPr>
        <w:t>Другите разпоредби на член 129 остават в сила.</w:t>
      </w:r>
    </w:p>
    <w:p>
      <w:pPr>
        <w:spacing w:before="0" w:after="240"/>
        <w:rPr>
          <w:i/>
          <w:noProof/>
          <w:szCs w:val="24"/>
        </w:rPr>
      </w:pPr>
      <w:r>
        <w:rPr>
          <w:i/>
          <w:noProof/>
        </w:rPr>
        <w:t>Свръхобезпеченoст</w:t>
      </w:r>
    </w:p>
    <w:p>
      <w:pPr>
        <w:spacing w:before="0" w:after="240"/>
        <w:rPr>
          <w:noProof/>
          <w:szCs w:val="24"/>
        </w:rPr>
      </w:pPr>
      <w:r>
        <w:rPr>
          <w:noProof/>
        </w:rPr>
        <w:t>С предложените изменения се въвежда ново изискване за минимално равнище на свръхобезпеченост (равнище на обезпечение, превишаващо изискването за покритие). Това равнище се определя на 2 % и 5 % в зависимост от активите в пула от обезпечения въз основа на номиналния метод за изчисляване. Равнището е в съответствие с препоръката на ЕБО и с резултатите от проучването на ICF. Макар да е по-ниско от предвиденото в новите стандарти от Базел, то ще направи продукта по-сигурен и ще завиши равнището за повечето от държавите членки, в които изискваното минимално равнище понастоящем е по-ниско.</w:t>
      </w:r>
    </w:p>
    <w:p>
      <w:pPr>
        <w:spacing w:before="0" w:after="240"/>
        <w:rPr>
          <w:i/>
          <w:noProof/>
          <w:szCs w:val="24"/>
        </w:rPr>
      </w:pPr>
      <w:r>
        <w:rPr>
          <w:i/>
          <w:noProof/>
        </w:rPr>
        <w:t>Отмяна на член 496</w:t>
      </w:r>
      <w:r>
        <w:rPr>
          <w:noProof/>
        </w:rPr>
        <w:t xml:space="preserve"> </w:t>
      </w:r>
      <w:r>
        <w:rPr>
          <w:i/>
          <w:noProof/>
        </w:rPr>
        <w:t>от Регламент (ЕС) № 575/2013</w:t>
      </w:r>
    </w:p>
    <w:p>
      <w:pPr>
        <w:spacing w:before="0" w:after="240"/>
        <w:rPr>
          <w:noProof/>
          <w:szCs w:val="24"/>
        </w:rPr>
      </w:pPr>
      <w:r>
        <w:rPr>
          <w:noProof/>
        </w:rPr>
        <w:t>С член 496 на компетентните органи се позволява за някои покрити облигации да отменят прилагането на горната граница от 10 %, посочена в член 129, параграф 1, буква г), подточка ii) и буква е), подточка ii).</w:t>
      </w:r>
    </w:p>
    <w:p>
      <w:pPr>
        <w:rPr>
          <w:noProof/>
          <w:szCs w:val="24"/>
        </w:rPr>
      </w:pPr>
      <w:r>
        <w:rPr>
          <w:noProof/>
        </w:rPr>
        <w:t>Тъй като член 129, параграф 1, буква г), подточка ii) и буква е), подточка ii) се отменят, възможността за дерогация от прилагането на горната граница не е необходима. Поради това член 496 се отменя.</w:t>
      </w:r>
    </w:p>
    <w:p>
      <w:pPr>
        <w:rPr>
          <w:noProof/>
        </w:rPr>
      </w:pPr>
      <w:r>
        <w:rPr>
          <w:noProof/>
        </w:rPr>
        <w:br w:type="page"/>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2018/0042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575/2013 по отношение на експозициите под формата на покрити облигации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15"/>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6"/>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7"/>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Член 129 от Регламент (ЕС) № 575/2013 на Европейския парламент и на Съвета</w:t>
      </w:r>
      <w:r>
        <w:rPr>
          <w:rStyle w:val="FootnoteReference"/>
          <w:noProof/>
        </w:rPr>
        <w:footnoteReference w:id="18"/>
      </w:r>
      <w:r>
        <w:rPr>
          <w:noProof/>
        </w:rPr>
        <w:t xml:space="preserve"> предоставя преференциално третиране за покритите облигации при определени условия. В Директива (ЕС) 20xx/xx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се определят основните елементи на покритите облигации и се предвижда общо определение за тях.</w:t>
      </w:r>
    </w:p>
    <w:p>
      <w:pPr>
        <w:pStyle w:val="ManualConsidrant"/>
        <w:rPr>
          <w:noProof/>
        </w:rPr>
      </w:pPr>
      <w:r>
        <w:t>(2)</w:t>
      </w:r>
      <w:r>
        <w:tab/>
      </w:r>
      <w:r>
        <w:rPr>
          <w:noProof/>
        </w:rPr>
        <w:t>На 20 декември 2013 г. Комисията отправи покана до Европейския банков орган (ЕБО) за представяне на становище относно уместността на рисковите тегла, определени в член 129 от Регламент (ЕС) № 575/2013. Съгласно становището на ЕБО</w:t>
      </w:r>
      <w:r>
        <w:rPr>
          <w:rStyle w:val="FootnoteReference"/>
          <w:noProof/>
        </w:rPr>
        <w:footnoteReference w:id="19"/>
      </w:r>
      <w:r>
        <w:rPr>
          <w:noProof/>
        </w:rPr>
        <w:t xml:space="preserve"> прилагането на преференциалните рискови тегла, определени в член 129 от посочения регламент, представлява по принцип уместно пруденциално третиране. ЕБО препоръча обаче да се обсъди допълнително възможността за допълване на изискванията за допустимост, установени в член 129 от Регламент (ЕС) № 575/2013, за да бъдат обхванати поне областите на редуцирането на </w:t>
      </w:r>
      <w:r>
        <w:rPr>
          <w:noProof/>
        </w:rPr>
        <w:lastRenderedPageBreak/>
        <w:t>ликвидния риск, свръхобезпечаването, ролята на компетентния орган, както и допълването на съществуващите изисквания за оповестяване на информация пред инвеститорите</w:t>
      </w:r>
      <w:r>
        <w:rPr>
          <w:rStyle w:val="FootnoteReference"/>
          <w:noProof/>
        </w:rPr>
        <w:footnoteReference w:id="20"/>
      </w:r>
      <w:r>
        <w:rPr>
          <w:noProof/>
        </w:rPr>
        <w:t>.</w:t>
      </w:r>
    </w:p>
    <w:p>
      <w:pPr>
        <w:pStyle w:val="ManualConsidrant"/>
        <w:rPr>
          <w:noProof/>
        </w:rPr>
      </w:pPr>
      <w:r>
        <w:t>(3)</w:t>
      </w:r>
      <w:r>
        <w:tab/>
      </w:r>
      <w:r>
        <w:rPr>
          <w:noProof/>
        </w:rPr>
        <w:t xml:space="preserve">Предвид становището на ЕБО е целесъобразно да се измени Регламент (ЕС) № 575/2013 чрез добавяне на допълнителни изисквания за покритите облигации, като по този начин се подобри качеството на покритите облигации, за които се допуска благоприятно капиталово третиране в съответствие с предвиденото в член 129 от посочения регламент. </w:t>
      </w:r>
    </w:p>
    <w:p>
      <w:pPr>
        <w:pStyle w:val="ManualConsidrant"/>
        <w:rPr>
          <w:noProof/>
        </w:rPr>
      </w:pPr>
      <w:r>
        <w:t>(4)</w:t>
      </w:r>
      <w:r>
        <w:tab/>
      </w:r>
      <w:r>
        <w:rPr>
          <w:noProof/>
        </w:rPr>
        <w:t>По силата на член 129, параграф 1, третата алинея от Регламент (ЕС) № 575/2013 компетентните органи могат да предоставят частично освобождаване от прилагането на изискването, определено в член 129, параграф 1, първата алинея, буква в), експозициите да отговарят на първа степен на кредитно качество и да разрешат експозиция, която отговаря на втора степен на кредитно качество, в рамките на максимум 10 % от общата експозиция на номиналната стойност на покритите облигации в обращение на институцията емитент. Такова частично освобождаване обаче се прилага само след предварителна консултация с ЕБО и само при условие че могат да се документират значителни проблеми във връзка с потенциална концентрация в съответните държави членки, дължащи се на прилагането на изискването за първа степен на кредитно качество. Тъй като изискванията експозициите да отговарят на първа степен на кредитно качество, определена от агенциите за външна кредитна оценка, се спазват все по-трудно в повечето държави членки както в еврозоната, така и извън нея, прилагането на това освобождаване от изискванията бе счетено за необходимо от държавите членки с най-големите пазари на покрити облигации. С цел да се опрости използването на експозиции към кредитни институции като обезпечение за покрити облигации и да се отстрани тази трудност, е необходимо да се измени член 129, параграф 1 от Регламент (ЕС) № 575/2013. Вместо компетентните органи да имат възможност да предоставят освобождаване от изискванията, е целесъобразно да се установи правило, с което да се разрешават експозиции към кредитни институции, които отговарят на втора степен на кредитно качество, в рамките на максимум 10 % от общата експозиция на номиналната стойност на покритите облигации в обращение на институцията емитент, без да е необходима консултация с ЕБО.</w:t>
      </w:r>
    </w:p>
    <w:p>
      <w:pPr>
        <w:pStyle w:val="ManualConsidrant"/>
        <w:rPr>
          <w:noProof/>
        </w:rPr>
      </w:pPr>
      <w:r>
        <w:t>(5)</w:t>
      </w:r>
      <w:r>
        <w:tab/>
      </w:r>
      <w:r>
        <w:rPr>
          <w:noProof/>
        </w:rPr>
        <w:t xml:space="preserve">В съответствие с член 129, параграф 1, първата алинея, буква г), подточка ii) и буква е), подточка ii) от Регламент (ЕС) № 575/2013 заеми, обезпечени с първостепенни дялове, емитирани от френските </w:t>
      </w:r>
      <w:r>
        <w:rPr>
          <w:i/>
          <w:noProof/>
        </w:rPr>
        <w:t>Fonds communs de Titrisation</w:t>
      </w:r>
      <w:r>
        <w:rPr>
          <w:noProof/>
        </w:rPr>
        <w:t xml:space="preserve"> или от равностойни дружества за секюритизация, които секюритизират експозиции, свързани с жилищни или търговски имоти, са допустими активи, които могат да се използват като обезпечение за покрити облигации в рамките на максимум 10 % от номиналната стойност на покритите облигации в обращение („прага от 10 %“). С член 496 от посочения регламент обаче на компетентните органи се дава възможност да отменят прилагането на прага от 10 %. На последно място, с член 503, параграф 4 от същия регламент от Комисията се изисква да направи преглед на целесъобразността на дерогацията, с която на компетентните органи се дава възможност да отменят прилагането на прага от 10 %. На 22 декември 2013 г. Комисията поиска от ЕБО да представи становище по този въпрос. На 1 юли 2014 г. ЕБО заяви, че използването като обезпечение на първостепенни </w:t>
      </w:r>
      <w:r>
        <w:rPr>
          <w:noProof/>
        </w:rPr>
        <w:lastRenderedPageBreak/>
        <w:t xml:space="preserve">дялове, емитирани от френските </w:t>
      </w:r>
      <w:r>
        <w:rPr>
          <w:i/>
          <w:noProof/>
        </w:rPr>
        <w:t>Fonds communs de Titrisation</w:t>
      </w:r>
      <w:r>
        <w:rPr>
          <w:noProof/>
        </w:rPr>
        <w:t xml:space="preserve"> или от равностойни дружества за секюритизация, които секюритизират експозиции, свързани с жилищни или търговски имоти, би породило опасения от пруденциално естество поради двупластовата структура на програмата за обезпечени със секюритизиращи дялове покрити облигации и поради това би довело до недостатъчна прозрачност по отношение на кредитното качество на пула от обезпечения. По тази причина ЕБО препоръча дерогацията от прага от 10 % за първостепенни секюритизиращи дялове, определена понастоящем в член 496 от Регламент (ЕС) № 575/2013, да бъде премахната след 31 декември 2017 г.</w:t>
      </w:r>
      <w:r>
        <w:rPr>
          <w:rStyle w:val="FootnoteReference"/>
          <w:noProof/>
        </w:rPr>
        <w:footnoteReference w:id="21"/>
      </w:r>
    </w:p>
    <w:p>
      <w:pPr>
        <w:pStyle w:val="ManualConsidrant"/>
        <w:rPr>
          <w:noProof/>
        </w:rPr>
      </w:pPr>
      <w:r>
        <w:t>(6)</w:t>
      </w:r>
      <w:r>
        <w:tab/>
      </w:r>
      <w:r>
        <w:rPr>
          <w:noProof/>
        </w:rPr>
        <w:t>Само в някои държави рамката за покритите облигации позволява включването на ценни книжа, обезпечени с ипотека върху жилищен или търговски имот. Използването на такива структури намалява и се счита за излишно усложняване на програмите за покрити облигации. По тази причина е целесъобразно използването на такива структури като допустими активи изобщо да се премахне. Поради това член 129, параграф 1, първата алинея, буква г), подточка ii) и буква е), подточка ii) от Регламент (ЕС) № 575/2013, както и член 496 от същия регламент следва да бъдат заличени.</w:t>
      </w:r>
    </w:p>
    <w:p>
      <w:pPr>
        <w:pStyle w:val="ManualConsidrant"/>
        <w:rPr>
          <w:noProof/>
        </w:rPr>
      </w:pPr>
      <w:r>
        <w:t>(7)</w:t>
      </w:r>
      <w:r>
        <w:tab/>
      </w:r>
      <w:r>
        <w:rPr>
          <w:noProof/>
        </w:rPr>
        <w:t xml:space="preserve">Вътрешногруповите структури от обединени покрити облигации, които отговарят на изискванията на Регламент (ЕС) № 575/2013, също са използвани като приемливо обезпечение в съответствие с член 129, параграф 1, първата алинея, буква г), подточка ii) и буква е), подточка ii) от същия регламент. Вътрешногруповите структури от обединени покрити облигации не създават допълнителни рискове от пруденциално естество, тъй като не пораждат същите опасения за сложност като използването на заеми, обезпечени с първостепенни дялове, емитирани от френските </w:t>
      </w:r>
      <w:r>
        <w:rPr>
          <w:i/>
          <w:noProof/>
        </w:rPr>
        <w:t>Fonds communs de Titrisation</w:t>
      </w:r>
      <w:r>
        <w:rPr>
          <w:noProof/>
        </w:rPr>
        <w:t xml:space="preserve"> или от равностойни дружества за секюритизация, които секюритизират експозиции, свързани с жилищни или търговски имоти. Според ЕБО обезпечаването на покрити облигации със структури от обединени покрити облигации следва да бъде разрешено без ограничения, свързани с размера на покритите облигации в обращение на кредитната институция емитент</w:t>
      </w:r>
      <w:r>
        <w:rPr>
          <w:rStyle w:val="FootnoteReference"/>
          <w:noProof/>
        </w:rPr>
        <w:footnoteReference w:id="22"/>
      </w:r>
      <w:r>
        <w:rPr>
          <w:noProof/>
        </w:rPr>
        <w:t>. Буква в) от член 129, параграф 1, първата алинея следва съответно да бъде изменена, за да се премахне изискването за прилагане на пределната стойност от 15 % или 10 % спрямо експозициите към кредитни институции във вътрешногрупови структури от обединени покрити облигации. Тези вътрешногрупови структури от обединени покрити облигации са уредени с член 9 от Директива (ЕС) 20../....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w:t>
      </w:r>
    </w:p>
    <w:p>
      <w:pPr>
        <w:pStyle w:val="ManualConsidrant"/>
        <w:rPr>
          <w:noProof/>
        </w:rPr>
      </w:pPr>
      <w:r>
        <w:t>(8)</w:t>
      </w:r>
      <w:r>
        <w:tab/>
      </w:r>
      <w:r>
        <w:rPr>
          <w:noProof/>
        </w:rPr>
        <w:t xml:space="preserve">С член 129, параграф 3 от Регламент (ЕС) № 575/2013 се изисква изложените в член 229, параграф 1 от същия регламент принципи за оценка на недвижими имоти, служещи за обезпечаване на покрити облигации, да се прилагат по отношение на покритите облигации, за да може тези облигации да отговарят на изискванията за преференциално третиране. Изискванията относно допустимостта на активите, служещи за обезпечаване на покрити облигации, се отнасят за общите характеристики за качеството, с които се осигурява устойчивостта на пула от обезпечения, и поради следва да бъдат предмет на </w:t>
      </w:r>
      <w:r>
        <w:rPr>
          <w:noProof/>
        </w:rPr>
        <w:lastRenderedPageBreak/>
        <w:t>разпоредбите на Директива (ЕС) 20../...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Съответно разпоредбите относно методологията за оценяване също следва да бъдат предмет на разпоредбите на посочената директива. Следователно регулаторните технически стандарти, които се разработват по силата на член 124, параграф 4, буква а) от Регламент (ЕС) № 575/2013, следва да не се прилагат по отношение на критериите за допустимост на покритите облигации по член 129 от същия регламент. Поради това е необходимо член 129, параграф 3 от посочения регламент да се измени в този смисъл.</w:t>
      </w:r>
    </w:p>
    <w:p>
      <w:pPr>
        <w:pStyle w:val="ManualConsidrant"/>
        <w:rPr>
          <w:noProof/>
        </w:rPr>
      </w:pPr>
      <w:r>
        <w:t>(9)</w:t>
      </w:r>
      <w:r>
        <w:tab/>
      </w:r>
      <w:r>
        <w:rPr>
          <w:noProof/>
        </w:rPr>
        <w:t xml:space="preserve">Пределните стойности за съотношението размер на заема/стойност на обезпечението са необходими за гарантиране на кредитното качество на покритите облигации. В член 129, параграф 1 от Регламент (ЕС) № 575/2013 се установяват пределните стойности за съотношението размер на заема/стойност на обезпечението за ипотечни и корабни активи, но не се уточнява начинът на прилагане на тези пределни стойности, което може да създаде несигурност. Пределните стойности за съотношението размер на заема/стойност на обезпечението следва да се прилагат като непреки ограничения по отношение на обезпечението, което означава, че макар да няма ограничения по отношение на размера на даден базов заем, този заем може да послужи за обезпечение само в рамките на наложените за активите пределни стойности за съотношението размер на заема/стойност на обезпечението. Пределните стойности за съотношението размер на заема/стойност на обезпечението определят процентния дял от заема, който се взема предвид по отношение на изискването за обезпечаване на задълженията. Поради това е целесъобразно да се уточни, че пределните стойности за съотношението размер на заема/стойност на обезпечението се прилагат за дела от заема, който се взема предвид по отношение на обезпечаването на покритите облигации. </w:t>
      </w:r>
    </w:p>
    <w:p>
      <w:pPr>
        <w:pStyle w:val="ManualConsidrant"/>
        <w:rPr>
          <w:noProof/>
        </w:rPr>
      </w:pPr>
      <w:r>
        <w:t>(10)</w:t>
      </w:r>
      <w:r>
        <w:tab/>
      </w:r>
      <w:r>
        <w:rPr>
          <w:noProof/>
        </w:rPr>
        <w:t>С цел осигуряване на по-голяма яснота следва да се уточни също така, че пределните стойности за съотношението размер на заема/стойност на обезпечението са приложими през целия срок до падежа на заема. Действителното съотношение размер на заема/стойност на обезпечението следва да не се променя, а да остане на равнището 80 % от стойността на имота за жилищните заеми и 60 % от стойността на имота за търговските заеми и корабите.</w:t>
      </w:r>
    </w:p>
    <w:p>
      <w:pPr>
        <w:pStyle w:val="ManualConsidrant"/>
        <w:rPr>
          <w:noProof/>
        </w:rPr>
      </w:pPr>
      <w:r>
        <w:t>(11)</w:t>
      </w:r>
      <w:r>
        <w:tab/>
      </w:r>
      <w:r>
        <w:rPr>
          <w:noProof/>
        </w:rPr>
        <w:t xml:space="preserve">С цел допълнително подобряване на качеството на покритите облигации, за които се предоставя преференциално третиране в съответствие с член 129 от Регламент (ЕС) № 575/2013, това преференциално третиране следва да зависи от наличието на минимално равнище на свръхобезпеченост, което означава равнище на обезпечение, превишаващо изискванията за покритие по член 15 от Директива (ЕС) 20../...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Целта на това изискване е да се редуцират най-вероятните рискове, свързани с неплатежоспособност или преструктуриране на емитента. </w:t>
      </w:r>
    </w:p>
    <w:p>
      <w:pPr>
        <w:pStyle w:val="ManualConsidrant"/>
        <w:rPr>
          <w:noProof/>
        </w:rPr>
      </w:pPr>
      <w:r>
        <w:t>(12)</w:t>
      </w:r>
      <w:r>
        <w:tab/>
      </w:r>
      <w:r>
        <w:rPr>
          <w:noProof/>
        </w:rPr>
        <w:t xml:space="preserve">Едно от изискванията по член 129, параграф 7 от Регламент (ЕС) № 575/2013 е инвестиращата в покрити облигации кредитна институция да получава </w:t>
      </w:r>
      <w:r>
        <w:rPr>
          <w:noProof/>
        </w:rPr>
        <w:lastRenderedPageBreak/>
        <w:t>определена информация за покритите облигации най-малко веднъж на полугодие. Изискванията за прозрачност са неразделна част от покритите облигации, като с тях се гарантира единно равнище за оповестяване и се дава възможност на инвеститорите да извършат необходимата оценка на риска, с което се подобряват съпоставимостта, прозрачността и стабилността на пазара. Поради това е целесъобразно да се гарантира, че изискванията за прозрачност се прилагат по отношение на всички покрити облигации, което може да бъде постигнато чрез включването на тези изисквания в Директива (ЕС) 20../...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като обща структурна характеристика на покритите облигации. Член 129, параграф 7 от Регламент (ЕС) № 575/2013 следва съответно да бъде заличен.</w:t>
      </w:r>
    </w:p>
    <w:p>
      <w:pPr>
        <w:pStyle w:val="ManualConsidrant"/>
        <w:rPr>
          <w:noProof/>
        </w:rPr>
      </w:pPr>
      <w:r>
        <w:t>(13)</w:t>
      </w:r>
      <w:r>
        <w:tab/>
      </w:r>
      <w:r>
        <w:rPr>
          <w:noProof/>
        </w:rPr>
        <w:t>Покритите облигации са инструменти за дългосрочно финансиране и поради това се емитират с предвиден срок до падежа от няколко години. По тази причина е необходимо да се гарантира, че покритите облигации, които са емитирани преди 31 декември 2007 г. или преди [</w:t>
      </w:r>
      <w:r>
        <w:rPr>
          <w:i/>
          <w:noProof/>
        </w:rPr>
        <w:t>До Службата за публикации: моля, въведете началната дата на прилагане на настоящия регламент</w:t>
      </w:r>
      <w:r>
        <w:rPr>
          <w:noProof/>
        </w:rPr>
        <w:t>], могат да не бъдат засегнати. За тази цел покритите облигации, които са емитирани преди 31 декември 2007 г., следва да продължат да са освободени от изискванията по Регламент (ЕС) № 575/2013 по отношение на допустимите активи, свръхобезпечаването и заместващите активи. Освен това други видове покрити облигации, които отговарят на изискванията по член 129 от Регламент (ЕС) № 575/2013 и са емитирани преди [</w:t>
      </w:r>
      <w:r>
        <w:rPr>
          <w:i/>
          <w:noProof/>
        </w:rPr>
        <w:t>До Службата за публикации: моля, въведете началната дата на прилагане на настоящия регламент</w:t>
      </w:r>
      <w:r>
        <w:rPr>
          <w:noProof/>
        </w:rPr>
        <w:t xml:space="preserve">], следва да бъдат освободени от изискванията за свръхобезпеченост и заместващи активи и да продължат да са допустими за целите на преференциалното третиране по посочения регламент до настъпването на падежа им. </w:t>
      </w:r>
    </w:p>
    <w:p>
      <w:pPr>
        <w:pStyle w:val="ManualConsidrant"/>
        <w:rPr>
          <w:noProof/>
        </w:rPr>
      </w:pPr>
      <w:r>
        <w:t>(14)</w:t>
      </w:r>
      <w:r>
        <w:tab/>
      </w:r>
      <w:r>
        <w:rPr>
          <w:noProof/>
        </w:rPr>
        <w:t>Настоящият регламент следва да се прилага във връзка с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С цел да се гарантира съгласуваното прилагане на новата законодателна рамка за определяне на структурните характеристики на емитирането на покрити облигации и на изменените изисквания за преференциално третиране, прилагането на настоящия регламент следва да бъде отложено, за да съвпадне с датата, от която държавите членки трябва да започнат да прилагат разпоредбите за транспониране на посочената директива.</w:t>
      </w:r>
    </w:p>
    <w:p>
      <w:pPr>
        <w:pStyle w:val="ManualConsidrant"/>
        <w:rPr>
          <w:noProof/>
        </w:rPr>
      </w:pPr>
      <w:r>
        <w:t>(15)</w:t>
      </w:r>
      <w:r>
        <w:tab/>
      </w:r>
      <w:r>
        <w:rPr>
          <w:noProof/>
        </w:rPr>
        <w:t>Поради това Регламент (ЕС) № 575/2013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r>
        <w:rPr>
          <w:noProof/>
        </w:rPr>
        <w:br/>
        <w:t>Изменения на Регламент (ЕС) № 575/2013</w:t>
      </w:r>
    </w:p>
    <w:p>
      <w:pPr>
        <w:rPr>
          <w:noProof/>
        </w:rPr>
      </w:pPr>
      <w:r>
        <w:rPr>
          <w:noProof/>
        </w:rPr>
        <w:t>Регламент (ЕС) № 575/2013 се изменя, както следва:</w:t>
      </w:r>
    </w:p>
    <w:p>
      <w:pPr>
        <w:pStyle w:val="ManualNumPar1"/>
        <w:rPr>
          <w:noProof/>
        </w:rPr>
      </w:pPr>
      <w:r>
        <w:t>1.</w:t>
      </w:r>
      <w:r>
        <w:tab/>
      </w:r>
      <w:r>
        <w:rPr>
          <w:noProof/>
        </w:rPr>
        <w:t>член 129 се изменя, както следва:</w:t>
      </w:r>
    </w:p>
    <w:p>
      <w:pPr>
        <w:rPr>
          <w:noProof/>
        </w:rPr>
      </w:pPr>
      <w:r>
        <w:rPr>
          <w:noProof/>
        </w:rPr>
        <w:t>а)</w:t>
      </w:r>
      <w:r>
        <w:rPr>
          <w:noProof/>
        </w:rPr>
        <w:tab/>
        <w:t>параграф 1 се изменя, както следва:</w:t>
      </w:r>
    </w:p>
    <w:p>
      <w:pPr>
        <w:rPr>
          <w:noProof/>
        </w:rPr>
      </w:pPr>
      <w:r>
        <w:rPr>
          <w:noProof/>
        </w:rPr>
        <w:t>i)</w:t>
      </w:r>
      <w:r>
        <w:rPr>
          <w:noProof/>
        </w:rPr>
        <w:tab/>
        <w:t>първата алинея се изменя, както следва:</w:t>
      </w:r>
    </w:p>
    <w:p>
      <w:pPr>
        <w:rPr>
          <w:noProof/>
        </w:rPr>
      </w:pPr>
      <w:r>
        <w:rPr>
          <w:noProof/>
        </w:rPr>
        <w:lastRenderedPageBreak/>
        <w:t>—</w:t>
      </w:r>
      <w:r>
        <w:rPr>
          <w:noProof/>
        </w:rPr>
        <w:tab/>
        <w:t>уводното изречение се заменя със следното:</w:t>
      </w:r>
    </w:p>
    <w:p>
      <w:pPr>
        <w:rPr>
          <w:noProof/>
        </w:rPr>
      </w:pPr>
      <w:r>
        <w:rPr>
          <w:noProof/>
        </w:rPr>
        <w:t>„За да могат да се ползват от посоченото в параграфи 4 и 5 преференциално третиране, покритите облигации по член 2 от Директива (ЕС) 20xx/xxxx на Европейския парламент и на Съвета*[До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трябва да отговарят на изискванията в параграфи 3, 3а и 3б от настоящия член и да са обезпечени с някой от изброените по-долу допустими активи:</w:t>
      </w:r>
    </w:p>
    <w:p>
      <w:pPr>
        <w:rPr>
          <w:noProof/>
        </w:rPr>
      </w:pPr>
      <w:r>
        <w:rPr>
          <w:noProof/>
        </w:rPr>
        <w:t>______________________________</w:t>
      </w:r>
    </w:p>
    <w:p>
      <w:pPr>
        <w:rPr>
          <w:noProof/>
        </w:rPr>
      </w:pPr>
      <w:r>
        <w:rPr>
          <w:noProof/>
        </w:rPr>
        <w:t>*</w:t>
      </w:r>
      <w:r>
        <w:rPr>
          <w:noProof/>
        </w:rPr>
        <w:tab/>
        <w:t>[До Службата за публикации: моля, въведете препратка към Директива (ЕС) 20xx/xx на Европейския парламент и на Съвета относно емитирането на покрити облигации и публичния надзор върху тях и за изменение на Директива 2009/65/ЕО и Директива 2014/59/ЕС (ОВ C […], […], стр. […])].“;</w:t>
      </w:r>
    </w:p>
    <w:p>
      <w:pPr>
        <w:rPr>
          <w:noProof/>
        </w:rPr>
      </w:pPr>
      <w:r>
        <w:rPr>
          <w:noProof/>
        </w:rPr>
        <w:t>—</w:t>
      </w:r>
      <w:r>
        <w:rPr>
          <w:noProof/>
        </w:rPr>
        <w:tab/>
        <w:t>буква в) се заменя със следното:</w:t>
      </w:r>
    </w:p>
    <w:p>
      <w:pPr>
        <w:rPr>
          <w:noProof/>
        </w:rPr>
      </w:pPr>
      <w:r>
        <w:rPr>
          <w:noProof/>
        </w:rPr>
        <w:t>„в)</w:t>
      </w:r>
      <w:r>
        <w:rPr>
          <w:noProof/>
        </w:rPr>
        <w:tab/>
        <w:t>експозиции към кредитни институции, които отговарят на първа или втора степен на кредитно качество съгласно настоящата глава;“;</w:t>
      </w:r>
    </w:p>
    <w:p>
      <w:pPr>
        <w:rPr>
          <w:noProof/>
        </w:rPr>
      </w:pPr>
      <w:r>
        <w:rPr>
          <w:noProof/>
        </w:rPr>
        <w:t>—</w:t>
      </w:r>
      <w:r>
        <w:rPr>
          <w:noProof/>
        </w:rPr>
        <w:tab/>
        <w:t xml:space="preserve">в буква г) се заличава подточка ii); </w:t>
      </w:r>
    </w:p>
    <w:p>
      <w:pPr>
        <w:rPr>
          <w:noProof/>
        </w:rPr>
      </w:pPr>
      <w:r>
        <w:rPr>
          <w:noProof/>
        </w:rPr>
        <w:t>—</w:t>
      </w:r>
      <w:r>
        <w:rPr>
          <w:noProof/>
        </w:rPr>
        <w:tab/>
        <w:t>в буква е) се заличава подточка ii);</w:t>
      </w:r>
    </w:p>
    <w:p>
      <w:pPr>
        <w:rPr>
          <w:noProof/>
        </w:rPr>
      </w:pPr>
      <w:r>
        <w:rPr>
          <w:noProof/>
        </w:rPr>
        <w:t>ii)</w:t>
      </w:r>
      <w:r>
        <w:rPr>
          <w:noProof/>
        </w:rPr>
        <w:tab/>
        <w:t>втората алинея се заменя със следното:</w:t>
      </w:r>
    </w:p>
    <w:p>
      <w:pPr>
        <w:rPr>
          <w:noProof/>
        </w:rPr>
      </w:pPr>
      <w:r>
        <w:rPr>
          <w:noProof/>
        </w:rPr>
        <w:t>„За целите на първата алинея, буква в) експозициите, възникнали вследствие на прехвърляне и управление на плащания на кредитополучателите или вследствие на постъпления от осребряване на имуществото на кредитополучатели по заеми, обезпечени с имоти, предоставени като обезпечение на първостепенните дялове или дългови ценни книжа, не се включват при изчислението на посочените в тази буква пределни стойности.“;</w:t>
      </w:r>
    </w:p>
    <w:p>
      <w:pPr>
        <w:rPr>
          <w:noProof/>
        </w:rPr>
      </w:pPr>
      <w:r>
        <w:rPr>
          <w:noProof/>
        </w:rPr>
        <w:t>iii)</w:t>
      </w:r>
      <w:r>
        <w:rPr>
          <w:noProof/>
        </w:rPr>
        <w:tab/>
        <w:t>третата алинея се заличава;</w:t>
      </w:r>
    </w:p>
    <w:p>
      <w:pPr>
        <w:rPr>
          <w:noProof/>
        </w:rPr>
      </w:pPr>
      <w:r>
        <w:rPr>
          <w:noProof/>
        </w:rPr>
        <w:t>б)</w:t>
      </w:r>
      <w:r>
        <w:rPr>
          <w:noProof/>
        </w:rPr>
        <w:tab/>
        <w:t>вмъкват се следните параграфи 1а, 1б и 1в:</w:t>
      </w:r>
    </w:p>
    <w:p>
      <w:pPr>
        <w:rPr>
          <w:noProof/>
        </w:rPr>
      </w:pPr>
      <w:r>
        <w:rPr>
          <w:noProof/>
        </w:rPr>
        <w:t>„1а. За целите на параграф 1, първата алинея, буква в) се прилага следното:</w:t>
      </w:r>
    </w:p>
    <w:p>
      <w:pPr>
        <w:rPr>
          <w:noProof/>
        </w:rPr>
      </w:pPr>
      <w:r>
        <w:rPr>
          <w:noProof/>
        </w:rPr>
        <w:t>а)</w:t>
      </w:r>
      <w:r>
        <w:rPr>
          <w:noProof/>
        </w:rPr>
        <w:tab/>
        <w:t>за експозициите към кредитни институции, които отговарят на първа степен на кредитно качество, размерът на експозицията не може да превишава 15 % от номиналната стойност на покритите облигации в обращение на кредитната институция емитент;</w:t>
      </w:r>
    </w:p>
    <w:p>
      <w:pPr>
        <w:rPr>
          <w:noProof/>
        </w:rPr>
      </w:pPr>
      <w:r>
        <w:rPr>
          <w:noProof/>
        </w:rPr>
        <w:t>б)</w:t>
      </w:r>
      <w:r>
        <w:rPr>
          <w:noProof/>
        </w:rPr>
        <w:tab/>
        <w:t>за експозициите към кредитни институции, които отговарят на втора степен на кредитно качество, размерът на експозицията не може да превишава 10 % от общата експозиция на номиналната стойност на покритите облигации в обращение на кредитната институция емитент;</w:t>
      </w:r>
    </w:p>
    <w:p>
      <w:pPr>
        <w:rPr>
          <w:noProof/>
        </w:rPr>
      </w:pPr>
      <w:r>
        <w:rPr>
          <w:noProof/>
        </w:rPr>
        <w:t>в)</w:t>
      </w:r>
      <w:r>
        <w:rPr>
          <w:noProof/>
        </w:rPr>
        <w:tab/>
        <w:t>общата експозиция към кредитни институции, които отговарят на първа или втора степен на кредитно качество, не може да превишава 15 % от общата експозиция на номиналната стойност на покритите облигации в обращение на кредитната институция емитент.</w:t>
      </w:r>
    </w:p>
    <w:p>
      <w:pPr>
        <w:rPr>
          <w:noProof/>
        </w:rPr>
      </w:pPr>
      <w:r>
        <w:rPr>
          <w:noProof/>
        </w:rPr>
        <w:t xml:space="preserve">Настоящият параграф не се прилага по отношение на използването на покрити облигации като приемливо обезпечение, разрешено по силата на член 9 от Директива (ЕС) 20xx/xx [До Службата за публикации: моля, въведете препратка към Директива </w:t>
      </w:r>
      <w:r>
        <w:rPr>
          <w:noProof/>
        </w:rPr>
        <w:lastRenderedPageBreak/>
        <w:t>(ЕС) 20xx/xx относно емитирането на покрити облигации и публичния надзор върху тях и за изменение на Директива 2009/65/ЕО и Директива 2014/59/ЕС].</w:t>
      </w:r>
    </w:p>
    <w:p>
      <w:pPr>
        <w:rPr>
          <w:noProof/>
        </w:rPr>
      </w:pPr>
      <w:r>
        <w:rPr>
          <w:noProof/>
        </w:rPr>
        <w:t>1б. За целите на параграф 1, първата алинея, буква г), подточка i) пределната стойност от 80 % се отнася за дела от заема, който се взема предвид по отношение на обезпечаването на свързаните с покритата облигация задължения, и е приложима за целия срок до падежа на заема.</w:t>
      </w:r>
    </w:p>
    <w:p>
      <w:pPr>
        <w:rPr>
          <w:noProof/>
        </w:rPr>
      </w:pPr>
      <w:r>
        <w:rPr>
          <w:noProof/>
        </w:rPr>
        <w:t>1в. За целите на параграф 1, първата алинея, буква e), подточка i) и буква ж) пределната стойност от 60 % се отнася за дела от заема, който се взема предвид по отношение на обезпечаването на свързаните с покритата облигация задължения, и е приложима за целия срок до падежа на заема.“;</w:t>
      </w:r>
    </w:p>
    <w:p>
      <w:pPr>
        <w:rPr>
          <w:noProof/>
        </w:rPr>
      </w:pPr>
      <w:r>
        <w:rPr>
          <w:noProof/>
        </w:rPr>
        <w:t>в)</w:t>
      </w:r>
      <w:r>
        <w:rPr>
          <w:noProof/>
        </w:rPr>
        <w:tab/>
        <w:t>параграф 3 се заменя със следното:</w:t>
      </w:r>
    </w:p>
    <w:p>
      <w:pPr>
        <w:rPr>
          <w:noProof/>
        </w:rPr>
      </w:pPr>
      <w:r>
        <w:rPr>
          <w:noProof/>
        </w:rPr>
        <w:t>„3. За служещите за обезпечаване на покрити облигации недвижими имоти, които са в съответствие с настоящия регламент, трябва да бъдат изпълнени изискванията по член 208.“;</w:t>
      </w:r>
    </w:p>
    <w:p>
      <w:pPr>
        <w:rPr>
          <w:noProof/>
        </w:rPr>
      </w:pPr>
      <w:r>
        <w:rPr>
          <w:noProof/>
        </w:rPr>
        <w:t>г)</w:t>
      </w:r>
      <w:r>
        <w:rPr>
          <w:noProof/>
        </w:rPr>
        <w:tab/>
        <w:t xml:space="preserve">вмъкват се следните параграфи 3а и 3б: </w:t>
      </w:r>
    </w:p>
    <w:p>
      <w:pPr>
        <w:rPr>
          <w:noProof/>
        </w:rPr>
      </w:pPr>
      <w:r>
        <w:rPr>
          <w:noProof/>
        </w:rPr>
        <w:t>„3а. Освен че трябва да бъдат обезпечени с изброените в параграф 1 допустими активи, покритите облигации подлежат на изискването за минимално равнище на свръхобезпеченост от 5 %, определено в член 3, параграф 12 от Директива (ЕС) 20xx/xx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w:t>
      </w:r>
    </w:p>
    <w:p>
      <w:pPr>
        <w:rPr>
          <w:noProof/>
        </w:rPr>
      </w:pPr>
      <w:r>
        <w:rPr>
          <w:noProof/>
        </w:rPr>
        <w:t xml:space="preserve">За целите на първата алинея общата номинална стойност на всички активи в пула от обезпечения трябва да бъде най-малко равна на общата номинална стойност на покритите облигации в обращение („принцип на номиналната стойност“) и да е сформирана от посочени в параграф 1 допустими активи. </w:t>
      </w:r>
    </w:p>
    <w:p>
      <w:pPr>
        <w:rPr>
          <w:noProof/>
        </w:rPr>
      </w:pPr>
      <w:r>
        <w:rPr>
          <w:noProof/>
        </w:rPr>
        <w:t>За активите, които се вземат предвид по отношение на минималното равнище на свръхобезпеченост, не се прилагат пределните стойности за размера на експозицията, посочени в параграф 1, първата алинея, букви б) и в), и не се смятат за част от тези пределни стойности.</w:t>
      </w:r>
    </w:p>
    <w:p>
      <w:pPr>
        <w:rPr>
          <w:noProof/>
        </w:rPr>
      </w:pPr>
      <w:r>
        <w:rPr>
          <w:noProof/>
        </w:rPr>
        <w:t>Компетентните органи, определени съгласно член 18, параграф 2 от Директива (ЕС) 20xx/xxx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могат да решат да приложат по-ниско минимално равнище на свръхобезпеченост за покритите облигации, при условие че са изпълнени следните условия:</w:t>
      </w:r>
    </w:p>
    <w:p>
      <w:pPr>
        <w:rPr>
          <w:noProof/>
        </w:rPr>
      </w:pPr>
      <w:r>
        <w:rPr>
          <w:noProof/>
        </w:rPr>
        <w:t>а)</w:t>
      </w:r>
      <w:r>
        <w:rPr>
          <w:noProof/>
        </w:rPr>
        <w:tab/>
        <w:t>изчисляването на равнището на свръхобезпеченост се основава на модел, при който се вземат предвид определените за активите рискови тегла, или на модел, при който оценката на активите зависи от ипотечната заемна стойност по определението в член 4, параграф 1, точка 74;</w:t>
      </w:r>
    </w:p>
    <w:p>
      <w:pPr>
        <w:rPr>
          <w:noProof/>
        </w:rPr>
      </w:pPr>
      <w:r>
        <w:rPr>
          <w:noProof/>
        </w:rPr>
        <w:t>б)</w:t>
      </w:r>
      <w:r>
        <w:rPr>
          <w:noProof/>
        </w:rPr>
        <w:tab/>
        <w:t>минималното равнище на свръхобезпеченост не може да бъде по-ниско от 2 % въз основа на принципа на номиналната стойност.</w:t>
      </w:r>
    </w:p>
    <w:p>
      <w:pPr>
        <w:rPr>
          <w:noProof/>
        </w:rPr>
      </w:pPr>
      <w:r>
        <w:rPr>
          <w:noProof/>
        </w:rPr>
        <w:t xml:space="preserve">3б. Посочените в параграф 1 допустими активи могат да бъдат включени в пула от активи като заместващи активи по определението в член 3, параграф 11 от Директива (ЕС) 20xx/xx [До Службата за публикации: моля, въведете препратка към Директива (ЕС) 20xx/xx относно емитирането на покрити облигации и публичния надзор върху тях </w:t>
      </w:r>
      <w:r>
        <w:rPr>
          <w:noProof/>
        </w:rPr>
        <w:lastRenderedPageBreak/>
        <w:t>и за изменение на Директива 2009/65/ЕО и Директива 2014/59/ЕС] на първичните активи по определението в член 3, параграф 10 от същата директива, при спазване на пределните стойности относно кредитното качество и размера на експозицията, определени в параграф 1 от настоящия член.“;</w:t>
      </w:r>
    </w:p>
    <w:p>
      <w:pPr>
        <w:rPr>
          <w:noProof/>
        </w:rPr>
      </w:pPr>
      <w:r>
        <w:rPr>
          <w:noProof/>
        </w:rPr>
        <w:t>д)</w:t>
      </w:r>
      <w:r>
        <w:rPr>
          <w:noProof/>
        </w:rPr>
        <w:tab/>
        <w:t>параграфи 6 и 7 се заменят със следното:</w:t>
      </w:r>
    </w:p>
    <w:p>
      <w:pPr>
        <w:rPr>
          <w:noProof/>
        </w:rPr>
      </w:pPr>
      <w:r>
        <w:rPr>
          <w:noProof/>
        </w:rPr>
        <w:t>„6. Изискванията по параграфи 1, 3, 3а и 3б не се прилагат за покритите облигации, емитирани преди 31 декември 2007 г. Те могат да бъдат третирани преференциално по параграфи 4 и 5 до падежа им.</w:t>
      </w:r>
    </w:p>
    <w:p>
      <w:pPr>
        <w:rPr>
          <w:noProof/>
        </w:rPr>
      </w:pPr>
      <w:r>
        <w:rPr>
          <w:noProof/>
        </w:rPr>
        <w:t xml:space="preserve">7. За покритите облигации, емитирани преди [До Службата за публикации: моля, въведете началната дата на прилагане на настоящия регламент] не се прилагат изискванията по параграфи 3а и 3б. Те могат да бъдат третирани преференциално по параграфи 4 и 5 до падежа им.“; </w:t>
      </w:r>
    </w:p>
    <w:p>
      <w:pPr>
        <w:rPr>
          <w:noProof/>
        </w:rPr>
      </w:pPr>
      <w:r>
        <w:rPr>
          <w:noProof/>
        </w:rPr>
        <w:t>2)</w:t>
      </w:r>
      <w:r>
        <w:rPr>
          <w:noProof/>
        </w:rPr>
        <w:tab/>
        <w:t>в член 416, параграф 2, буква а) подточка ii) се заменя със следното:</w:t>
      </w:r>
    </w:p>
    <w:p>
      <w:pPr>
        <w:rPr>
          <w:noProof/>
        </w:rPr>
      </w:pPr>
      <w:r>
        <w:rPr>
          <w:noProof/>
        </w:rPr>
        <w:t>„ii)</w:t>
      </w:r>
      <w:r>
        <w:rPr>
          <w:noProof/>
        </w:rPr>
        <w:tab/>
        <w:t>те са облигации съгласно посоченото в член 2 от Директива (ЕС) 20xx/xxxx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различни от посочените в подточка i) от настоящата буква;“;</w:t>
      </w:r>
    </w:p>
    <w:p>
      <w:pPr>
        <w:rPr>
          <w:noProof/>
        </w:rPr>
      </w:pPr>
      <w:r>
        <w:rPr>
          <w:noProof/>
        </w:rPr>
        <w:t>3)</w:t>
      </w:r>
      <w:r>
        <w:rPr>
          <w:noProof/>
        </w:rPr>
        <w:tab/>
        <w:t>в член 425 параграф 1 се заменя със следното:</w:t>
      </w:r>
    </w:p>
    <w:p>
      <w:pPr>
        <w:rPr>
          <w:noProof/>
        </w:rPr>
      </w:pPr>
      <w:r>
        <w:rPr>
          <w:noProof/>
        </w:rPr>
        <w:t>„1. Институциите отчитат входящите ликвидни потоци. Ограничените входящи ликвидни потоци са входящите ликвидни потоци, ограничени до 75 % от размера на изходящите ликвидни потоци. Институциите могат да изключат от прилагането на тази пределна стойност входящите ликвидни потоци от влогове в други институции, за които може да се приложи третирането по член 113, параграф 6 или 7. Институциите могат да изключат от прилагането на тази пределна стойност входящите ликвидни потоци от суми, дължими от кредитополучатели и инвеститори в облигации, които са свързани с ипотечно кредитиране, финансирано чрез облигации, за които може да се приложи третирането по член 129, параграф 4, 5 или 6, или чрез покрити облигации съгласно посоченото в член 2 от Директива (ЕС) 20xx/xxxx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Институциите могат да изключат от прилагането на тази пределна стойност входящите потоци по насърчителни заеми, по които са посредник. След предварително одобрение от компетентния орган, който отговаря за надзора на индивидуална основа, институцията може да изключи напълно или частично входящите потоци от прилагането на тази пределна стойност, когато доставчикът е институция майка или дъщерна институция на институцията или е друго дъщерно предприятие на същата институция майка, или е свързан с институцията чрез определено отношение по смисъла на член 12, параграф 1 от Директива 83/349/ЕИО.“;</w:t>
      </w:r>
    </w:p>
    <w:p>
      <w:pPr>
        <w:rPr>
          <w:noProof/>
        </w:rPr>
      </w:pPr>
      <w:r>
        <w:rPr>
          <w:noProof/>
        </w:rPr>
        <w:t>4)</w:t>
      </w:r>
      <w:r>
        <w:rPr>
          <w:noProof/>
        </w:rPr>
        <w:tab/>
        <w:t>в член 427, параграф 1, буква б) подточка x) се заменя със следното:</w:t>
      </w:r>
    </w:p>
    <w:p>
      <w:pPr>
        <w:rPr>
          <w:noProof/>
        </w:rPr>
      </w:pPr>
      <w:r>
        <w:rPr>
          <w:noProof/>
        </w:rPr>
        <w:t>„x)</w:t>
      </w:r>
      <w:r>
        <w:rPr>
          <w:noProof/>
        </w:rPr>
        <w:tab/>
        <w:t>задължения, които произтичат от емитирани ценни книжа, отговарящи на условията за третирането, предвидено в член 129, параграф 4 или 5, или съгласно посоченото в член 2 от Директива (ЕС) 20xx/xxxx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w:t>
      </w:r>
    </w:p>
    <w:p>
      <w:pPr>
        <w:rPr>
          <w:noProof/>
        </w:rPr>
      </w:pPr>
      <w:r>
        <w:rPr>
          <w:noProof/>
        </w:rPr>
        <w:lastRenderedPageBreak/>
        <w:t>5)</w:t>
      </w:r>
      <w:r>
        <w:rPr>
          <w:noProof/>
        </w:rPr>
        <w:tab/>
        <w:t>в член 428, параграф 1, буква з) подточка iii) се заменя със следното:</w:t>
      </w:r>
    </w:p>
    <w:p>
      <w:pPr>
        <w:rPr>
          <w:noProof/>
        </w:rPr>
      </w:pPr>
      <w:r>
        <w:rPr>
          <w:noProof/>
        </w:rPr>
        <w:t>„iii)</w:t>
      </w:r>
      <w:r>
        <w:rPr>
          <w:noProof/>
        </w:rPr>
        <w:tab/>
        <w:t>предмет на съчетано (посредническо) финансиране чрез облигации, отговарящи на условията за третирането по член 129, параграф 4 или 5, или чрез облигации съгласно посоченото в член 2 от Директива (ЕС) 20xx/xxxx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w:t>
      </w:r>
    </w:p>
    <w:p>
      <w:pPr>
        <w:rPr>
          <w:noProof/>
        </w:rPr>
      </w:pPr>
      <w:r>
        <w:rPr>
          <w:noProof/>
        </w:rPr>
        <w:t>6)</w:t>
      </w:r>
      <w:r>
        <w:rPr>
          <w:noProof/>
        </w:rPr>
        <w:tab/>
        <w:t>член 496 се заличава;</w:t>
      </w:r>
    </w:p>
    <w:p>
      <w:pPr>
        <w:rPr>
          <w:noProof/>
        </w:rPr>
      </w:pPr>
      <w:r>
        <w:rPr>
          <w:noProof/>
        </w:rPr>
        <w:t>7)</w:t>
      </w:r>
      <w:r>
        <w:rPr>
          <w:noProof/>
        </w:rPr>
        <w:tab/>
        <w:t>в точка 6 от ПРИЛОЖЕНИЕ III буква в) се заменя със следното:</w:t>
      </w:r>
    </w:p>
    <w:p>
      <w:pPr>
        <w:rPr>
          <w:noProof/>
        </w:rPr>
      </w:pPr>
      <w:r>
        <w:rPr>
          <w:noProof/>
        </w:rPr>
        <w:t>„в)</w:t>
      </w:r>
      <w:r>
        <w:rPr>
          <w:noProof/>
        </w:rPr>
        <w:tab/>
        <w:t>те са покрити облигации съгласно посоченото в член 2 от Директива (ЕС) 20xx/xxxx [До Службата за публикации: моля, въведете препратка към Директива (ЕС) 20xx/xx относно емитирането на покрити облигации и публичния надзор върху тях и за изменение на Директива 2009/65/ЕО и Директива 2014/59/ЕС], различни от посочените в буква б) от настоящата точка.“.</w:t>
      </w:r>
    </w:p>
    <w:p>
      <w:pPr>
        <w:pStyle w:val="Titrearticle"/>
        <w:rPr>
          <w:noProof/>
        </w:rPr>
      </w:pPr>
      <w:r>
        <w:rPr>
          <w:noProof/>
        </w:rPr>
        <w:t>Член 2</w:t>
      </w:r>
      <w:r>
        <w:rPr>
          <w:noProof/>
        </w:rPr>
        <w:b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[датата, от която държавите членки трябва да започнат да прилагат разпоредбите за транспониране на Директива (ЕС) 20xx/xx относно емитирането на покрити облигации и публичния надзор върху тях и за изменение на Директива 2009/65/ЕО и Директива 2014/59/ЕС].</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COM(2017) 650.</w:t>
      </w:r>
    </w:p>
  </w:footnote>
  <w:footnote w:id="2">
    <w:p>
      <w:pPr>
        <w:pStyle w:val="FootnoteText"/>
      </w:pPr>
      <w:r>
        <w:rPr>
          <w:rStyle w:val="FootnoteReference"/>
        </w:rPr>
        <w:footnoteRef/>
      </w:r>
      <w:r>
        <w:tab/>
        <w:t>Европейска комисия (2017 г.). „Състояние на Съюза — 2017 г.: Писмо за намеренията до председателя Антонио Таяни и до министър-председателя Юри Ратас“.</w:t>
      </w:r>
    </w:p>
  </w:footnote>
  <w:footnote w:id="3">
    <w:p>
      <w:pPr>
        <w:pStyle w:val="FootnoteText"/>
      </w:pPr>
      <w:r>
        <w:rPr>
          <w:rStyle w:val="FootnoteReference"/>
        </w:rPr>
        <w:footnoteRef/>
      </w:r>
      <w:r>
        <w:tab/>
        <w:t>COM(2017) 292.</w:t>
      </w:r>
    </w:p>
  </w:footnote>
  <w:footnote w:id="4">
    <w:p>
      <w:pPr>
        <w:pStyle w:val="FootnoteText"/>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(OВ L 302, 17.11.2009 г., стр. 32).</w:t>
      </w:r>
    </w:p>
  </w:footnote>
  <w:footnote w:id="5">
    <w:p>
      <w:pPr>
        <w:pStyle w:val="FootnoteText"/>
      </w:pPr>
      <w:r>
        <w:rPr>
          <w:rStyle w:val="FootnoteReference"/>
        </w:rPr>
        <w:footnoteRef/>
      </w:r>
      <w:r>
        <w:tab/>
      </w:r>
      <w:r>
        <w:rPr>
          <w:i/>
        </w:rPr>
        <w:t>Доклад за рамката и капиталовото третиране на покритите облигации в ЕС</w:t>
      </w:r>
      <w:r>
        <w:t xml:space="preserve">, ЕБО (2014 г.); </w:t>
      </w:r>
      <w:r>
        <w:br/>
      </w:r>
      <w:r>
        <w:rPr>
          <w:i/>
        </w:rPr>
        <w:t>Доклад за покритите облигации — препоръки относно хармонизацията на рамката за покритите облигации в ЕС</w:t>
      </w:r>
      <w:r>
        <w:t>, ЕБО (2016 г.), EBA-Op-2016-23.</w:t>
      </w:r>
    </w:p>
  </w:footnote>
  <w:footnote w:id="6">
    <w:p>
      <w:pPr>
        <w:pStyle w:val="FootnoteText"/>
      </w:pPr>
      <w:r>
        <w:rPr>
          <w:rStyle w:val="FootnoteReference"/>
        </w:rPr>
        <w:footnoteRef/>
      </w:r>
      <w:r>
        <w:tab/>
        <w:t>Препоръка на Европейския съвет за системен риск от 20 декември 2012 г. относно финансирането на кредитните институции (ЕССР/2012/2) (2013/C 119/01).</w:t>
      </w:r>
    </w:p>
  </w:footnote>
  <w:footnote w:id="7">
    <w:p>
      <w:pPr>
        <w:pStyle w:val="FootnoteText"/>
      </w:pPr>
      <w:r>
        <w:rPr>
          <w:rStyle w:val="FootnoteReference"/>
        </w:rPr>
        <w:footnoteRef/>
      </w:r>
      <w:r>
        <w:tab/>
        <w:t xml:space="preserve">Резултатите от обществената консултация са достъпни на следния адрес: </w:t>
      </w:r>
      <w:hyperlink r:id="rId1">
        <w:r>
          <w:rPr>
            <w:rStyle w:val="Hyperlink"/>
          </w:rPr>
          <w:t>http://ec.europa.eu/finance/consultations/2015/covered-bonds/index_en.htm</w:t>
        </w:r>
      </w:hyperlink>
      <w:r>
        <w:t xml:space="preserve"> </w:t>
      </w:r>
    </w:p>
  </w:footnote>
  <w:footnote w:id="8">
    <w:p>
      <w:pPr>
        <w:pStyle w:val="FootnoteText"/>
      </w:pPr>
      <w:r>
        <w:rPr>
          <w:rStyle w:val="FootnoteReference"/>
        </w:rPr>
        <w:footnoteRef/>
      </w:r>
      <w:r>
        <w:tab/>
        <w:t xml:space="preserve">Резолюция от 4 юли 2017 г. относно доклада </w:t>
      </w:r>
      <w:r>
        <w:rPr>
          <w:i/>
        </w:rPr>
        <w:t>Към общоевропейска рамка за покрити облигации</w:t>
      </w:r>
      <w:r>
        <w:t xml:space="preserve"> (2017/2005(INI)).</w:t>
      </w:r>
    </w:p>
  </w:footnote>
  <w:footnote w:id="9">
    <w:p>
      <w:pPr>
        <w:pStyle w:val="FootnoteText"/>
      </w:pPr>
      <w:r>
        <w:rPr>
          <w:rStyle w:val="FootnoteReference"/>
        </w:rPr>
        <w:footnoteRef/>
      </w:r>
      <w:r>
        <w:tab/>
      </w:r>
      <w:r>
        <w:rPr>
          <w:i/>
        </w:rPr>
        <w:t>Доклад на ЕБО за рамката и капиталовото третиране на покритите облигации в ЕС</w:t>
      </w:r>
      <w:r>
        <w:t>, ЕБО (2014 г.)</w:t>
      </w:r>
    </w:p>
  </w:footnote>
  <w:footnote w:id="10">
    <w:p>
      <w:pPr>
        <w:pStyle w:val="FootnoteText"/>
      </w:pPr>
      <w:r>
        <w:rPr>
          <w:rStyle w:val="FootnoteReference"/>
        </w:rPr>
        <w:footnoteRef/>
      </w:r>
      <w:r>
        <w:tab/>
        <w:t>Препоръка на Европейския съвет за системен риск от 20 декември 2012 г. относно финансирането на кредитните институции (ЕССР/2012/2) (2013/C 119/01).</w:t>
      </w:r>
    </w:p>
  </w:footnote>
  <w:footnote w:id="11">
    <w:p>
      <w:pPr>
        <w:pStyle w:val="FootnoteText"/>
      </w:pPr>
      <w:r>
        <w:rPr>
          <w:rStyle w:val="FootnoteReference"/>
        </w:rPr>
        <w:footnoteRef/>
      </w:r>
      <w:r>
        <w:tab/>
        <w:t>Искане за становище от ЕБО относно капиталовите изисквания при покритите облигации, Ares(2013) 3780921 (20.12.2013 г.).</w:t>
      </w:r>
    </w:p>
  </w:footnote>
  <w:footnote w:id="12">
    <w:p>
      <w:pPr>
        <w:pStyle w:val="FootnoteText"/>
      </w:pPr>
      <w:r>
        <w:rPr>
          <w:rStyle w:val="FootnoteReference"/>
        </w:rPr>
        <w:footnoteRef/>
      </w:r>
      <w:r>
        <w:tab/>
      </w:r>
      <w:r>
        <w:rPr>
          <w:i/>
        </w:rPr>
        <w:t>Покритите облигации в Европейския съюз: хармонизиране на законодателната рамка и пазарните практики</w:t>
      </w:r>
      <w:r>
        <w:t>, ICF (2017).</w:t>
      </w:r>
    </w:p>
  </w:footnote>
  <w:footnote w:id="13">
    <w:p>
      <w:pPr>
        <w:pStyle w:val="FootnoteText"/>
      </w:pPr>
      <w:r>
        <w:rPr>
          <w:rStyle w:val="FootnoteReference"/>
        </w:rPr>
        <w:footnoteRef/>
      </w:r>
      <w:r>
        <w:tab/>
      </w:r>
      <w:r>
        <w:rPr>
          <w:i/>
        </w:rPr>
        <w:t>Базел ІІІ: завършване на следкризисните реформи</w:t>
      </w:r>
      <w:r>
        <w:t>, Базелски комитет по банков надзор (7.12.2017 г.).</w:t>
      </w:r>
    </w:p>
  </w:footnote>
  <w:footnote w:id="14">
    <w:p>
      <w:pPr>
        <w:pStyle w:val="FootnoteText"/>
      </w:pPr>
      <w:r>
        <w:rPr>
          <w:rStyle w:val="FootnoteReference"/>
        </w:rPr>
        <w:footnoteRef/>
      </w:r>
      <w:r>
        <w:tab/>
        <w:t>SWD(2018) 51 и SWD(2018) 50.</w:t>
      </w:r>
    </w:p>
  </w:footnote>
  <w:footnote w:id="15">
    <w:p>
      <w:pPr>
        <w:pStyle w:val="FootnoteText"/>
      </w:pPr>
      <w:r>
        <w:rPr>
          <w:rStyle w:val="FootnoteReference"/>
        </w:rPr>
        <w:footnoteRef/>
      </w:r>
      <w:r>
        <w:tab/>
        <w:t>ОВ C , , стр. .</w:t>
      </w:r>
    </w:p>
  </w:footnote>
  <w:footnote w:id="16">
    <w:p>
      <w:pPr>
        <w:pStyle w:val="FootnoteText"/>
      </w:pPr>
      <w:r>
        <w:rPr>
          <w:rStyle w:val="FootnoteReference"/>
        </w:rPr>
        <w:footnoteRef/>
      </w:r>
      <w:r>
        <w:tab/>
        <w:t>ОВ C , , стр. .</w:t>
      </w:r>
    </w:p>
  </w:footnote>
  <w:footnote w:id="17">
    <w:p>
      <w:pPr>
        <w:pStyle w:val="FootnoteText"/>
      </w:pPr>
      <w:r>
        <w:rPr>
          <w:rStyle w:val="FootnoteReference"/>
        </w:rPr>
        <w:footnoteRef/>
      </w:r>
      <w:r>
        <w:tab/>
        <w:t>ОВ C , , стр. .</w:t>
      </w:r>
    </w:p>
  </w:footnote>
  <w:footnote w:id="18">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19">
    <w:p>
      <w:pPr>
        <w:pStyle w:val="FootnoteText"/>
      </w:pPr>
      <w:r>
        <w:rPr>
          <w:rStyle w:val="FootnoteReference"/>
        </w:rPr>
        <w:footnoteRef/>
      </w:r>
      <w:r>
        <w:tab/>
        <w:t>Становище на Европейския банков орган относно преференциалното капиталово третиране на покритите облигации, EBA/Op/2014/04.</w:t>
      </w:r>
    </w:p>
  </w:footnote>
  <w:footnote w:id="20">
    <w:p>
      <w:pPr>
        <w:pStyle w:val="FootnoteText"/>
      </w:pPr>
      <w:r>
        <w:rPr>
          <w:rStyle w:val="FootnoteReference"/>
        </w:rPr>
        <w:footnoteRef/>
      </w:r>
      <w:r>
        <w:tab/>
        <w:t>Препоръки EU COM 1-A до 1-D, изложени в Становище EBA/Op/2014/04.</w:t>
      </w:r>
    </w:p>
  </w:footnote>
  <w:footnote w:id="21">
    <w:p>
      <w:pPr>
        <w:pStyle w:val="FootnoteText"/>
      </w:pPr>
      <w:r>
        <w:rPr>
          <w:rStyle w:val="FootnoteReference"/>
        </w:rPr>
        <w:footnoteRef/>
      </w:r>
      <w:r>
        <w:tab/>
        <w:t>Препоръка EU COM 2, изложена в Становище EBA/Op/2014/04.</w:t>
      </w:r>
    </w:p>
  </w:footnote>
  <w:footnote w:id="22">
    <w:p>
      <w:pPr>
        <w:pStyle w:val="FootnoteText"/>
        <w:rPr>
          <w:lang w:val="en-US"/>
        </w:rPr>
      </w:pPr>
      <w:r>
        <w:rPr>
          <w:rStyle w:val="FootnoteReference"/>
        </w:rPr>
        <w:footnoteRef/>
      </w:r>
      <w:r>
        <w:tab/>
        <w:t>Пак 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24D1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C02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CC22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2CFB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5A53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AC98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445CDE"/>
    <w:lvl w:ilvl="0">
      <w:start w:val="1"/>
      <w:numFmt w:val="decimal"/>
      <w:pStyle w:val="ListNumber"/>
      <w:lvlText w:val="%1."/>
      <w:lvlJc w:val="left"/>
      <w:pPr>
        <w:tabs>
          <w:tab w:val="num" w:pos="360"/>
        </w:tabs>
        <w:ind w:left="360" w:hanging="360"/>
      </w:pPr>
    </w:lvl>
  </w:abstractNum>
  <w:abstractNum w:abstractNumId="7">
    <w:nsid w:val="FFFFFF89"/>
    <w:multiLevelType w:val="singleLevel"/>
    <w:tmpl w:val="961677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4"/>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ST-MADSEN Charlotte (FISMA)">
    <w15:presenceInfo w15:providerId="None" w15:userId="HOST-MADSEN Charlotte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removePersonalInformation/>
  <w:removeDateAndTim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9 11:28: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2366EE2-FBBF-4761-BF0C-85E2C48F273D"/>
    <w:docVar w:name="LW_COVERPAGE_TYPE" w:val="1"/>
    <w:docVar w:name="LW_CROSSREFERENCE" w:val="{SWD(2018) 50 final}_x000b_{SWD(2018) 51 final}"/>
    <w:docVar w:name="LW_DocType" w:val="COM"/>
    <w:docVar w:name="LW_EMISSION" w:val="12.3.2018"/>
    <w:docVar w:name="LW_EMISSION_ISODATE" w:val="2018-03-12"/>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2"/>
    <w:docVar w:name="LW_REF.II.NEW.CP_YEAR" w:val="2018"/>
    <w:docVar w:name="LW_REF.INST.NEW" w:val="COM"/>
    <w:docVar w:name="LW_REF.INST.NEW_ADOPTED" w:val="final"/>
    <w:docVar w:name="LW_REF.INST.NEW_TEXT" w:val="(2018)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575/2013 \u1087?\u1086? \u1086?\u1090?\u1085?\u1086?\u1096?\u1077?\u1085?\u1080?\u1077? \u1085?\u1072? \u1077?\u1082?\u1089?\u1087?\u1086?\u1079?\u1080?\u1094?\u1080?\u1080?\u1090?\u1077? \u1087?\u1086?\u1076? \u1092?\u1086?\u1088?\u1084?\u1072?\u1090?\u1072? \u1085?\u1072? \u1087?\u1086?\u1082?\u1088?\u1080?\u1090?\u1080? \u1086?\u1073?\u1083?\u1080?\u1075?\u1072?\u1094?\u1080?\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consultations/2015/covered-bond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C0F6E-EB15-4DEB-9908-3EC1F0CB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20</Pages>
  <Words>7695</Words>
  <Characters>45251</Characters>
  <Application>Microsoft Office Word</Application>
  <DocSecurity>0</DocSecurity>
  <Lines>780</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2018-03-16T15:35:00Z</dcterms:created>
  <dcterms:modified xsi:type="dcterms:W3CDTF">2018-03-19T10:28:00Z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