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AC9FFC00-F1C0-43BD-B9D4-107A48F1D7C3" style="width:450.7pt;height:366.1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spacing w:before="60" w:after="60"/>
        <w:rPr>
          <w:rFonts w:eastAsia="Times New Roman"/>
          <w:noProof/>
          <w:szCs w:val="24"/>
        </w:rPr>
      </w:pPr>
      <w:r>
        <w:rPr>
          <w:noProof/>
        </w:rPr>
        <w:t xml:space="preserve">Целта на предложението е в правото на Съюза да се транспонират редица мерки, приети от Генералната комисия по рибарство в Средиземно море (GFCM) на годишните ѝ заседания през 2015, 2016 и 2017 г. GFCM представлява регионална организация за управление на рибарството, създадена съгласно член XIV от Учредителния акт на Организацията на ООН за прехрана и земеделие (ФАО), и основните ѝ цели са насърчаване на развитието, опазването, рационалното управление и най-доброто използване на запасите от живи водни ресурси и устойчивото развитие на аквакултурите в Средиземно море, Черно море и свързващите води. GFCM разполага с правомощия да приема задължителни решения (препоръки) в своята област на компетентност, които са насочени основно към договарящите страни, но могат също така да съдържат задължения за операторите (например капитаните на кораби). Препоръките стават задължителни в 120-дневен срок от датата на първото уведомление, при условие че не са внесени възражения. </w:t>
      </w:r>
    </w:p>
    <w:p>
      <w:pPr>
        <w:spacing w:before="60" w:after="60"/>
        <w:rPr>
          <w:rFonts w:eastAsia="Times New Roman"/>
          <w:noProof/>
          <w:szCs w:val="24"/>
        </w:rPr>
      </w:pPr>
    </w:p>
    <w:p>
      <w:pPr>
        <w:spacing w:before="60" w:after="60"/>
        <w:rPr>
          <w:rFonts w:eastAsia="Times New Roman"/>
          <w:noProof/>
          <w:szCs w:val="24"/>
        </w:rPr>
      </w:pPr>
      <w:r>
        <w:rPr>
          <w:noProof/>
        </w:rPr>
        <w:t xml:space="preserve">ЕС и десет държави членки (България, Гърция, Испания, Франция, Хърватия, Италия, Кипър, Малта, Румъния и Словения) са договарящи страни по Споразумението за GFCM. Транспонирането на съответните разпоредби на GFCM — дотолкова, доколкото съдържанието на препоръките на GFCM не е обхванато или е обхванато само отчасти от съществуващо право на Съюза — е необходимо, за да се гарантира, че тези разпоредби се прилагат по еднакъв и ефективен начин навсякъде в Европейския съюз. </w:t>
      </w:r>
    </w:p>
    <w:p>
      <w:pPr>
        <w:spacing w:before="60" w:after="60"/>
        <w:rPr>
          <w:rFonts w:eastAsia="Times New Roman"/>
          <w:noProof/>
          <w:szCs w:val="24"/>
        </w:rPr>
      </w:pPr>
    </w:p>
    <w:p>
      <w:pPr>
        <w:spacing w:before="60" w:after="60"/>
        <w:rPr>
          <w:rFonts w:eastAsia="Times New Roman"/>
          <w:noProof/>
          <w:szCs w:val="24"/>
        </w:rPr>
      </w:pPr>
      <w:r>
        <w:rPr>
          <w:noProof/>
        </w:rPr>
        <w:t>Последното транспониране на решения на GFCM беше извършено посредством Регламент (ЕС) № 1343/2011</w:t>
      </w:r>
      <w:r>
        <w:rPr>
          <w:rStyle w:val="FootnoteReference"/>
          <w:noProof/>
        </w:rPr>
        <w:footnoteReference w:id="1"/>
      </w:r>
      <w:r>
        <w:rPr>
          <w:noProof/>
        </w:rPr>
        <w:t>, изменен с Регламент (ЕС) 2015/2102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Настоящото предложение предвижда въвеждането на изменения в посочения регламент, така че в него да бъдат включени мерките, подлежащи на транспониране. 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spacing w:before="60" w:after="60"/>
        <w:rPr>
          <w:rFonts w:eastAsia="Times New Roman"/>
          <w:noProof/>
          <w:szCs w:val="24"/>
        </w:rPr>
      </w:pPr>
      <w:r>
        <w:rPr>
          <w:noProof/>
        </w:rPr>
        <w:t xml:space="preserve">Предложението е съгласувано с общата политика в областта на рибарството. То включва мерки за опазване, мерки за управление, мерки за мониторинг, контрол и наблюдение, както и мерки за борба с незаконния, недеклариран и нерегулиран риболов. Тези мерки се отнасят до запасите от мерлуза и океанска розова скарида в Сицилийския пролив, запаса от калкан в Черно море, запаса от червенопер пагел във водите около остров Алборан и червените корали. С предложението също така се установява зона с ограничения за риболов в Адриатическо море (зона на падината Jabuka/Pomo). Тези мерки не са обхванати от съществуващото законодателство на ЕС.  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Член 43, параграф 2 от Договора за функционирането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Предложението попада в обхвата на изключителната компетентност на Европейския съюз.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 предложения текст ще се гарантира транспонирането на съответните мерки на GFCM в правото на Съюза, без да се надхвърля необходимото за постигане на преследваните цели.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Предлаган инструмент: регламент на Европейския парламент и на Съвета за изменение на съществуващ регламент.</w:t>
      </w:r>
    </w:p>
    <w:p>
      <w:pPr>
        <w:rPr>
          <w:rFonts w:eastAsia="Times New Roman"/>
          <w:noProof/>
        </w:rPr>
      </w:pPr>
      <w:r>
        <w:rPr>
          <w:noProof/>
        </w:rPr>
        <w:t>Други средства не биха били подходящи, тъй като изменението на регламент трябва да се извърши с друг регламент.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КОНСУЛТАЦИИТЕ СЪС ЗАИНТЕРЕСОВАНИТЕ СТРАНИ И ОЦЕНКИТЕ НА ВЪЗДЕЙСТВИЕТО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Не беше необходимо провеждането на консултация със заинтересованите страни и оценка на въздействието.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rPr>
          <w:rFonts w:eastAsia="Times New Roman"/>
          <w:noProof/>
        </w:rPr>
      </w:pPr>
      <w:r>
        <w:rPr>
          <w:noProof/>
        </w:rPr>
        <w:t>Мярката не поражда допълнителни разходи за Съюза.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2018/0069 (COD)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РЕГЛАМЕНТ НА ЕВРОПЕЙСКИЯ ПАРЛАМЕНТ И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Регламент (ЕС) № 1343/2011 относно определени разпоредби за риболова в зоната по Споразумението за GFCM (Генералната комисия по рибарство в Средиземно море)</w:t>
      </w:r>
    </w:p>
    <w:p>
      <w:pPr>
        <w:pStyle w:val="Institutionquiagit"/>
        <w:rPr>
          <w:noProof/>
        </w:rPr>
      </w:pPr>
      <w:r>
        <w:rPr>
          <w:noProof/>
        </w:rPr>
        <w:t>ЕВРОПЕЙСКИЯТ ПАРЛАМЕНТ И СЪВЕТЪТ НА ЕВРОПЕЙСКИЯ СЪЮЗ,</w:t>
      </w:r>
    </w:p>
    <w:p>
      <w:pPr>
        <w:rPr>
          <w:noProof/>
        </w:rPr>
      </w:pPr>
      <w:r>
        <w:rPr>
          <w:noProof/>
        </w:rPr>
        <w:t>като взеха предвид Договора за функционирането на Европейския съюз, и по-специално член 43, параграф 2 от него,</w:t>
      </w:r>
    </w:p>
    <w:p>
      <w:pPr>
        <w:rPr>
          <w:noProof/>
        </w:rPr>
      </w:pPr>
      <w:r>
        <w:rPr>
          <w:noProof/>
        </w:rPr>
        <w:t>като взеха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след предаване на проекта на законодателния акт на националните парламенти,</w:t>
      </w:r>
    </w:p>
    <w:p>
      <w:pPr>
        <w:rPr>
          <w:noProof/>
        </w:rPr>
      </w:pPr>
      <w:r>
        <w:rPr>
          <w:noProof/>
        </w:rPr>
        <w:t>като взеха предвид становището на Европейския икономически и социален комитет,</w:t>
      </w:r>
    </w:p>
    <w:p>
      <w:pPr>
        <w:rPr>
          <w:noProof/>
        </w:rPr>
      </w:pPr>
      <w:r>
        <w:rPr>
          <w:noProof/>
        </w:rPr>
        <w:t>в съответствие с обикновената законодателна процедура,</w:t>
      </w:r>
    </w:p>
    <w:p>
      <w:pPr>
        <w:rPr>
          <w:noProof/>
        </w:rPr>
      </w:pPr>
      <w:r>
        <w:rPr>
          <w:noProof/>
        </w:rPr>
        <w:t>като имат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Със Споразумението за създаване на Генералната комисия по рибарство в Средиземно море (Споразумението за GFCM) се осигурява подходяща рамка за многостранно сътрудничество с цел насърчаване на развитието, опазването, рационалното управление и най-доброто използване на живите морски ресурси в Средиземно и Черно море на равнища, които се считат за устойчиви и при които има малък риск от изчерпване на запасите.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Европейският съюз, също както и България, Гърция, Испания, Франция, Хърватия, Италия, Кипър, Малта, Румъния и Словения, e договаряща страна по Споразумението за GFCM.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Препоръките, приети от GFCM, са задължителни за договарящите страни по споразумението. Тъй като Съюзът е договаряща страна по Споразумението за GFCM, тези препоръки са задължителни за Съюза и затова следва да бъдат въведени в правото на Съюза, освен когато тяхното съдържание вече попада в неговия обхват.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 Регламент (ЕС) № 1343/2011 на Европейския парламент и на Съвета се определят някои разпоредби за риболова в зоната по Споразумението за GFCM. Този регламент е подходящият законодателен акт за прилагане на препоръките, които са приети от Генералната комисия по рибарство в Средиземно море (GFCM), но все още не са обхванати от правото на Съюза.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>На своето годишно заседание през 2015 г. GFCM прие Препоръка GFCM/39/2015/2 за определяне на набор от минимални стандарти при риболова с дънни тралове на запасите от дънни видове в Сицилийския пролив. Тези стандарти включват технически мерки за опазване на запасите от океанска розова скарида (</w:t>
      </w:r>
      <w:r>
        <w:rPr>
          <w:i/>
          <w:noProof/>
        </w:rPr>
        <w:t>Parapenaeus longirostris</w:t>
      </w:r>
      <w:r>
        <w:rPr>
          <w:noProof/>
        </w:rPr>
        <w:t>) и мерлуза (</w:t>
      </w:r>
      <w:r>
        <w:rPr>
          <w:i/>
          <w:noProof/>
        </w:rPr>
        <w:t>Merluccius merluccius</w:t>
      </w:r>
      <w:r>
        <w:rPr>
          <w:noProof/>
        </w:rPr>
        <w:t>). Някои аспекти на тези мерки вече се съдържат в приложение III към Регламент (ЕО) № 1967/2006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>, в което се определят минималните референтни размери за опазване на съответните видове. Мерките за управление на флота, съдържащи се в Препоръка GFCM/39/2015/2, следва обаче да бъдат включени в правото на Съюза посредством Регламент (ЕС) № 1343/2011.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>На своето годишно заседание през 2015 г. GFCM прие също така Препоръка GFCM/39/2015/3 за определяне на набор от мерки за предотвратяване, възпиране и премахване на незаконния, недеклариран и нерегулиран риболов на калкан (</w:t>
      </w:r>
      <w:r>
        <w:rPr>
          <w:i/>
          <w:noProof/>
        </w:rPr>
        <w:t>Psetta maxima</w:t>
      </w:r>
      <w:r>
        <w:rPr>
          <w:noProof/>
        </w:rPr>
        <w:t>) в Черно море. Повечето от тези мерки са вече предвидени в Регламент (ЕО) № 26/2004 на Комисията</w:t>
      </w:r>
      <w:r>
        <w:rPr>
          <w:rStyle w:val="FootnoteReference"/>
          <w:noProof/>
        </w:rPr>
        <w:footnoteReference w:id="4"/>
      </w:r>
      <w:r>
        <w:rPr>
          <w:noProof/>
        </w:rPr>
        <w:t>, Регламент (ЕО) № 1005/2008 на Съвета</w:t>
      </w:r>
      <w:r>
        <w:rPr>
          <w:rStyle w:val="FootnoteReference"/>
          <w:noProof/>
        </w:rPr>
        <w:footnoteReference w:id="5"/>
      </w:r>
      <w:r>
        <w:rPr>
          <w:noProof/>
        </w:rPr>
        <w:t>, Регламент (ЕО) № 1224/2009 на Съвета</w:t>
      </w:r>
      <w:r>
        <w:rPr>
          <w:rStyle w:val="FootnoteReference"/>
          <w:noProof/>
        </w:rPr>
        <w:footnoteReference w:id="6"/>
      </w:r>
      <w:r>
        <w:rPr>
          <w:noProof/>
        </w:rPr>
        <w:t>, Регламент (ЕС) № 1380/2013</w:t>
      </w:r>
      <w:r>
        <w:rPr>
          <w:rStyle w:val="FootnoteReference"/>
          <w:noProof/>
        </w:rPr>
        <w:footnoteReference w:id="7"/>
      </w:r>
      <w:r>
        <w:rPr>
          <w:noProof/>
        </w:rPr>
        <w:t>, Регламент (ЕС) № 1343/2011 и Регламент за изпълнение (ЕС) № 404/2011 на Комисията</w:t>
      </w:r>
      <w:r>
        <w:rPr>
          <w:rStyle w:val="FootnoteReference"/>
          <w:noProof/>
        </w:rPr>
        <w:footnoteReference w:id="8"/>
      </w:r>
      <w:r>
        <w:rPr>
          <w:noProof/>
        </w:rPr>
        <w:t>. В законодателството на Съюза обаче не са предвидени някои мерки за управление на флота, съдържащи се в Препоръка GFCM/39/2015/2, поради което те следва да бъдат включени в Регламент (ЕС) № 1343/2011.</w:t>
      </w:r>
    </w:p>
    <w:p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>На своето годишно заседание през 2016 г. GFCM прие Препоръка GFCM/40/2016/4 за изготвяне на многогодишен план за управление на риболова на мерлуза и океанска розова скарида в Сицилийския пролив (географски подзони 12—16). Част от елементите на този многогодишен план са вече предвидени в Регламент (ЕО) № 26/2004 на Комисията и в Регламент (ЕС) № 1380/2013. Някои съдържащи се в Препоръка GFCM/40/2016/4 мерки обаче все още не са предвидени в законодателството на Съюза, поради което те следва да бъдат включени в Регламент (ЕС) № 1343/2011.</w:t>
      </w:r>
    </w:p>
    <w:p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На своето годишно заседание през 2017 г. GFCM прие Препоръка GFCM/41/2017/2 относно управлението на червенопер пагел във водите около остров Алборан (географски подзони 1, 2 и 3) за двугодишен преходен период. Оперативната цел на тази препоръка е смъртността от риболов при червеноперия пагел да се поддържа в рамките на договорените предпазни референтни равнища, като максималният устойчив улов да бъде постигнат или поддържан във възможно най-кратък срок.</w:t>
      </w:r>
    </w:p>
    <w:p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>На своето годишно заседание през 2017 г. GFCM прие Препоръка GFCM/41/2017/3 за определяне на зона с ограничения за риболов в падината Jabuka/Pomo в Адриатическо море.</w:t>
      </w:r>
    </w:p>
    <w:p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 xml:space="preserve"> На своето годишно заседание през 2017 г. GFCM прие Препоръка GFCM/41/2017/4 относно многогодишен план за управление на риболова на калкан в географска подзона 29 (Черно море). С препоръката се въвежда набор от мерки за управление, технически мерки, мерки за управление на флота и мерки за контрол като пилотен проект за борба с незаконния, недеклариран и нерегулиран риболов на калкан в Черно море. Някои от елементите в този многогодишен план са вече предвидени в Регламент (ЕО) № 26/2004 на Комисията, Регламент (ЕО) № 1005/2008 на Съвета</w:t>
      </w:r>
      <w:r>
        <w:rPr>
          <w:rStyle w:val="FootnoteReference"/>
          <w:noProof/>
        </w:rPr>
        <w:footnoteReference w:id="9"/>
      </w:r>
      <w:r>
        <w:rPr>
          <w:noProof/>
        </w:rPr>
        <w:t>, Регламент (ЕО) № 1224/2009 на Съвета</w:t>
      </w:r>
      <w:r>
        <w:rPr>
          <w:rStyle w:val="FootnoteReference"/>
          <w:noProof/>
        </w:rPr>
        <w:footnoteReference w:id="10"/>
      </w:r>
      <w:r>
        <w:rPr>
          <w:noProof/>
        </w:rPr>
        <w:t>, Регламент (ЕС) № 1380/2013, Регламент (ЕС) № 1343/2011 и Регламент за изпълнение (ЕС) № 404/2011 на Комисията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. Някои съдържащи се в Препоръка GFCM/41/2017/4 мерки обаче все още не са предвидени в законодателството на Съюза, поради което те следва да бъдат включени в Регламент (ЕС) № 1343/2011. </w:t>
      </w:r>
    </w:p>
    <w:p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>На своето годишно заседание през 2017 г. GFCM прие Препоръка GFCM/41/2017/5 за създаване на регионален план за адаптирано управление при експлоатацията на червени корали в Средиземно море.</w:t>
      </w:r>
    </w:p>
    <w:p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>На своето годишно заседание през 2017 г. GFCM прие Препоръка GFCM/41/2017/8 относно схема за съвместни международни инспекции и наблюдение извън водите под национална юрисдикция на географски подзони 12, 13, 14, 15 и 16 (Сицилийски пролив), в която държавите членки могат да решат да вземат участие. За да се осигури спазването на общата политика в областта на рибарството е прието законодателство на Съюза с цел да се създаде система за контрол, инспекции и прилагане, която включва борбата срещу незаконните, недекларирани и нерегулирани дейности. С Регламент (ЕО) № 1224/2009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се създава по-конкретно система на Съюза за контрол, инспекции и правоприлагане с глобален и интегриран подход, за да се осигури спазване на всички правила на общата политика в областта на рибарството. Подробните правила за прилагане на Регламент (ЕО) № 1224/2009 се съдържат в Регламент за изпълнение (ЕС) № 404/2011 на Комисията</w:t>
      </w:r>
      <w:r>
        <w:rPr>
          <w:rStyle w:val="FootnoteReference"/>
          <w:noProof/>
        </w:rPr>
        <w:footnoteReference w:id="13"/>
      </w:r>
      <w:r>
        <w:rPr>
          <w:noProof/>
        </w:rPr>
        <w:t>. С Регламент (ЕО) № 1005/2008 на Съвета</w:t>
      </w:r>
      <w:r>
        <w:rPr>
          <w:rStyle w:val="FootnoteReference"/>
          <w:noProof/>
        </w:rPr>
        <w:footnoteReference w:id="14"/>
      </w:r>
      <w:r>
        <w:rPr>
          <w:noProof/>
        </w:rPr>
        <w:t xml:space="preserve"> се създава система на Общността за предотвратяване, възпиране и премахване на незаконния, недеклариран и нерегулиран риболов. В посочените регламенти вече се съдържат редица мерки, предвидени в Препоръка GFCM/41/2017/8. Съответно не е необходимо тези мерки да бъдат включени в настоящия регламент. Някои съдържащи се в препоръката мерки обаче не са предвидени в законодателството на Съюза, поради което те следва да бъдат включени в Регламент (ЕС) № 1343/2011.</w:t>
      </w:r>
    </w:p>
    <w:p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Поради това Регламент (ЕС) № 1343/2011 следва да бъде съответно изменен,</w:t>
      </w:r>
    </w:p>
    <w:p>
      <w:pPr>
        <w:pStyle w:val="Formuledadoption"/>
        <w:rPr>
          <w:noProof/>
        </w:rPr>
      </w:pPr>
      <w:r>
        <w:rPr>
          <w:noProof/>
        </w:rPr>
        <w:t>ПРИЕХА НАСТОЯЩИЯ РЕГЛАМЕНТ:</w:t>
      </w:r>
    </w:p>
    <w:p>
      <w:pPr>
        <w:pStyle w:val="Titrearticle"/>
        <w:spacing w:before="0"/>
        <w:rPr>
          <w:noProof/>
        </w:rPr>
      </w:pPr>
      <w:r>
        <w:rPr>
          <w:noProof/>
        </w:rPr>
        <w:t>Член 1</w:t>
      </w:r>
    </w:p>
    <w:p>
      <w:pPr>
        <w:jc w:val="center"/>
        <w:rPr>
          <w:noProof/>
        </w:rPr>
      </w:pPr>
      <w:r>
        <w:rPr>
          <w:b/>
          <w:noProof/>
        </w:rPr>
        <w:t>Изменения на Регламент (ЕС) № 1343/2011</w:t>
      </w:r>
    </w:p>
    <w:p>
      <w:pPr>
        <w:rPr>
          <w:noProof/>
        </w:rPr>
      </w:pPr>
      <w:r>
        <w:rPr>
          <w:noProof/>
        </w:rPr>
        <w:t>Регламент (ЕС) № 1343/2011 се изменя, както следва:</w:t>
      </w:r>
    </w:p>
    <w:p>
      <w:pPr>
        <w:rPr>
          <w:noProof/>
        </w:rPr>
      </w:pPr>
    </w:p>
    <w:p>
      <w:pPr>
        <w:pStyle w:val="Point0number"/>
        <w:numPr>
          <w:ilvl w:val="0"/>
          <w:numId w:val="28"/>
        </w:numPr>
        <w:rPr>
          <w:noProof/>
        </w:rPr>
      </w:pPr>
      <w:r>
        <w:rPr>
          <w:noProof/>
        </w:rPr>
        <w:t>Член 3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уводното изречение се заменя със следното:</w:t>
      </w:r>
    </w:p>
    <w:p>
      <w:pPr>
        <w:rPr>
          <w:noProof/>
        </w:rPr>
      </w:pPr>
      <w:r>
        <w:rPr>
          <w:noProof/>
        </w:rPr>
        <w:t>„В допълнение към определенията, установени в член 4 от Регламент (ЕС) № 1380/2013*, член 2 от Регламент (ЕО) № 1967/2006 и член 4 от Регламент (ЕО) № 1224/2009, за целите на настоящия регламент се прилагат следните определения:</w:t>
      </w:r>
    </w:p>
    <w:p>
      <w:pPr>
        <w:rPr>
          <w:noProof/>
        </w:rPr>
      </w:pPr>
      <w:r>
        <w:rPr>
          <w:noProof/>
        </w:rPr>
        <w:t>–––––––––</w:t>
      </w:r>
    </w:p>
    <w:p>
      <w:pPr>
        <w:rPr>
          <w:noProof/>
        </w:rPr>
      </w:pPr>
      <w:r>
        <w:rPr>
          <w:noProof/>
        </w:rPr>
        <w:t>(</w:t>
      </w:r>
      <w:r>
        <w:rPr>
          <w:noProof/>
          <w:vertAlign w:val="superscript"/>
        </w:rPr>
        <w:t>*</w:t>
      </w:r>
      <w:r>
        <w:rPr>
          <w:noProof/>
        </w:rPr>
        <w:t>) 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добавят се следните букви д) и е):</w:t>
      </w:r>
    </w:p>
    <w:p>
      <w:pPr>
        <w:pStyle w:val="Point2"/>
        <w:rPr>
          <w:noProof/>
        </w:rPr>
      </w:pPr>
      <w:r>
        <w:rPr>
          <w:noProof/>
        </w:rPr>
        <w:t>„д)</w:t>
      </w:r>
      <w:r>
        <w:rPr>
          <w:noProof/>
        </w:rPr>
        <w:tab/>
        <w:t>„буферна зона“ означава участък, установен около зона с ограничения за риболов, с цел предотвратяване на случайния достъп до нея;</w:t>
      </w:r>
    </w:p>
    <w:p>
      <w:pPr>
        <w:pStyle w:val="Point2"/>
        <w:rPr>
          <w:noProof/>
        </w:rPr>
      </w:pPr>
      <w:r>
        <w:rPr>
          <w:noProof/>
        </w:rPr>
        <w:t>е)</w:t>
      </w:r>
      <w:r>
        <w:rPr>
          <w:noProof/>
        </w:rPr>
        <w:tab/>
        <w:t>„целеви риболов на червенопер пагел“ означава риболовни дейности, при които количествата на задържания на борда или на разтоварения червенопер пагел представляват над 20 % от улова в живо тегло за съответния период на прилив и отлив.“</w:t>
      </w:r>
    </w:p>
    <w:p>
      <w:pPr>
        <w:pStyle w:val="Point0number"/>
        <w:rPr>
          <w:noProof/>
        </w:rPr>
      </w:pPr>
      <w:r>
        <w:rPr>
          <w:noProof/>
        </w:rPr>
        <w:t>Вмъква се следният член 10a:</w:t>
      </w:r>
    </w:p>
    <w:p>
      <w:pPr>
        <w:pStyle w:val="Titrearticle"/>
        <w:rPr>
          <w:b/>
          <w:noProof/>
        </w:rPr>
      </w:pPr>
      <w:r>
        <w:rPr>
          <w:noProof/>
        </w:rPr>
        <w:t xml:space="preserve">„Член 10а </w:t>
      </w:r>
      <w:r>
        <w:rPr>
          <w:noProof/>
        </w:rPr>
        <w:br/>
      </w:r>
      <w:r>
        <w:rPr>
          <w:b/>
          <w:i w:val="0"/>
          <w:noProof/>
        </w:rPr>
        <w:t>Зони с ограничения за риболов в Сицилийския пролив</w:t>
      </w:r>
    </w:p>
    <w:p>
      <w:pPr>
        <w:rPr>
          <w:i/>
          <w:noProof/>
        </w:rPr>
      </w:pPr>
      <w:r>
        <w:rPr>
          <w:i/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Забранява се риболовът с дънни трални мрежи в следните зони:</w:t>
      </w:r>
    </w:p>
    <w:p>
      <w:pPr>
        <w:pStyle w:val="Point1number"/>
        <w:rPr>
          <w:noProof/>
        </w:rPr>
      </w:pPr>
      <w:r>
        <w:rPr>
          <w:noProof/>
        </w:rPr>
        <w:t>зоната с ограничения за риболов „East of Adventure Bank“, ограничена от линиите, съединяващи следните координати:</w:t>
      </w:r>
    </w:p>
    <w:p>
      <w:pPr>
        <w:pStyle w:val="Tiret1"/>
        <w:numPr>
          <w:ilvl w:val="0"/>
          <w:numId w:val="11"/>
        </w:numPr>
        <w:rPr>
          <w:noProof/>
        </w:rPr>
      </w:pPr>
      <w:r>
        <w:rPr>
          <w:noProof/>
        </w:rPr>
        <w:t>37° 23,850′ с.ш., 12° 30,072′ и.д.,</w:t>
      </w:r>
    </w:p>
    <w:p>
      <w:pPr>
        <w:pStyle w:val="Tiret1"/>
        <w:rPr>
          <w:noProof/>
        </w:rPr>
      </w:pPr>
      <w:r>
        <w:rPr>
          <w:noProof/>
        </w:rPr>
        <w:t>37° 23,884′ с.ш., 12° 48,282′ и.д.,</w:t>
      </w:r>
    </w:p>
    <w:p>
      <w:pPr>
        <w:pStyle w:val="Tiret1"/>
        <w:rPr>
          <w:noProof/>
        </w:rPr>
      </w:pPr>
      <w:r>
        <w:rPr>
          <w:noProof/>
        </w:rPr>
        <w:t>37° 11,567′ с.ш., 12° 48,305′ и.д.,</w:t>
      </w:r>
    </w:p>
    <w:p>
      <w:pPr>
        <w:pStyle w:val="Tiret1"/>
        <w:rPr>
          <w:noProof/>
        </w:rPr>
      </w:pPr>
      <w:r>
        <w:rPr>
          <w:noProof/>
        </w:rPr>
        <w:t>37° 11,532′ с.ш., 12° 30,095′ и.д.;</w:t>
      </w:r>
    </w:p>
    <w:p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зоната с ограничения за риболов „West of Gela Basin“,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 xml:space="preserve"> 37° 12,040′ с.ш., 13° 17,925′ и.д.,</w:t>
      </w:r>
    </w:p>
    <w:p>
      <w:pPr>
        <w:pStyle w:val="Tiret1"/>
        <w:rPr>
          <w:noProof/>
        </w:rPr>
      </w:pPr>
      <w:r>
        <w:rPr>
          <w:noProof/>
        </w:rPr>
        <w:t xml:space="preserve"> 37° 12,047′ с.ш., 13° 36,170′ и.д.,</w:t>
      </w:r>
    </w:p>
    <w:p>
      <w:pPr>
        <w:pStyle w:val="Tiret1"/>
        <w:rPr>
          <w:noProof/>
        </w:rPr>
      </w:pPr>
      <w:r>
        <w:rPr>
          <w:noProof/>
        </w:rPr>
        <w:t xml:space="preserve"> 36° 59,725′ с.ш., 13° 36,175′ и.д.,</w:t>
      </w:r>
    </w:p>
    <w:p>
      <w:pPr>
        <w:pStyle w:val="Tiret1"/>
        <w:rPr>
          <w:noProof/>
        </w:rPr>
      </w:pPr>
      <w:r>
        <w:rPr>
          <w:noProof/>
        </w:rPr>
        <w:t xml:space="preserve"> 36° 59,717′ с.ш., 13° 17,930′ и.д.;</w:t>
      </w:r>
    </w:p>
    <w:p>
      <w:pPr>
        <w:pStyle w:val="Point1number"/>
        <w:numPr>
          <w:ilvl w:val="2"/>
          <w:numId w:val="12"/>
        </w:numPr>
        <w:rPr>
          <w:noProof/>
        </w:rPr>
      </w:pPr>
      <w:r>
        <w:rPr>
          <w:noProof/>
        </w:rPr>
        <w:t>зоната с ограничения за риболов „East of Malta Bank“,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 xml:space="preserve"> 36° 12,621′ с.ш., 15° 13,338′ и.д.,</w:t>
      </w:r>
    </w:p>
    <w:p>
      <w:pPr>
        <w:pStyle w:val="Tiret1"/>
        <w:rPr>
          <w:noProof/>
        </w:rPr>
      </w:pPr>
      <w:r>
        <w:rPr>
          <w:noProof/>
        </w:rPr>
        <w:t xml:space="preserve"> 36° 12,621′ с.ш., 15° 26,062′ и.д.,</w:t>
      </w:r>
    </w:p>
    <w:p>
      <w:pPr>
        <w:pStyle w:val="Tiret1"/>
        <w:rPr>
          <w:noProof/>
        </w:rPr>
      </w:pPr>
      <w:r>
        <w:rPr>
          <w:noProof/>
        </w:rPr>
        <w:t xml:space="preserve"> 36° 59,344′ с.ш., 15° 26,062′ и.д.,</w:t>
      </w:r>
    </w:p>
    <w:p>
      <w:pPr>
        <w:pStyle w:val="Tiret1"/>
        <w:rPr>
          <w:noProof/>
        </w:rPr>
      </w:pPr>
      <w:r>
        <w:rPr>
          <w:noProof/>
        </w:rPr>
        <w:t xml:space="preserve"> 36° 59,344′ с.ш., 15° 13,338′ и.д.“</w:t>
      </w:r>
    </w:p>
    <w:p>
      <w:pPr>
        <w:ind w:left="850"/>
        <w:rPr>
          <w:noProof/>
        </w:rPr>
      </w:pPr>
    </w:p>
    <w:p>
      <w:pPr>
        <w:pStyle w:val="Point0number"/>
        <w:rPr>
          <w:noProof/>
        </w:rPr>
      </w:pPr>
      <w:r>
        <w:rPr>
          <w:noProof/>
        </w:rPr>
        <w:t>Вмъкват се следните членове 10б, 10в, 10г и 10д:</w:t>
      </w:r>
    </w:p>
    <w:p>
      <w:pPr>
        <w:pStyle w:val="Titrearticle"/>
        <w:rPr>
          <w:noProof/>
        </w:rPr>
      </w:pPr>
      <w:r>
        <w:rPr>
          <w:noProof/>
        </w:rPr>
        <w:t>„Член 10б</w:t>
      </w:r>
      <w:r>
        <w:rPr>
          <w:noProof/>
        </w:rPr>
        <w:br/>
      </w:r>
      <w:r>
        <w:rPr>
          <w:b/>
          <w:i w:val="0"/>
          <w:noProof/>
        </w:rPr>
        <w:t>Буферни зони в Сицилийския пролив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 Около посочената в член 10а, точка 1 зона с ограничения за риболов „East of Adventure Bank“ се установява буферна зона,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>37° 24,849′ с.ш., 12° 28,814′ и.д.,</w:t>
      </w:r>
    </w:p>
    <w:p>
      <w:pPr>
        <w:pStyle w:val="Tiret1"/>
        <w:rPr>
          <w:noProof/>
        </w:rPr>
      </w:pPr>
      <w:r>
        <w:rPr>
          <w:noProof/>
        </w:rPr>
        <w:t>37° 24,888′ с.ш., 12° 49,536′ и.д.,</w:t>
      </w:r>
    </w:p>
    <w:p>
      <w:pPr>
        <w:pStyle w:val="Tiret1"/>
        <w:rPr>
          <w:noProof/>
        </w:rPr>
      </w:pPr>
      <w:r>
        <w:rPr>
          <w:noProof/>
        </w:rPr>
        <w:t>37° 10,567′ с.ш., 12° 49,559′ и.д.,</w:t>
      </w:r>
    </w:p>
    <w:p>
      <w:pPr>
        <w:pStyle w:val="Tiret1"/>
        <w:rPr>
          <w:noProof/>
        </w:rPr>
      </w:pPr>
      <w:r>
        <w:rPr>
          <w:noProof/>
        </w:rPr>
        <w:t>37° 10,528′ с.ш., 12° 28,845′ и.д.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Около посочената в член 10а, точка 2 зона с ограничения за риболов „West of Gela Basin“ се установява буферна зона,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>37° 13,041′ с.ш., 13° 16,672′ и.д.,</w:t>
      </w:r>
    </w:p>
    <w:p>
      <w:pPr>
        <w:pStyle w:val="Tiret1"/>
        <w:rPr>
          <w:noProof/>
        </w:rPr>
      </w:pPr>
      <w:r>
        <w:rPr>
          <w:noProof/>
        </w:rPr>
        <w:t>37° 13,049′ с.ш., 13° 37,422′ и.д.,</w:t>
      </w:r>
    </w:p>
    <w:p>
      <w:pPr>
        <w:pStyle w:val="Tiret1"/>
        <w:rPr>
          <w:noProof/>
        </w:rPr>
      </w:pPr>
      <w:r>
        <w:rPr>
          <w:noProof/>
        </w:rPr>
        <w:t>36° 58,723′ с.ш., 13° 37,424′ и.д.,</w:t>
      </w:r>
    </w:p>
    <w:p>
      <w:pPr>
        <w:pStyle w:val="Tiret1"/>
        <w:rPr>
          <w:noProof/>
        </w:rPr>
      </w:pPr>
      <w:r>
        <w:rPr>
          <w:noProof/>
        </w:rPr>
        <w:t>36° 58,715′ с.ш., 13° 16,682′ и.д.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Около посочената в член 10а, точка 3 зона с ограничения за риболов „East of Malta Bank“ се установява буферна зона,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>36° 13,624′ с.ш., 15° 12,102′ и.д.,</w:t>
      </w:r>
    </w:p>
    <w:p>
      <w:pPr>
        <w:pStyle w:val="Tiret1"/>
        <w:rPr>
          <w:noProof/>
        </w:rPr>
      </w:pPr>
      <w:r>
        <w:rPr>
          <w:noProof/>
        </w:rPr>
        <w:t>36° 13,624′ с.ш., 15° 27,298′ и.д.,</w:t>
      </w:r>
    </w:p>
    <w:p>
      <w:pPr>
        <w:pStyle w:val="Tiret1"/>
        <w:rPr>
          <w:noProof/>
        </w:rPr>
      </w:pPr>
      <w:r>
        <w:rPr>
          <w:noProof/>
        </w:rPr>
        <w:t>36° 58,342′ с.ш., 15° 27,294′ и.д.,</w:t>
      </w:r>
    </w:p>
    <w:p>
      <w:pPr>
        <w:pStyle w:val="Tiret1"/>
        <w:rPr>
          <w:noProof/>
        </w:rPr>
      </w:pPr>
      <w:r>
        <w:rPr>
          <w:noProof/>
        </w:rPr>
        <w:t>36° 58,342′ с.ш., 15° 12,106′ и.д.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Корабите, които извършват риболовни дейности с дънни трални мрежи в буферните зони, посочени в настоящия член, са длъжни да гарантират, че сигналите на тяхната система за наблюдение на корабите (VMS) са с подходяща периодичност на излъчване. Корабите, които не са оборудвани с транспондери за VMS и чиято цел е да извършват риболов с дънни трални мрежи в буферните зони, трябва да са оборудвани с друга система за геолокализация, позволяваща на контролните органи да следят техните дейности.</w:t>
      </w:r>
    </w:p>
    <w:p>
      <w:pPr>
        <w:ind w:left="426" w:hanging="426"/>
        <w:rPr>
          <w:noProof/>
        </w:rPr>
      </w:pPr>
      <w:r>
        <w:rPr>
          <w:noProof/>
        </w:rPr>
        <w:tab/>
      </w:r>
    </w:p>
    <w:p>
      <w:pPr>
        <w:pStyle w:val="Titrearticle"/>
        <w:rPr>
          <w:noProof/>
        </w:rPr>
      </w:pPr>
      <w:r>
        <w:rPr>
          <w:noProof/>
        </w:rPr>
        <w:t>Член 10в</w:t>
      </w:r>
      <w:r>
        <w:rPr>
          <w:noProof/>
        </w:rPr>
        <w:br/>
      </w:r>
      <w:r>
        <w:rPr>
          <w:b/>
          <w:i w:val="0"/>
          <w:noProof/>
        </w:rPr>
        <w:t>Ограничения за риболов в зоната на падината Jabuka/Pomo в Адриатическо море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Забраняват се любителският риболов и риболовът с дънни мрежи, дънни трални мрежи, парагади и рибни капани в зоната,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 xml:space="preserve"> 43° 32,044' с.ш., 15° 16,501' и.д.,</w:t>
      </w:r>
    </w:p>
    <w:p>
      <w:pPr>
        <w:pStyle w:val="Tiret1"/>
        <w:rPr>
          <w:noProof/>
        </w:rPr>
      </w:pPr>
      <w:r>
        <w:rPr>
          <w:noProof/>
        </w:rPr>
        <w:t xml:space="preserve"> 43° 05,452' с.ш., 14° 58,658' и.д.,</w:t>
      </w:r>
    </w:p>
    <w:p>
      <w:pPr>
        <w:pStyle w:val="Tiret1"/>
        <w:rPr>
          <w:noProof/>
        </w:rPr>
      </w:pPr>
      <w:r>
        <w:rPr>
          <w:noProof/>
        </w:rPr>
        <w:t xml:space="preserve"> 43° 03,477' с.ш., 14° 54,982' и.д.,</w:t>
      </w:r>
    </w:p>
    <w:p>
      <w:pPr>
        <w:pStyle w:val="Tiret1"/>
        <w:rPr>
          <w:noProof/>
        </w:rPr>
      </w:pPr>
      <w:r>
        <w:rPr>
          <w:noProof/>
        </w:rPr>
        <w:t xml:space="preserve"> 42° 50,450' с.ш., 15° 07,431' и.д.,</w:t>
      </w:r>
    </w:p>
    <w:p>
      <w:pPr>
        <w:pStyle w:val="Tiret1"/>
        <w:rPr>
          <w:noProof/>
        </w:rPr>
      </w:pPr>
      <w:r>
        <w:rPr>
          <w:noProof/>
        </w:rPr>
        <w:t xml:space="preserve"> 42° 55,618' с.ш., 15° 18,194' и.д.,</w:t>
      </w:r>
    </w:p>
    <w:p>
      <w:pPr>
        <w:pStyle w:val="Tiret1"/>
        <w:rPr>
          <w:noProof/>
        </w:rPr>
      </w:pPr>
      <w:r>
        <w:rPr>
          <w:noProof/>
        </w:rPr>
        <w:t xml:space="preserve"> 43° 17,436' с.ш., 15° 29,496' и.д.,</w:t>
      </w:r>
    </w:p>
    <w:p>
      <w:pPr>
        <w:pStyle w:val="Tiret1"/>
        <w:rPr>
          <w:noProof/>
        </w:rPr>
      </w:pPr>
      <w:r>
        <w:rPr>
          <w:noProof/>
        </w:rPr>
        <w:t xml:space="preserve"> 43° 24,758' с.ш., 15° 33,215' и.д.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От 1 септември до 31 октомври всяка година се забранява риболовът с дънни мрежи, дънни трални мрежи, парагади и рибни капани в зоната,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 xml:space="preserve"> 43° 03,477' с.ш., 14° 54,982' и.д.,</w:t>
      </w:r>
    </w:p>
    <w:p>
      <w:pPr>
        <w:pStyle w:val="Tiret1"/>
        <w:rPr>
          <w:noProof/>
        </w:rPr>
      </w:pPr>
      <w:r>
        <w:rPr>
          <w:noProof/>
        </w:rPr>
        <w:t xml:space="preserve"> 42° 49,811' с.ш., 14° 29,550' и.д.,</w:t>
      </w:r>
    </w:p>
    <w:p>
      <w:pPr>
        <w:pStyle w:val="Tiret1"/>
        <w:rPr>
          <w:noProof/>
        </w:rPr>
      </w:pPr>
      <w:r>
        <w:rPr>
          <w:noProof/>
        </w:rPr>
        <w:t xml:space="preserve"> 42° 35,205' с.ш., 14° 59,611' и.д.,</w:t>
      </w:r>
    </w:p>
    <w:p>
      <w:pPr>
        <w:pStyle w:val="Tiret1"/>
        <w:rPr>
          <w:noProof/>
        </w:rPr>
      </w:pPr>
      <w:r>
        <w:rPr>
          <w:noProof/>
        </w:rPr>
        <w:t xml:space="preserve"> 42° 49,668' с.ш., 15° 05,802' и.д.,</w:t>
      </w:r>
    </w:p>
    <w:p>
      <w:pPr>
        <w:pStyle w:val="Tiret1"/>
        <w:rPr>
          <w:noProof/>
        </w:rPr>
      </w:pPr>
      <w:r>
        <w:rPr>
          <w:noProof/>
        </w:rPr>
        <w:t xml:space="preserve"> 42° 50,450' с.ш., 15° 07,431' и.д.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От 1 септември до 31 октомври всяка година се забраняват любителският риболов и риболовът с дънни мрежи, дънни трални мрежи, парагади и рибни капани в зоната, ограничена от линиите, съединяващи следните координати:</w:t>
      </w:r>
    </w:p>
    <w:p>
      <w:pPr>
        <w:pStyle w:val="Tiret1"/>
        <w:rPr>
          <w:noProof/>
        </w:rPr>
      </w:pPr>
      <w:r>
        <w:rPr>
          <w:noProof/>
        </w:rPr>
        <w:t xml:space="preserve"> 43° 17,436' с.ш., 15° 29,496' и.д.,</w:t>
      </w:r>
    </w:p>
    <w:p>
      <w:pPr>
        <w:pStyle w:val="Tiret1"/>
        <w:rPr>
          <w:noProof/>
        </w:rPr>
      </w:pPr>
      <w:r>
        <w:rPr>
          <w:noProof/>
        </w:rPr>
        <w:t xml:space="preserve"> 43° 24,758' с.ш., 15° 33,215' и.д.,</w:t>
      </w:r>
    </w:p>
    <w:p>
      <w:pPr>
        <w:pStyle w:val="Tiret1"/>
        <w:rPr>
          <w:noProof/>
        </w:rPr>
      </w:pPr>
      <w:r>
        <w:rPr>
          <w:noProof/>
        </w:rPr>
        <w:t xml:space="preserve"> 43° 20,345' с.ш., 15° 47,012' и.д.,</w:t>
      </w:r>
    </w:p>
    <w:p>
      <w:pPr>
        <w:pStyle w:val="Tiret1"/>
        <w:rPr>
          <w:noProof/>
        </w:rPr>
      </w:pPr>
      <w:r>
        <w:rPr>
          <w:noProof/>
        </w:rPr>
        <w:t xml:space="preserve"> 43° 18,150' с.ш., 15° 51,362' и.д.,</w:t>
      </w:r>
    </w:p>
    <w:p>
      <w:pPr>
        <w:pStyle w:val="Tiret1"/>
        <w:rPr>
          <w:noProof/>
        </w:rPr>
      </w:pPr>
      <w:r>
        <w:rPr>
          <w:noProof/>
        </w:rPr>
        <w:t xml:space="preserve"> 43° 13,984' с.ш., 15° 55,232' и.д.,</w:t>
      </w:r>
    </w:p>
    <w:p>
      <w:pPr>
        <w:pStyle w:val="Tiret1"/>
        <w:rPr>
          <w:noProof/>
        </w:rPr>
      </w:pPr>
      <w:r>
        <w:rPr>
          <w:noProof/>
        </w:rPr>
        <w:t xml:space="preserve"> 43° 12,873' с.ш., 15° 52,761' и.д.,</w:t>
      </w:r>
    </w:p>
    <w:p>
      <w:pPr>
        <w:pStyle w:val="Tiret1"/>
        <w:rPr>
          <w:noProof/>
        </w:rPr>
      </w:pPr>
      <w:r>
        <w:rPr>
          <w:noProof/>
        </w:rPr>
        <w:t xml:space="preserve"> 43° 13,494' с.ш., 15° 40,040' и.д.</w:t>
      </w:r>
    </w:p>
    <w:p>
      <w:pPr>
        <w:pStyle w:val="Titrearticle"/>
        <w:rPr>
          <w:b/>
          <w:i w:val="0"/>
          <w:noProof/>
        </w:rPr>
      </w:pPr>
      <w:r>
        <w:rPr>
          <w:noProof/>
        </w:rPr>
        <w:t>Член 10г</w:t>
      </w:r>
      <w:r>
        <w:rPr>
          <w:noProof/>
        </w:rPr>
        <w:br/>
      </w:r>
      <w:r>
        <w:rPr>
          <w:b/>
          <w:i w:val="0"/>
          <w:noProof/>
        </w:rPr>
        <w:t>Кораби с разрешение за риболов в зоната на падината Jabuka/Pomo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Без да се засягат разпоредбите на член 10в, параграфи 2 и 3, търговските риболовни дейности, извършвани с дънни мрежи, дънни трални мрежи, парагади и рибни капани, се разрешават в зоните, посочени в тези параграфи, само ако корабите притежават специално разрешение и ако могат да докажат, че са извършвали риболов в съответните зони и в предишни периоди.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Корабите с разрешение за риболов с дънни трални мрежи имат право да извършват риболов единствено в събота и неделя между 5:00 ч. и 22:00 ч. Корабите с разрешение за риболов с дънни мрежи, парагади и рибни капани могат да извършват риболов само от понеделник в 5:00 ч. до четвъртък в 22:00 ч.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На корабите, на които е разрешено да извършват риболов в зоните, посочени в член 10в, параграфи 2 и 3, с уредите, посочени в параграф 1 от настоящия член, се издава разрешение за риболов от тяхната държава членка в съответствие с член 7 от Регламент (ЕО) № 1224/2009.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В срок до 30 април 2018 г. държавите членки представят на изпълнителния секретариат на GFCM списъка на корабите с разрешение за риболов, определени за 2018 г.; в срок до 30 април всяка следваща година те представят списъка на корабите с разрешение за риболов, определени за следващата година. Списъкът трябва да съдържа следната информация за всеки кораб: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име на кораба;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регистрационен номер на кораба;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специален идентификационен код по GFCM (3-буквен код на държавата по ISO + 9 цифри — например xxx000000001);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предишно име (ако има такова);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предишно знаме (ако има такова);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предишни данни за заличаването от други регистри (ако има такива);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международна радиопозивна (ако има такава);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вид на кораба, обща дължина (LOA) и бруто тонаж (GT) и/или бруто регистриран тонаж (GRT);</w:t>
      </w:r>
    </w:p>
    <w:p>
      <w:pPr>
        <w:pStyle w:val="Point1"/>
        <w:rPr>
          <w:noProof/>
        </w:rPr>
      </w:pPr>
      <w:r>
        <w:rPr>
          <w:noProof/>
        </w:rPr>
        <w:t>и)</w:t>
      </w:r>
      <w:r>
        <w:rPr>
          <w:noProof/>
        </w:rPr>
        <w:tab/>
        <w:t>име и адрес на собственика (или собствениците) и оператора (или операторите);</w:t>
      </w:r>
    </w:p>
    <w:p>
      <w:pPr>
        <w:pStyle w:val="Point1"/>
        <w:rPr>
          <w:noProof/>
        </w:rPr>
      </w:pPr>
      <w:r>
        <w:rPr>
          <w:noProof/>
        </w:rPr>
        <w:t>й)</w:t>
      </w:r>
      <w:r>
        <w:rPr>
          <w:noProof/>
        </w:rPr>
        <w:tab/>
        <w:t>основен уред (или уреди), използван за риболов в зоната с ограничения за риболов;</w:t>
      </w:r>
    </w:p>
    <w:p>
      <w:pPr>
        <w:pStyle w:val="Point1"/>
        <w:rPr>
          <w:noProof/>
        </w:rPr>
      </w:pPr>
      <w:r>
        <w:rPr>
          <w:noProof/>
        </w:rPr>
        <w:t>к)</w:t>
      </w:r>
      <w:r>
        <w:rPr>
          <w:noProof/>
        </w:rPr>
        <w:tab/>
        <w:t>период, в който е разрешен риболовът в зоната с ограничения за риболов;</w:t>
      </w:r>
    </w:p>
    <w:p>
      <w:pPr>
        <w:pStyle w:val="Point1"/>
        <w:rPr>
          <w:noProof/>
        </w:rPr>
      </w:pPr>
      <w:r>
        <w:rPr>
          <w:noProof/>
        </w:rPr>
        <w:t>л)</w:t>
      </w:r>
      <w:r>
        <w:rPr>
          <w:noProof/>
        </w:rPr>
        <w:tab/>
        <w:t>брой риболовни дни, които могат да се използват от всеки кораб;</w:t>
      </w:r>
    </w:p>
    <w:p>
      <w:pPr>
        <w:pStyle w:val="Point1"/>
        <w:rPr>
          <w:noProof/>
        </w:rPr>
      </w:pPr>
      <w:r>
        <w:rPr>
          <w:noProof/>
        </w:rPr>
        <w:t>м)</w:t>
      </w:r>
      <w:r>
        <w:rPr>
          <w:noProof/>
        </w:rPr>
        <w:tab/>
        <w:t>определено пристанище.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Корабите с разрешение за риболов могат да разтоварват улова на запаси от дънни видове само в определени пристанища. За тази цел всяка съответна държава членка определя пристанища за разрешено разтоварване на улов от зоната на падината Jabuka/Pomo, в която се прилагат ограничения на риболова. Списъкът на тези пристанища се представя на секретариата на GFCM не по-късно от 30 април всяка година. 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Корабите с разрешение за риболов в зоните, посочени в член 10в, параграфи 2 и 3, извършван с уредите, посочени в параграф 1 от настоящия член, трябва да са оборудвани с правилно функционираща система за наблюдение на кораби (VMS) и/или система за автоматична идентификация (AIS), a риболовните уреди, които са на борда или се използват, трябва да бъдат надлежно идентифицирани, номерирани и обозначени преди започване на всякаква риболовна дейност или плаване в тези зони.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>Корабите без разрешение, оборудвани с дънни мрежи, дънни трални мрежи, парагади и рибни капани, могат да преминават транзитно през зоната с ограничения за риболов само ако следват директен курс при постоянна скорост, не по-малка от 7 възела, и с активирана VMS и/или AIS на борда.</w:t>
      </w:r>
    </w:p>
    <w:p>
      <w:pPr>
        <w:pStyle w:val="Titrearticle"/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 xml:space="preserve">Член 10д                                                                                                                                  </w:t>
      </w:r>
      <w:r>
        <w:rPr>
          <w:b/>
          <w:i w:val="0"/>
          <w:noProof/>
        </w:rPr>
        <w:t>Ограничения за определени зони и определени периоди във водите около остров Алборан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Въз основа на наличните научни становища държавите членки могат да въведат ограничения за определени зони и определени периоди във водите около остров Алборан (географски подзони 1, 2 и 3 на GFCM, както са определени в приложение I), в които риболовните дейности са забранени или ограничени с цел защита на зоните на струпване на млади и/или хвърлящи хайвер екземпляри червенопер пагел.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В срок до 31 януари 2019 г. държавите членки съобщават на GFCM съответните зони и прилаганите ограничения.“ </w:t>
      </w:r>
    </w:p>
    <w:p>
      <w:pPr>
        <w:ind w:left="850"/>
        <w:rPr>
          <w:i/>
          <w:noProof/>
        </w:rPr>
      </w:pPr>
    </w:p>
    <w:p>
      <w:pPr>
        <w:ind w:left="850"/>
        <w:rPr>
          <w:noProof/>
        </w:rPr>
      </w:pPr>
    </w:p>
    <w:p>
      <w:pPr>
        <w:pStyle w:val="Point0number"/>
        <w:numPr>
          <w:ilvl w:val="0"/>
          <w:numId w:val="12"/>
        </w:numPr>
        <w:rPr>
          <w:noProof/>
        </w:rPr>
      </w:pPr>
      <w:r>
        <w:rPr>
          <w:noProof/>
        </w:rPr>
        <w:t>В дял II се вмъква следната глава IIа:</w:t>
      </w:r>
    </w:p>
    <w:p>
      <w:pPr>
        <w:rPr>
          <w:noProof/>
        </w:rPr>
      </w:pPr>
    </w:p>
    <w:p>
      <w:pPr>
        <w:pStyle w:val="ChapterTitle0"/>
        <w:rPr>
          <w:noProof/>
        </w:rPr>
      </w:pPr>
      <w:r>
        <w:rPr>
          <w:noProof/>
        </w:rPr>
        <w:t>„ГЛАВА IIа</w:t>
      </w:r>
    </w:p>
    <w:p>
      <w:pPr>
        <w:pStyle w:val="ChapterTitle0"/>
        <w:rPr>
          <w:noProof/>
        </w:rPr>
      </w:pPr>
      <w:r>
        <w:rPr>
          <w:noProof/>
        </w:rPr>
        <w:t>СЕЗОНИ, ЗАБРАНЕНИ ЗА РИБОЛОВ В ЧЕРНО МОРЕ</w:t>
      </w:r>
    </w:p>
    <w:p>
      <w:pPr>
        <w:pStyle w:val="Titrearticle"/>
        <w:rPr>
          <w:noProof/>
        </w:rPr>
      </w:pPr>
      <w:r>
        <w:rPr>
          <w:noProof/>
        </w:rPr>
        <w:t xml:space="preserve">Член 14а                                                                                                                                </w:t>
      </w:r>
      <w:r>
        <w:rPr>
          <w:b/>
          <w:i w:val="0"/>
          <w:noProof/>
        </w:rPr>
        <w:t>Забрана за риболов по време на размножителния период на калкана в Черно море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В периода от април до юни всяка година съответните държави членки въвеждат забрана за риболов в Черно море, продължаваща най-малко два месеца.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Държавите членки могат да въвеждат допълнителни ограничения за определени зони и определени периоди, в които риболовните дейности са забранени или ограничени с цел опазване на зоните на струпване на млади екземпляри калкан.“</w:t>
      </w:r>
    </w:p>
    <w:p>
      <w:pPr>
        <w:ind w:left="850"/>
        <w:rPr>
          <w:noProof/>
        </w:rPr>
      </w:pPr>
    </w:p>
    <w:p>
      <w:pPr>
        <w:pStyle w:val="Point0number"/>
        <w:numPr>
          <w:ilvl w:val="0"/>
          <w:numId w:val="12"/>
        </w:numPr>
        <w:rPr>
          <w:noProof/>
        </w:rPr>
      </w:pPr>
      <w:r>
        <w:rPr>
          <w:noProof/>
        </w:rPr>
        <w:t>Вмъкват се следните членове 16ва и 16вб:</w:t>
      </w:r>
    </w:p>
    <w:p>
      <w:pPr>
        <w:pStyle w:val="Titrearticle"/>
        <w:rPr>
          <w:noProof/>
        </w:rPr>
      </w:pPr>
      <w:r>
        <w:rPr>
          <w:noProof/>
        </w:rPr>
        <w:t xml:space="preserve">„Член 16ва                                                                                                                   </w:t>
      </w:r>
      <w:r>
        <w:rPr>
          <w:b/>
          <w:i w:val="0"/>
          <w:noProof/>
        </w:rPr>
        <w:t>Предпазни забрани по отношение на червените корали</w:t>
      </w:r>
      <w:r>
        <w:rPr>
          <w:i w:val="0"/>
          <w:noProof/>
        </w:rPr>
        <w:t xml:space="preserve">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Когато се достигне прагово равнище на събиране на червени корали, както е определено в параграфи 2 и 3, държавите членки въвеждат временна забрана за събирането на червени корали в съответната зона.</w:t>
      </w:r>
    </w:p>
    <w:p>
      <w:pPr>
        <w:pStyle w:val="ManualNumPar1"/>
        <w:rPr>
          <w:i/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Праговото равнище на събиране се смята за достигнато, когато колониите от червени корали, чийто диаметър на основата е по-малък от 7 mm, надвишават 25 % от общото количество, събрано от определен масив от червени корали през определена година.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Когато кораловите масиви все още не са определени с точност, праговото равнище на събиране и забраната, предвидена в параграф 1, се прилагат на равнището на статистически квадрант на GFCM.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В решенията за въвеждане на забраната, посочена в параграф 1, държавите членки определят съответната географска зона, продължителността на забраната и условията за събиране в зоната през периода на забраната.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Държавите членки, които въвеждат забрани, уведомяват незабавно секретариата на GFCM и Комисията. </w:t>
      </w:r>
    </w:p>
    <w:p>
      <w:pPr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>Член 16вб</w:t>
      </w:r>
      <w:r>
        <w:rPr>
          <w:noProof/>
        </w:rPr>
        <w:br/>
      </w:r>
      <w:r>
        <w:rPr>
          <w:b/>
          <w:i w:val="0"/>
          <w:noProof/>
        </w:rPr>
        <w:t>Забрани в определени зони и определени периоди</w:t>
      </w:r>
    </w:p>
    <w:p>
      <w:pPr>
        <w:rPr>
          <w:rFonts w:eastAsia="Calibri"/>
          <w:noProof/>
          <w:szCs w:val="24"/>
        </w:rPr>
      </w:pPr>
      <w:r>
        <w:rPr>
          <w:noProof/>
        </w:rPr>
        <w:t>В срок до 1 януари 2019 г. държавите членки, в чиито води се извършва активно събиране на червени корали, въвеждат допълнителни забрани, основаващи се на наличните научни становища, с цел да се осигури защита на червените корали.“</w:t>
      </w:r>
    </w:p>
    <w:p>
      <w:pPr>
        <w:rPr>
          <w:rFonts w:eastAsia="Calibri"/>
          <w:noProof/>
          <w:szCs w:val="24"/>
        </w:rPr>
      </w:pPr>
    </w:p>
    <w:p>
      <w:pPr>
        <w:rPr>
          <w:rFonts w:eastAsia="Calibri"/>
          <w:noProof/>
          <w:szCs w:val="24"/>
        </w:rPr>
      </w:pPr>
    </w:p>
    <w:p>
      <w:pPr>
        <w:pStyle w:val="Point0number"/>
        <w:numPr>
          <w:ilvl w:val="0"/>
          <w:numId w:val="12"/>
        </w:numPr>
        <w:rPr>
          <w:rFonts w:eastAsia="Calibri"/>
          <w:noProof/>
          <w:szCs w:val="24"/>
        </w:rPr>
      </w:pPr>
      <w:r>
        <w:rPr>
          <w:noProof/>
        </w:rPr>
        <w:t>Вмъква се следният дял IIa:</w:t>
      </w:r>
    </w:p>
    <w:p>
      <w:pPr>
        <w:pStyle w:val="ChapterTitle"/>
        <w:rPr>
          <w:noProof/>
        </w:rPr>
      </w:pPr>
      <w:r>
        <w:rPr>
          <w:noProof/>
        </w:rPr>
        <w:t>„ДЯЛ IIa</w:t>
      </w:r>
      <w:r>
        <w:rPr>
          <w:noProof/>
        </w:rPr>
        <w:br/>
        <w:t>РИБОЛОВЕН КАПАЦИТЕТ И ВЪЗМОЖНОСТИ ЗА РИБОЛОВ</w:t>
      </w:r>
    </w:p>
    <w:p>
      <w:pPr>
        <w:pStyle w:val="Titrearticle"/>
        <w:spacing w:before="0" w:after="0"/>
        <w:rPr>
          <w:noProof/>
        </w:rPr>
      </w:pPr>
      <w:r>
        <w:rPr>
          <w:noProof/>
        </w:rPr>
        <w:t xml:space="preserve">Член 16м </w:t>
      </w:r>
    </w:p>
    <w:p>
      <w:pPr>
        <w:pStyle w:val="Titrearticle"/>
        <w:spacing w:before="0" w:after="0"/>
        <w:rPr>
          <w:noProof/>
        </w:rPr>
      </w:pPr>
      <w:r>
        <w:rPr>
          <w:b/>
          <w:i w:val="0"/>
          <w:noProof/>
        </w:rPr>
        <w:t xml:space="preserve">Ограничения за събирането на червени корали </w:t>
      </w:r>
    </w:p>
    <w:p>
      <w:pPr>
        <w:rPr>
          <w:noProof/>
        </w:rPr>
      </w:pPr>
      <w:r>
        <w:rPr>
          <w:noProof/>
        </w:rPr>
        <w:t xml:space="preserve">Всяка държава членка може да установи система от индивидуални дневни и/или годишни ограничения за събирането на червени корали в Средиземно море. </w:t>
      </w:r>
    </w:p>
    <w:p>
      <w:pPr>
        <w:pStyle w:val="Titrearticle"/>
        <w:rPr>
          <w:noProof/>
        </w:rPr>
      </w:pPr>
      <w:r>
        <w:rPr>
          <w:noProof/>
        </w:rPr>
        <w:t xml:space="preserve">Член 16н                                                                                                                                    </w:t>
      </w:r>
      <w:r>
        <w:rPr>
          <w:b/>
          <w:i w:val="0"/>
          <w:noProof/>
        </w:rPr>
        <w:t>Капацитет на риболовния флот или риболовно усилие по отношение на червеноперия пагел във водите около остров Алборан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Най-късно до 2020 г. държавите членки трябва да поддържат капацитета на риболовния флот или риболовното усилие при експлоатацията на червенопер пагел във водите около остров Алборан (географски подзони 1, 2 и 3 на GFCM, както са определени в приложение I) на равнищата, разрешени и прилагани през двете предходни години.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Ограниченията на капацитета на риболовния флот или на риболовното усилие, посочени в параграф 1, се прилагат по отношение на всички кораби, извършващи търговски и любителски риболов на червенопер пагел.“</w:t>
      </w:r>
    </w:p>
    <w:p>
      <w:pPr>
        <w:pStyle w:val="Text1"/>
        <w:rPr>
          <w:noProof/>
        </w:rPr>
      </w:pPr>
    </w:p>
    <w:p>
      <w:pPr>
        <w:pStyle w:val="Point0number"/>
        <w:numPr>
          <w:ilvl w:val="0"/>
          <w:numId w:val="12"/>
        </w:numPr>
        <w:rPr>
          <w:noProof/>
        </w:rPr>
      </w:pPr>
      <w:r>
        <w:rPr>
          <w:noProof/>
        </w:rPr>
        <w:t>Член 17a се заличава.</w:t>
      </w:r>
    </w:p>
    <w:p>
      <w:pPr>
        <w:pStyle w:val="Point0number"/>
        <w:numPr>
          <w:ilvl w:val="0"/>
          <w:numId w:val="12"/>
        </w:numPr>
        <w:rPr>
          <w:noProof/>
        </w:rPr>
      </w:pPr>
      <w:r>
        <w:rPr>
          <w:noProof/>
        </w:rPr>
        <w:t>В дял III се добавят следните глави III и IV:</w:t>
      </w:r>
    </w:p>
    <w:p>
      <w:pPr>
        <w:pStyle w:val="ChapterTitle"/>
        <w:rPr>
          <w:noProof/>
        </w:rPr>
      </w:pPr>
      <w:r>
        <w:rPr>
          <w:noProof/>
        </w:rPr>
        <w:t>„ГЛАВА III</w:t>
      </w:r>
    </w:p>
    <w:p>
      <w:pPr>
        <w:pStyle w:val="ChapterTitle"/>
        <w:rPr>
          <w:noProof/>
        </w:rPr>
      </w:pPr>
      <w:r>
        <w:rPr>
          <w:noProof/>
        </w:rPr>
        <w:t xml:space="preserve">Контрол върху събирането на корали </w:t>
      </w:r>
    </w:p>
    <w:p>
      <w:pPr>
        <w:pStyle w:val="Titrearticle"/>
        <w:rPr>
          <w:noProof/>
        </w:rPr>
      </w:pPr>
      <w:r>
        <w:rPr>
          <w:noProof/>
        </w:rPr>
        <w:t xml:space="preserve">Член 22а </w:t>
      </w:r>
      <w:r>
        <w:rPr>
          <w:noProof/>
        </w:rPr>
        <w:br/>
      </w:r>
      <w:r>
        <w:rPr>
          <w:b/>
          <w:i w:val="0"/>
          <w:noProof/>
        </w:rPr>
        <w:t>Разрешения за събиране на червени корали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Корабите и рибарите, които имат право да събират червени корали в Средиземно море, трябва да притежават валидно разрешение, в което се определят техническите условия за извършване на събирането.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При липса на разрешението, посочено в параграф 1, се забраняват събирането, задържането на борда, трансбордирането, разтоварването, прехвърлянето, съхраняването, продажбата, както и излагането или предлагането за продажба на червени корали.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Държавите членки поддържат актуализиран регистър на разрешенията, посочени в параграф 1, и не по-късно от 30 април всяка година представят на секретариата на GFCM и на Комисията списък на корабите, на които са издадени такива разрешения. Списъкът трябва да съдържа следната информация за всеки кораб: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име на кораба;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регистрационен номер на кораба (код, определен от договарящата страна);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регистрационен номер по GFCM (3-буквен код на държавата по ISO + 9 цифри — например xxx000000001);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пристанище на регистрация (пълно наименование на пристанището);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предишно име (ако има такова);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предишно знаме (ако има такова);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 xml:space="preserve">предишни данни за заличаването от други регистри (ако има такива); 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международна радиопозивна (ако има такава);</w:t>
      </w:r>
    </w:p>
    <w:p>
      <w:pPr>
        <w:pStyle w:val="Point1"/>
        <w:rPr>
          <w:noProof/>
        </w:rPr>
      </w:pPr>
      <w:r>
        <w:rPr>
          <w:noProof/>
        </w:rPr>
        <w:t>и)</w:t>
      </w:r>
      <w:r>
        <w:rPr>
          <w:noProof/>
        </w:rPr>
        <w:tab/>
        <w:t>VMS или друго оборудване за геолокализация на кораба (да се посочи — ДА/НЕ);</w:t>
      </w:r>
    </w:p>
    <w:p>
      <w:pPr>
        <w:pStyle w:val="Point1"/>
        <w:rPr>
          <w:noProof/>
        </w:rPr>
      </w:pPr>
      <w:r>
        <w:rPr>
          <w:noProof/>
        </w:rPr>
        <w:t>й)</w:t>
      </w:r>
      <w:r>
        <w:rPr>
          <w:noProof/>
        </w:rPr>
        <w:tab/>
        <w:t>вид на кораба, обща дължина (LOA) и бруто тонаж (GT) и/или бруто регистриран тонаж (GRT) и мощност на двигателя, изразена в kW;</w:t>
      </w:r>
    </w:p>
    <w:p>
      <w:pPr>
        <w:pStyle w:val="Point1"/>
        <w:rPr>
          <w:noProof/>
        </w:rPr>
      </w:pPr>
      <w:r>
        <w:rPr>
          <w:noProof/>
        </w:rPr>
        <w:t>к)</w:t>
      </w:r>
      <w:r>
        <w:rPr>
          <w:noProof/>
        </w:rPr>
        <w:tab/>
        <w:t>оборудване за безопасност и сигурност при приемане на наблюдател (или наблюдатели) на борда (да се посочи — ДА/НЕ);</w:t>
      </w:r>
    </w:p>
    <w:p>
      <w:pPr>
        <w:pStyle w:val="Point1"/>
        <w:rPr>
          <w:noProof/>
        </w:rPr>
      </w:pPr>
      <w:r>
        <w:rPr>
          <w:noProof/>
        </w:rPr>
        <w:t>л)</w:t>
      </w:r>
      <w:r>
        <w:rPr>
          <w:noProof/>
        </w:rPr>
        <w:tab/>
        <w:t>период, в който е разрешено събирането на червени корали;</w:t>
      </w:r>
    </w:p>
    <w:p>
      <w:pPr>
        <w:pStyle w:val="Point1"/>
        <w:rPr>
          <w:noProof/>
        </w:rPr>
      </w:pPr>
      <w:r>
        <w:rPr>
          <w:noProof/>
        </w:rPr>
        <w:t>м)</w:t>
      </w:r>
      <w:r>
        <w:rPr>
          <w:noProof/>
        </w:rPr>
        <w:tab/>
        <w:t>зона (или зони), в която е разрешено събирането на червени корали — географски подзони на GFCM и клетки на статистическата решетка на GFCM;</w:t>
      </w:r>
    </w:p>
    <w:p>
      <w:pPr>
        <w:pStyle w:val="Point1"/>
        <w:rPr>
          <w:noProof/>
        </w:rPr>
      </w:pPr>
      <w:r>
        <w:rPr>
          <w:noProof/>
        </w:rPr>
        <w:t>н)</w:t>
      </w:r>
      <w:r>
        <w:rPr>
          <w:noProof/>
        </w:rPr>
        <w:tab/>
        <w:t>участие в изследователски програми, провеждани от национални/международни научни институции (да се посочи — ДА/НЕ; да се предостави кратко описание).</w:t>
      </w:r>
    </w:p>
    <w:p>
      <w:pPr>
        <w:ind w:left="850"/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Държавите членки не могат да увеличават броя на разрешенията за събиране на червени корали, преди научните становища да са потвърдили благоприятния статус на популациите на този вид.</w:t>
      </w:r>
    </w:p>
    <w:p>
      <w:pPr>
        <w:pStyle w:val="Text1"/>
        <w:rPr>
          <w:noProof/>
        </w:rPr>
      </w:pPr>
    </w:p>
    <w:p>
      <w:pPr>
        <w:pStyle w:val="Titrearticle"/>
        <w:rPr>
          <w:noProof/>
        </w:rPr>
      </w:pPr>
      <w:r>
        <w:rPr>
          <w:noProof/>
        </w:rPr>
        <w:t xml:space="preserve">Член 22б                                                                                                                        </w:t>
      </w:r>
      <w:r>
        <w:rPr>
          <w:b/>
          <w:i w:val="0"/>
          <w:noProof/>
          <w:color w:val="000000"/>
        </w:rPr>
        <w:t xml:space="preserve"> Записване на събраните количества червени корали 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Рибарите или капитаните на кораби с разрешение за събиране на червени корали записват събраните количества в живо тегло и, ако е възможно, броя на колониите след извършване на събирането; в случай на ежедневни рейсове записването се извършва най-късно при разтоварването в пристанището.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Корабите с разрешение за събиране на червени корали съхраняват на борда дневник, в който се записват ежедневно събираните количества (независимо от тяхното живо тегло), както и дейностите по събиране, описани по зона и дълбочина, включително броя на дните, през които е извършвано това събиране, и броя на гмурканията. Тази информация се съобщава на компетентните национални органи в рамките на крайния срок, установен в член 14, параграф 6 от Регламент (ЕО) № 1224/2009.</w:t>
      </w:r>
    </w:p>
    <w:p>
      <w:pPr>
        <w:pStyle w:val="Titrearticle"/>
        <w:rPr>
          <w:noProof/>
        </w:rPr>
      </w:pPr>
      <w:r>
        <w:rPr>
          <w:noProof/>
        </w:rPr>
        <w:t xml:space="preserve">Член 22в                                                                                                                            </w:t>
      </w:r>
      <w:r>
        <w:rPr>
          <w:b/>
          <w:i w:val="0"/>
          <w:noProof/>
        </w:rPr>
        <w:t xml:space="preserve">Предварително уведомление във връзка с червените корали </w:t>
      </w:r>
    </w:p>
    <w:p>
      <w:pPr>
        <w:rPr>
          <w:noProof/>
        </w:rPr>
      </w:pPr>
      <w:r>
        <w:rPr>
          <w:noProof/>
        </w:rPr>
        <w:t>Между два и четири часа преди очаквания час на пристигане в пристанището капитаните на риболовните кораби или техните представители изпращат до компетентните органи следната информация: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очакван час на пристигане;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външен идентификационен номер и име на риболовния кораб;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приблизителна оценка на количеството в живо тегло и, ако е възможно, брой на колониите от червени корали, задържани на борда;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информация за географската зона, в която са били събрани коралите.</w:t>
      </w:r>
    </w:p>
    <w:p>
      <w:pPr>
        <w:pStyle w:val="Titrearticle"/>
        <w:rPr>
          <w:noProof/>
        </w:rPr>
      </w:pPr>
      <w:r>
        <w:rPr>
          <w:noProof/>
        </w:rPr>
        <w:t xml:space="preserve">Член 22г    </w:t>
      </w:r>
      <w:r>
        <w:rPr>
          <w:noProof/>
        </w:rPr>
        <w:br/>
      </w:r>
      <w:r>
        <w:rPr>
          <w:b/>
          <w:i w:val="0"/>
          <w:noProof/>
        </w:rPr>
        <w:t>Определени пристанища за червени корали</w:t>
      </w:r>
      <w:r>
        <w:rPr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Корабите или рибарите с разрешение за събиране на червени корали могат да ги разтоварват само в определени пристанища. За тази цел всяка държава членка определя пристанищата, в които е разрешено разтоварването на червени корали, и не по-късно от 30 април всяка година изпраща списък с тези пристанища на секретариата на GFCM, освен ако вече съобщеният списък е останал непроменен.</w:t>
      </w:r>
    </w:p>
    <w:p>
      <w:pPr>
        <w:pStyle w:val="Titrearticle"/>
        <w:ind w:left="850"/>
        <w:rPr>
          <w:i w:val="0"/>
          <w:noProof/>
        </w:rPr>
      </w:pPr>
      <w:r>
        <w:rPr>
          <w:noProof/>
        </w:rPr>
        <w:t xml:space="preserve">Член 22д                                                                                                                             </w:t>
      </w:r>
      <w:r>
        <w:rPr>
          <w:b/>
          <w:i w:val="0"/>
          <w:noProof/>
          <w:color w:val="000000"/>
        </w:rPr>
        <w:t xml:space="preserve">Контрол върху разтоварването на червени корали </w:t>
      </w:r>
    </w:p>
    <w:p>
      <w:pPr>
        <w:rPr>
          <w:rFonts w:eastAsia="Times New Roman"/>
          <w:noProof/>
          <w:szCs w:val="24"/>
          <w:lang w:eastAsia="en-GB"/>
        </w:rPr>
      </w:pPr>
      <w:r>
        <w:rPr>
          <w:noProof/>
        </w:rPr>
        <w:t>Всяка държава членка изготвя програма за контрол, основаваща се на анализ на риска, в която се предвижда проверка на разтоварванията и заверяване на дневниците</w:t>
      </w:r>
      <w:r>
        <w:rPr>
          <w:rFonts w:eastAsia="Times New Roman"/>
          <w:noProof/>
          <w:szCs w:val="24"/>
          <w:lang w:eastAsia="en-GB"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 xml:space="preserve">Член 22е                                                                                                                      </w:t>
      </w:r>
      <w:r>
        <w:rPr>
          <w:b/>
          <w:i w:val="0"/>
          <w:noProof/>
        </w:rPr>
        <w:t>Трансбордиране на червени корали</w:t>
      </w:r>
    </w:p>
    <w:p>
      <w:pPr>
        <w:autoSpaceDE w:val="0"/>
        <w:autoSpaceDN w:val="0"/>
        <w:adjustRightInd w:val="0"/>
        <w:spacing w:before="0" w:after="240"/>
        <w:jc w:val="center"/>
        <w:rPr>
          <w:rFonts w:eastAsia="Times New Roman"/>
          <w:noProof/>
          <w:szCs w:val="24"/>
        </w:rPr>
      </w:pPr>
      <w:r>
        <w:rPr>
          <w:noProof/>
        </w:rPr>
        <w:t>Операциите по трансбордиране на червени корали в открито море са забранени.</w:t>
      </w:r>
    </w:p>
    <w:p>
      <w:pPr>
        <w:ind w:left="426"/>
        <w:rPr>
          <w:noProof/>
          <w:szCs w:val="24"/>
        </w:rPr>
      </w:pPr>
    </w:p>
    <w:p>
      <w:pPr>
        <w:pStyle w:val="Titrearticle"/>
        <w:rPr>
          <w:noProof/>
        </w:rPr>
      </w:pPr>
      <w:r>
        <w:rPr>
          <w:noProof/>
        </w:rPr>
        <w:t xml:space="preserve">Член 22ж                                                                                                                                </w:t>
      </w:r>
      <w:r>
        <w:rPr>
          <w:b/>
          <w:i w:val="0"/>
          <w:noProof/>
        </w:rPr>
        <w:t xml:space="preserve">Научна информация относно червените корали </w:t>
      </w:r>
    </w:p>
    <w:p>
      <w:pPr>
        <w:rPr>
          <w:noProof/>
        </w:rPr>
      </w:pPr>
      <w:r>
        <w:rPr>
          <w:noProof/>
        </w:rPr>
        <w:t>Държавите членки, чиито риболовни флотове извършват събиране на червени корали, гарантират наличието на подходящ механизъм за научен мониторинг на събирането и събраните количества, така че Научният консултативен комитет на GFCM да може да предостави описателна информация и становища, отнасящи се най-малко до следното: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приложеното риболовно усилие (например брой гмуркания на седмица) и общите равнища на събраните количества по запаси на местно, национално или наднационално равнище;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референтните равнища на опазване и управление с оглед на по-нататъшното подобряване на регионалния план за управление в съответствие с целта за постигане на максимален устойчив улов и нисък риск от изчерпване на запасите;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биологичните и социално-икономическите последици от алтернативните сценарии за управление, включително контрол на усилието/събраните количества и/или технически мерки, предложени от договарящите страни по GFCM;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възможни забрани за риболов в определени зони и определени периоди, за да се запази устойчивостта на рибарството.</w:t>
      </w:r>
    </w:p>
    <w:p>
      <w:pPr>
        <w:pStyle w:val="Titrearticle"/>
        <w:rPr>
          <w:noProof/>
        </w:rPr>
      </w:pPr>
    </w:p>
    <w:p>
      <w:pPr>
        <w:pStyle w:val="ChapterTitle"/>
        <w:rPr>
          <w:noProof/>
        </w:rPr>
      </w:pPr>
      <w:r>
        <w:rPr>
          <w:noProof/>
        </w:rPr>
        <w:t xml:space="preserve">ГЛАВА IV </w:t>
      </w:r>
      <w:r>
        <w:rPr>
          <w:noProof/>
        </w:rPr>
        <w:br/>
        <w:t>МЕРКИ ЗА КОНТРОЛ В НЯКОИ ГЕОГРАФСКИ ПОДЗОНИ</w:t>
      </w:r>
    </w:p>
    <w:p>
      <w:pPr>
        <w:pStyle w:val="SectionTitle"/>
        <w:rPr>
          <w:noProof/>
        </w:rPr>
      </w:pPr>
      <w:r>
        <w:rPr>
          <w:noProof/>
        </w:rPr>
        <w:t>Раздел 1</w:t>
      </w:r>
      <w:r>
        <w:rPr>
          <w:noProof/>
        </w:rPr>
        <w:br/>
        <w:t>Контрол върху риболова на червенопер пагел във водите около остров Алборан</w:t>
      </w:r>
    </w:p>
    <w:p>
      <w:pPr>
        <w:pStyle w:val="Titrearticle"/>
        <w:rPr>
          <w:rFonts w:eastAsia="Calibri"/>
          <w:noProof/>
          <w:szCs w:val="24"/>
        </w:rPr>
      </w:pPr>
      <w:r>
        <w:rPr>
          <w:noProof/>
        </w:rPr>
        <w:t xml:space="preserve">Член 22з                                                                                                                                  </w:t>
      </w:r>
      <w:r>
        <w:rPr>
          <w:b/>
          <w:i w:val="0"/>
          <w:noProof/>
        </w:rPr>
        <w:t>Докладване на дневния улов и прилова на червенопер пагел</w:t>
      </w:r>
    </w:p>
    <w:p>
      <w:pPr>
        <w:rPr>
          <w:noProof/>
        </w:rPr>
      </w:pPr>
      <w:r>
        <w:rPr>
          <w:noProof/>
        </w:rPr>
        <w:t>Без да се засягат разпоредбите на член 14 от Регламент (ЕО) № 1224/2009, държавите членки създават механизъм, с който се гарантира докладването на целия дневен търговски улов — независимо от неговото живо тегло — и на прилова на червенопер пагел във водите около остров Алборан (географски подзони 1, 2 и 3 на GFCM, както са определени в приложение I). В случай на любителски риболов държавите членки записват или извършват приблизителна оценка на улова на този вид.</w:t>
      </w:r>
    </w:p>
    <w:p>
      <w:pPr>
        <w:pStyle w:val="Titrearticle"/>
        <w:rPr>
          <w:rFonts w:eastAsia="Calibri"/>
          <w:noProof/>
          <w:szCs w:val="24"/>
        </w:rPr>
      </w:pPr>
      <w:r>
        <w:rPr>
          <w:noProof/>
        </w:rPr>
        <w:t xml:space="preserve">Член 22и                                                                                                                              </w:t>
      </w:r>
      <w:r>
        <w:rPr>
          <w:b/>
          <w:i w:val="0"/>
          <w:noProof/>
        </w:rPr>
        <w:t xml:space="preserve">Разрешения за риболов и риболовни дейности </w:t>
      </w:r>
    </w:p>
    <w:p>
      <w:pPr>
        <w:pStyle w:val="ManualNumPar1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Държавите членки създават регистър на риболовните кораби, на които е разрешено да превозват на борда или да разтоварват количества червенопер пагел, уловен във водите около остров Алборан, съставляващи над 20 % от улова в живо тегло за съответния период на прилив и отлив.</w:t>
      </w:r>
    </w:p>
    <w:p>
      <w:pPr>
        <w:pStyle w:val="ManualNumPar1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Корабите, извършващи целеви риболов на червенопер пагел, могат да осъществяват риболовни дейности само ако те са посочени във валидно разрешение за риболов, което е издадено от компетентните органи и в което се определят техническите условия за тези дейности. Разрешението трябва да съдържа данните, посочени в приложение VIII.</w:t>
      </w:r>
    </w:p>
    <w:p>
      <w:pPr>
        <w:pStyle w:val="ManualNumPar1"/>
        <w:rPr>
          <w:rFonts w:eastAsia="Calibri"/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Държавите членки представят на секретариата на GFCM: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до края на февруари на всяка година — списък на извършващите дейност кораби, на които е било издадено разрешение за текущата или следващата година (или години); този списък трябва да съдържа данните, посочени в приложение VIII;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до края на ноември всяка година, считано от 30 ноември 2018 г. и не по-късно от 30 ноември 2020 г. — доклад относно риболовните дейности, извършвани от посочените член 22и, параграф 1 кораби, в обобщен формат, включващ най-малко следната информация: 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брой риболовни дни; 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 xml:space="preserve">зона на експлоатация; и </w:t>
      </w:r>
    </w:p>
    <w:p>
      <w:pPr>
        <w:pStyle w:val="Point2"/>
        <w:rPr>
          <w:noProof/>
        </w:rPr>
      </w:pPr>
      <w:r>
        <w:rPr>
          <w:noProof/>
        </w:rPr>
        <w:t>iii)</w:t>
      </w:r>
      <w:r>
        <w:rPr>
          <w:noProof/>
        </w:rPr>
        <w:tab/>
        <w:t xml:space="preserve">извършен улов на червенопер пагел. </w:t>
      </w:r>
    </w:p>
    <w:p>
      <w:pPr>
        <w:pStyle w:val="ManualNumPar1"/>
        <w:rPr>
          <w:rFonts w:eastAsia="Calibri"/>
          <w:noProof/>
        </w:rPr>
      </w:pPr>
      <w:r>
        <w:rPr>
          <w:noProof/>
        </w:rPr>
        <w:t>4.</w:t>
      </w:r>
      <w:r>
        <w:rPr>
          <w:noProof/>
        </w:rPr>
        <w:tab/>
        <w:t>Всички кораби с обща дължина над 12 m, притежаващи разрешение за целеви риболов на червенопер пагел, трябва да бъдат оборудвани с VMS или друга система за геолокализация, позволяваща на контролните органи да следят техните дейности.</w:t>
      </w:r>
    </w:p>
    <w:p>
      <w:pPr>
        <w:pStyle w:val="Titrearticle"/>
        <w:rPr>
          <w:rFonts w:eastAsia="Calibri"/>
          <w:noProof/>
          <w:szCs w:val="24"/>
        </w:rPr>
      </w:pPr>
      <w:r>
        <w:rPr>
          <w:noProof/>
        </w:rPr>
        <w:t xml:space="preserve">Член 22й                                                                                                                                     </w:t>
      </w:r>
      <w:r>
        <w:rPr>
          <w:b/>
          <w:i w:val="0"/>
          <w:noProof/>
        </w:rPr>
        <w:t>Научен мониторинг</w:t>
      </w:r>
    </w:p>
    <w:p>
      <w:pPr>
        <w:rPr>
          <w:noProof/>
          <w:sz w:val="16"/>
        </w:rPr>
      </w:pPr>
      <w:r>
        <w:rPr>
          <w:noProof/>
        </w:rPr>
        <w:t xml:space="preserve">Държавите членки, чиито риболовни флотове извършват целеви риболов на червенопер пагел, събират описателни данни, отнасящи се най-малко до следното: 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характеристиките на риболовните уреди, включващи inter alia максималната дължина на парагадите и закотвените мрежи, както и броя, вида и размера на куките;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приложеното риболовно усилие (например брой риболовни дни на седмица) и общите равнища на улов по търговски риболовни флотове; трябва да се предостави и приблизителна оценка на улова при любителския риболов;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референтните равнища на опазване и управление с оглед изготвянето на многогодишни планове за управление на устойчивото рибарство в съответствие с целта за постигане на максимален устойчив улов и нисък риск от изчерпване на запасите;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 xml:space="preserve">социално-икономическите последици от алтернативните сценарии за управление, включително контрол на риболовното усилие/улова и/или технически мерки, предложени от GFCM и/или договарящите страни; 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възможни забрани за риболов в определени зони и определени периоди, за да се запази устойчивостта на рибарството;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потенциалното въздействие на любителския риболов върху състоянието на запаса (или запасите) от червенопер пагел.</w:t>
      </w:r>
    </w:p>
    <w:p>
      <w:pPr>
        <w:pStyle w:val="Point1"/>
        <w:rPr>
          <w:noProof/>
        </w:rPr>
      </w:pPr>
    </w:p>
    <w:p>
      <w:pPr>
        <w:pStyle w:val="SectionTitle"/>
        <w:rPr>
          <w:noProof/>
        </w:rPr>
      </w:pPr>
      <w:r>
        <w:rPr>
          <w:noProof/>
        </w:rPr>
        <w:t>Раздел 2</w:t>
      </w:r>
    </w:p>
    <w:p>
      <w:pPr>
        <w:pStyle w:val="SectionTitle"/>
        <w:rPr>
          <w:noProof/>
        </w:rPr>
      </w:pPr>
      <w:r>
        <w:rPr>
          <w:noProof/>
        </w:rPr>
        <w:t>Сицилийски пролив</w:t>
      </w:r>
    </w:p>
    <w:p>
      <w:pPr>
        <w:pStyle w:val="Titrearticle"/>
        <w:rPr>
          <w:noProof/>
        </w:rPr>
      </w:pPr>
      <w:r>
        <w:rPr>
          <w:noProof/>
        </w:rPr>
        <w:t xml:space="preserve">Член 22к                                                                                                                          </w:t>
      </w:r>
      <w:r>
        <w:rPr>
          <w:b/>
          <w:i w:val="0"/>
          <w:noProof/>
        </w:rPr>
        <w:t>Разрешения за риболов с дънни тралове на запасите от дънни видове в Сицилийския пролив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Корабите, извършващи целеви риболов с дънни тралове на запасите от дънни видове в Сицилийския пролив (географски подзони 12, 13, 14, 15 и 16 на GFCM, както са определени в приложение I), могат да осъществяват само конкретните риболовни дейности, посочени във валидните им разрешения за риболов, които са издадени от компетентните органи и в които се определят техническите условия за тези дейности.</w:t>
      </w:r>
    </w:p>
    <w:p>
      <w:pPr>
        <w:ind w:left="720" w:hanging="720"/>
        <w:rPr>
          <w:noProof/>
        </w:rPr>
      </w:pPr>
      <w:r>
        <w:rPr>
          <w:noProof/>
        </w:rPr>
        <w:t>2.</w:t>
      </w:r>
      <w:r>
        <w:rPr>
          <w:noProof/>
        </w:rPr>
        <w:tab/>
        <w:t>В допълнение към данните, определени в приложение I към Регламент (ЕС) 2017/218, разрешенията за риболов, посочени в параграф 1, трябва да включват следните данни: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регистрационен номер по GFCM;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</w:r>
      <w:r>
        <w:rPr>
          <w:noProof/>
        </w:rPr>
        <w:tab/>
        <w:t>предишно име (ако има такова);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</w:r>
      <w:r>
        <w:rPr>
          <w:noProof/>
        </w:rPr>
        <w:tab/>
        <w:t>предишно знаме (ако има такова);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</w:r>
      <w:r>
        <w:rPr>
          <w:noProof/>
        </w:rPr>
        <w:tab/>
        <w:t>предишни данни за заличаването от други регистри (ако има такива).</w:t>
      </w:r>
    </w:p>
    <w:p>
      <w:pPr>
        <w:ind w:left="709"/>
        <w:rPr>
          <w:noProof/>
        </w:rPr>
      </w:pPr>
    </w:p>
    <w:p>
      <w:pPr>
        <w:ind w:left="709"/>
        <w:rPr>
          <w:noProof/>
        </w:rPr>
      </w:pPr>
    </w:p>
    <w:p>
      <w:pPr>
        <w:pStyle w:val="Titrearticle"/>
        <w:rPr>
          <w:b/>
          <w:i w:val="0"/>
          <w:noProof/>
        </w:rPr>
      </w:pPr>
      <w:r>
        <w:rPr>
          <w:noProof/>
        </w:rPr>
        <w:t xml:space="preserve">Член 22л                                                                                                                               </w:t>
      </w:r>
      <w:r>
        <w:rPr>
          <w:b/>
          <w:i w:val="0"/>
          <w:noProof/>
        </w:rPr>
        <w:t>Схема за съвместни международни инспекции и наблюдение в Сицилийския пролив</w:t>
      </w:r>
    </w:p>
    <w:p>
      <w:pPr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С цел да се гарантира спазването на разпоредбите, посочени в членове 10а и 10б, държавите членки могат да извършват дейности по инспекции и наблюдение в рамките на схема за съвместни международни инспекции и наблюдение в Сицилийския пролив („схемата“), обхващаща водите извън национална юрисдикция в географски подзони 12, 13, 14, 15 и 16 на GFCM, както са определени в приложение I („зоната за инспекции и наблюдение“).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В срок до 1 декември всяка година всяка държава членка представя на секретариата на GFCM списък с имената на инспекторите, които са упълномощени да извършват инспекции и наблюдение в зоната, посочена в параграф 1.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Инспекторите носят документ за самоличност, който е издаден от органите на държавата членка на знамето и отговаря на формата, посочен в приложение IV.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В срок до 15 декември предходната година или възможно най-скоро преди започване на дейностите по инспекция всяка съответна държава членка съобщава на секретариата на GFCM имената на корабите и въздухоплавателните средства, използвани за инспекции и наблюдение. 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Корабите, извършващи дейности по качване на борда и инспекции в съответствие със схемата, плават под специално знаме или вимпел, както е описано в приложение V. 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Дадена държава членка може — по взаимно споразумение с друга договаряща страна в GFCM — да разполага определени от нея инспектори, участващи в схемата, на инспекционна платформа на другата договаряща страна. В случай на такова разполагане тя уведомява предварително секретариата на GFCM.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Всяка държава членка гарантира, че всяка инспекционна платформа, имаща право да плава под нейното знаме и извършваща дейност в зоната, посочена в параграф 1, поддържа сигурен контакт — по възможност ежедневно — с всички други инспекционни платформи, извършващи дейност в същата зона, с цел обмен на информация, необходима за координиране на дейностите. </w:t>
      </w:r>
    </w:p>
    <w:p>
      <w:pPr>
        <w:pStyle w:val="ManualNumPar1"/>
        <w:rPr>
          <w:noProof/>
        </w:rPr>
      </w:pPr>
      <w:r>
        <w:rPr>
          <w:noProof/>
        </w:rPr>
        <w:t>8.</w:t>
      </w:r>
      <w:r>
        <w:rPr>
          <w:noProof/>
        </w:rPr>
        <w:tab/>
        <w:t>Всяка държава членка, извършваща инспекции или наблюдение в зоната, посочена в параграф 1, предоставя на всяка инспекционна платформа при нейното навлизане в зоната списък на забелязаните от държавата членка кораби и на извършените от нея качвания на борда и инспекции в предходния десетдневен период, включително съответните дати, координати и всяка друга важна информация.</w:t>
      </w:r>
    </w:p>
    <w:p>
      <w:pPr>
        <w:rPr>
          <w:noProof/>
        </w:rPr>
      </w:pPr>
    </w:p>
    <w:p>
      <w:pPr>
        <w:pStyle w:val="Titrearticle"/>
        <w:rPr>
          <w:b/>
          <w:i w:val="0"/>
          <w:noProof/>
          <w:szCs w:val="24"/>
        </w:rPr>
      </w:pPr>
      <w:r>
        <w:rPr>
          <w:noProof/>
        </w:rPr>
        <w:t xml:space="preserve">Член 22м                                                                                                                                    </w:t>
      </w:r>
      <w:r>
        <w:rPr>
          <w:b/>
          <w:i w:val="0"/>
          <w:noProof/>
        </w:rPr>
        <w:t>Извършване на инспекциите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Всяка държава членка, извършваща инспекции в зоната, посочена в член 22к, параграф 1, гарантира, че нейните инспектори: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уведомяват риболовния кораб за името на инспектиращия кораб преди качването си на борда;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поставят вимпела, описан в приложение V, върху инспектиращия кораб и лодките за прекачване;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ограничават всеки инспекционен екип до най-много трима инспектори.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При качването си на борда на риболовния кораб инспекторите представят на капитана му картата за самоличност, посочена в приложение IV. Инспекциите се извършват на един от официалните езици на GFCM и, когато това е възможно, на езика, говорен от капитана на риболовния кораб.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Инспекторите ограничават извършваните от тях проверки до удостоверяване на спазването на член 10а и 10б от страна на държавата, под чието знаме плава съответният кораб. 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Инспекторите изготвят доклад от инспекцията във формата, определен в приложение VI. 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Инспекторите подписват доклада в присъствието на капитана на кораба, който има право да добави или да поиска да бъдат добавени към доклада всички констатации, които смята за уместни, и който също трябва да подпише доклада.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Копия на доклада се предоставят на капитана на кораба и на компетентните органи на инспекционния екип, които ги предават на компетентните органи на държавата, под чието знаме плава инспектираният кораб, и на секретариата на GFCM.</w:t>
      </w:r>
    </w:p>
    <w:p>
      <w:pPr>
        <w:pStyle w:val="ManualNumPar1"/>
        <w:rPr>
          <w:noProof/>
        </w:rPr>
      </w:pPr>
      <w:r>
        <w:rPr>
          <w:noProof/>
        </w:rPr>
        <w:t>7.</w:t>
      </w:r>
      <w:r>
        <w:rPr>
          <w:noProof/>
        </w:rPr>
        <w:tab/>
        <w:t xml:space="preserve">Числеността на инспекционния екип и продължителността на инспекцията се определят от командващия инспектиращия кораб, като се вземат предвид всички важни обстоятелства.  </w:t>
      </w:r>
    </w:p>
    <w:p>
      <w:pPr>
        <w:pStyle w:val="Titrearticle"/>
        <w:rPr>
          <w:noProof/>
        </w:rPr>
      </w:pPr>
      <w:r>
        <w:rPr>
          <w:noProof/>
        </w:rPr>
        <w:t xml:space="preserve">Член 22н                                                                                                                         </w:t>
      </w:r>
      <w:r>
        <w:rPr>
          <w:b/>
          <w:i w:val="0"/>
          <w:noProof/>
        </w:rPr>
        <w:t>Нарушения</w:t>
      </w: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За целите на настоящия член за нарушения се смятат: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дейностите, посочени в член 3, параграф 1, букви а), б), в), д), е), ж) и з) от Регламент (ЕО) № 1005/2008;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намесата в системата за спътниково наблюдение; и 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извършването на дейност без VMS.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случай на качване на борда и инспекция на риболовен кораб, при която инспекторите констатират нарушение, компетентните органи на държавата членка на знамето на инспектиращия кораб незабавно уведомяват държавата на знамето на риболовния кораб както пряко, така и чрез секретариата на GFCM.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Държавата членка на знамето на кораба гарантира, че след инспекцията, посочена в точка 2, съответният риболовен кораб прекратява всички риболовни дейности. Държавата членка на знамето изисква от риболовния кораб да се отправи в рамките на 72 часа към указано от нея пристанище, където започва разследване.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В случай че при инспекцията е било констатирано нарушение, предприетите от държавата членка на знамето действия и последващи действия се съобщават на националните компетентни органи и на секретариата на GFCM.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Компетентните органи на държавите членки предприемат действия по докладите от инспекциите, посочени в член 22м, параграф 4, и по декларациите от документните проверки, извършени от инспекторите, по същия начин, както по докладите и декларациите от национални инспектори.</w:t>
      </w:r>
    </w:p>
    <w:p>
      <w:pPr>
        <w:ind w:left="426"/>
        <w:rPr>
          <w:noProof/>
        </w:rPr>
      </w:pPr>
    </w:p>
    <w:p>
      <w:pPr>
        <w:pStyle w:val="SectionTitle"/>
        <w:rPr>
          <w:noProof/>
        </w:rPr>
      </w:pPr>
      <w:r>
        <w:rPr>
          <w:noProof/>
        </w:rPr>
        <w:t>Раздел 3</w:t>
      </w:r>
      <w:r>
        <w:rPr>
          <w:noProof/>
        </w:rPr>
        <w:br/>
        <w:t>Черно море</w:t>
      </w:r>
    </w:p>
    <w:p>
      <w:pPr>
        <w:pStyle w:val="Titrearticle"/>
        <w:rPr>
          <w:noProof/>
        </w:rPr>
      </w:pPr>
      <w:r>
        <w:rPr>
          <w:noProof/>
        </w:rPr>
        <w:br/>
        <w:t>Член 22о</w:t>
      </w:r>
      <w:r>
        <w:rPr>
          <w:noProof/>
        </w:rPr>
        <w:br/>
      </w:r>
      <w:r>
        <w:rPr>
          <w:b/>
          <w:i w:val="0"/>
          <w:noProof/>
        </w:rPr>
        <w:t>Мерки за предотвратяване, възпиране и премахване на незаконния, недеклариран и нерегулиран риболов на калкан в Черно море</w:t>
      </w:r>
    </w:p>
    <w:p>
      <w:pPr>
        <w:rPr>
          <w:i/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В срок до 30 ноември всяка година всяка държава членка изпраща на Комисията посредством обичайната система за обработка на данни актуализиран списък на корабите, които използват дънни хрилни мрежи и имат разрешение за риболов на калкан в Черно море (географска подзона 29 на GFCM, както е определена в приложение I).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В допълнение към данните, определени в приложение I към Регламент (ЕО) № 26/2004, списъкът, посочен в параграф 1, трябва да включва следните данни: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регистрационен номер по GFCM;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предишно име (ако има такова);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предишно знаме (ако има такова);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предишни данни за заличаването от други регистри (ако има такива);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основен целеви вид;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основен уред (или уреди), използван за риболова на калкан, сегмент на флота и операционна единица съгласно определението в задание 1 от статистическата матрица на GFCM, както е посочено в раздел В от приложение III;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период, в който е разрешен риболовът с хрилни мрежи или с други уреди, с които може да се извършва риболов на калкан (при наличие на съответното разрешение).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По искане на GFCM държавите членки докладват информация за риболовните кораби, които имат разрешение да извършват риболовна дейност в даден период. По-конкретно държавите членки докладват имената на съответните риболовни кораби, техните външни идентификационни номера и възможностите за риболов, предоставени на всеки от тях.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>Немаркираните изоставени хрилни мрежи, използвани за риболов на калкан и намерени в морето, се прибират от компетентните органи на крайбрежната държава членка. Впоследствие тези мрежи се задържат до надлежното идентифициране на собственика или се унищожават, ако собственикът не може да бъде установен.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>Всяка съответна държава членка определя пунктове на разтоварване, в които да се извършва разтоварването и трансбордирането на калкан, уловен в Черно море, в съответствие с член 43, параграф 5 от Регламент (ЕО) № 1224/2009. Списъкът на тези пунктове се представя на секретариата на GFCM не по-късно от 30 ноември всяка година.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На риболовните кораби се забранява да разтоварват или трансбордират каквото и да е количество калкан, уловен в Черно море, на места, различни от пунктовете на разтоварване, посочени в параграф 5.</w:t>
      </w:r>
    </w:p>
    <w:p>
      <w:pPr>
        <w:pStyle w:val="Titrearticle"/>
        <w:rPr>
          <w:noProof/>
        </w:rPr>
      </w:pPr>
      <w:r>
        <w:rPr>
          <w:noProof/>
        </w:rPr>
        <w:t>Член 22п</w:t>
      </w:r>
      <w:r>
        <w:rPr>
          <w:noProof/>
        </w:rPr>
        <w:br/>
      </w:r>
      <w:r>
        <w:rPr>
          <w:b/>
          <w:i w:val="0"/>
          <w:noProof/>
        </w:rPr>
        <w:t>Национални планове за мониторинг, контрол и наблюдение на риболова на калкан в Черно море</w:t>
      </w:r>
    </w:p>
    <w:p>
      <w:pPr>
        <w:ind w:left="426"/>
        <w:rPr>
          <w:noProof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Държавите членки изготвят национални планове за мониторинг, контрол и наблюдение („национални планове“), предназначени за прилагане на разпоредбите на член 22о, като </w:t>
      </w:r>
      <w:r>
        <w:rPr>
          <w:i/>
          <w:noProof/>
        </w:rPr>
        <w:t>inter alia</w:t>
      </w:r>
      <w:r>
        <w:rPr>
          <w:noProof/>
        </w:rPr>
        <w:t xml:space="preserve"> гарантират правилен и точен мониторинг и записване на месечния улов и/или приложеното риболовно усилие.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Националните планове, посочени в параграф 1, трябва да съдържат следните елементи: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ясно определяне на средствата за контрол с описание на човешките, техническите и финансовите средства, които са конкретно предназначени за изпълнението на плановете;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ясно определяне на стратегията за извършване на инспекции (включително протоколите от инспекциите), отдаваща приоритетно значение на корабите, за които е вероятно да извършат риболов на калкан и свързани видове;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планове за действие за контрол на пазарите и транспорта;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определяне на задачите и процедурите за инспекция, включително стратегията за вземане на проби, с която се проверява претеглянето на улова при първоначална продажба, и стратегията за вземане на проби по отношение на кораби, които не са задължени да водят дневник или да представят декларация за разтоварване;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насоки за инспектори, организации на производители и рибари, отнасящи се до действащите разпоредби за риболов, при който е вероятно да се извърши улов на калкан, включително:</w:t>
      </w:r>
    </w:p>
    <w:p>
      <w:pPr>
        <w:pStyle w:val="Point2"/>
        <w:rPr>
          <w:noProof/>
        </w:rPr>
      </w:pPr>
      <w:r>
        <w:rPr>
          <w:noProof/>
        </w:rPr>
        <w:t>i)</w:t>
      </w:r>
      <w:r>
        <w:rPr>
          <w:noProof/>
        </w:rPr>
        <w:tab/>
        <w:t>правила за попълване на документи, в това число на доклади от инспекции, риболовни дневници, декларации за трансбордиране, декларации за разтоварване и приемане, транспортни документи и документи за продажба;</w:t>
      </w:r>
    </w:p>
    <w:p>
      <w:pPr>
        <w:pStyle w:val="Point2"/>
        <w:rPr>
          <w:noProof/>
        </w:rPr>
      </w:pPr>
      <w:r>
        <w:rPr>
          <w:noProof/>
        </w:rPr>
        <w:t>ii)</w:t>
      </w:r>
      <w:r>
        <w:rPr>
          <w:noProof/>
        </w:rPr>
        <w:tab/>
        <w:t>въведени технически мерки, в това число размер на мрежата и/или окото, минимален размер на улова, временни ограничения;</w:t>
      </w:r>
    </w:p>
    <w:p>
      <w:pPr>
        <w:pStyle w:val="Point2"/>
        <w:rPr>
          <w:noProof/>
        </w:rPr>
      </w:pPr>
      <w:r>
        <w:rPr>
          <w:noProof/>
        </w:rPr>
        <w:t>iii)</w:t>
      </w:r>
      <w:r>
        <w:rPr>
          <w:noProof/>
        </w:rPr>
        <w:tab/>
        <w:t>стратегии за вземане на проби;</w:t>
      </w:r>
    </w:p>
    <w:p>
      <w:pPr>
        <w:pStyle w:val="Point2"/>
        <w:rPr>
          <w:noProof/>
        </w:rPr>
      </w:pPr>
      <w:r>
        <w:rPr>
          <w:noProof/>
        </w:rPr>
        <w:t>iv)</w:t>
      </w:r>
      <w:r>
        <w:rPr>
          <w:noProof/>
        </w:rPr>
        <w:tab/>
        <w:t>механизми за кръстосана проверка;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обучение на националните инспектори в съответствие с изискванията, определени в приложение II към настоящия регламент.</w:t>
      </w:r>
    </w:p>
    <w:p>
      <w:pPr>
        <w:pStyle w:val="Titrearticle"/>
        <w:rPr>
          <w:noProof/>
        </w:rPr>
      </w:pPr>
      <w:r>
        <w:rPr>
          <w:noProof/>
        </w:rPr>
        <w:t>Член 22р</w:t>
      </w:r>
      <w:r>
        <w:rPr>
          <w:noProof/>
        </w:rPr>
        <w:br/>
      </w:r>
      <w:r>
        <w:rPr>
          <w:b/>
          <w:i w:val="0"/>
          <w:noProof/>
        </w:rPr>
        <w:t>Научен мониторинг на риболова на калкан в Черно море</w:t>
      </w:r>
    </w:p>
    <w:p>
      <w:pPr>
        <w:ind w:left="426"/>
        <w:rPr>
          <w:noProof/>
          <w:szCs w:val="24"/>
        </w:rPr>
      </w:pPr>
      <w:r>
        <w:rPr>
          <w:noProof/>
        </w:rPr>
        <w:t>В срок до 30 ноември всяка година държавите членки съобщават на Научния консултативен комитет по рибарство на GFCM всяка допълнителна информация в подкрепа на научния мониторинг на риболова на калкан в Черно море.“</w:t>
      </w:r>
    </w:p>
    <w:p>
      <w:pPr>
        <w:ind w:left="426"/>
        <w:rPr>
          <w:noProof/>
          <w:szCs w:val="24"/>
        </w:rPr>
      </w:pPr>
    </w:p>
    <w:p>
      <w:pPr>
        <w:pStyle w:val="Point0number"/>
        <w:numPr>
          <w:ilvl w:val="0"/>
          <w:numId w:val="12"/>
        </w:numPr>
        <w:rPr>
          <w:noProof/>
          <w:szCs w:val="24"/>
        </w:rPr>
      </w:pPr>
      <w:r>
        <w:rPr>
          <w:noProof/>
        </w:rPr>
        <w:t>Член 23а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 xml:space="preserve"> в параграф 1 буква а) се заменя със следното:</w:t>
      </w:r>
    </w:p>
    <w:p>
      <w:pPr>
        <w:pStyle w:val="Point2"/>
        <w:rPr>
          <w:noProof/>
        </w:rPr>
      </w:pPr>
      <w:r>
        <w:rPr>
          <w:noProof/>
        </w:rPr>
        <w:t>„а)</w:t>
      </w:r>
      <w:r>
        <w:rPr>
          <w:noProof/>
        </w:rPr>
        <w:tab/>
        <w:t>данните относно червените корали, посочени в член 22б; и“;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 xml:space="preserve"> добавя се следният параграф 8:</w:t>
      </w:r>
    </w:p>
    <w:p>
      <w:pPr>
        <w:pStyle w:val="Point2"/>
        <w:rPr>
          <w:noProof/>
        </w:rPr>
      </w:pPr>
      <w:r>
        <w:rPr>
          <w:noProof/>
        </w:rPr>
        <w:t>„8.</w:t>
      </w:r>
      <w:r>
        <w:rPr>
          <w:noProof/>
        </w:rPr>
        <w:tab/>
        <w:t>В срок до 30 юни всяка година държавите членки представят подробен доклад за извършените от тях риболовни дейности на секретариата на GFCM и на Комисията. Този доклад трябва да включва най-малко информация относно общия улов и зоните на експлоатация, както и — ако е възможно — относно броя гмуркания и средното количество събрани червени корали на едно гмуркане.“</w:t>
      </w:r>
    </w:p>
    <w:p>
      <w:pPr>
        <w:pStyle w:val="Point2"/>
        <w:rPr>
          <w:noProof/>
        </w:rPr>
      </w:pPr>
    </w:p>
    <w:p>
      <w:pPr>
        <w:pStyle w:val="Point0number"/>
        <w:numPr>
          <w:ilvl w:val="0"/>
          <w:numId w:val="12"/>
        </w:numPr>
        <w:rPr>
          <w:noProof/>
          <w:u w:val="single"/>
        </w:rPr>
      </w:pPr>
      <w:r>
        <w:rPr>
          <w:noProof/>
        </w:rPr>
        <w:t>Добавят се приложения IV, V, VI, VII и VIII, които се съдържат в приложението към настоящия регламент.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  <w:r>
        <w:rPr>
          <w:noProof/>
        </w:rPr>
        <w:br/>
      </w:r>
      <w:r>
        <w:rPr>
          <w:b/>
          <w:i w:val="0"/>
          <w:noProof/>
        </w:rPr>
        <w:t>Влизане в сила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Настоящият регламент влиза в сила на двадесетия ден след деня на публикуването му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before="480"/>
        <w:rPr>
          <w:noProof/>
        </w:rPr>
      </w:pPr>
      <w:r>
        <w:rPr>
          <w:noProof/>
        </w:rPr>
        <w:t>Настоящият регламент е задължителен в своята цялост и се прилага пряко във всички държави членки.</w:t>
      </w:r>
    </w:p>
    <w:p>
      <w:pPr>
        <w:keepNext/>
        <w:spacing w:after="0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keepNext/>
        <w:tabs>
          <w:tab w:val="left" w:pos="4252"/>
        </w:tabs>
        <w:spacing w:before="720" w:after="0"/>
        <w:rPr>
          <w:i/>
          <w:noProof/>
        </w:rPr>
      </w:pPr>
      <w:r>
        <w:rPr>
          <w:i/>
          <w:noProof/>
        </w:rPr>
        <w:t>За Европейския парламент</w:t>
      </w:r>
      <w:r>
        <w:rPr>
          <w:noProof/>
        </w:rPr>
        <w:tab/>
      </w:r>
      <w:r>
        <w:rPr>
          <w:i/>
          <w:noProof/>
        </w:rPr>
        <w:t>За Съвета</w:t>
      </w:r>
    </w:p>
    <w:p>
      <w:pPr>
        <w:tabs>
          <w:tab w:val="left" w:pos="4252"/>
        </w:tabs>
        <w:spacing w:before="0" w:after="0"/>
        <w:jc w:val="left"/>
        <w:rPr>
          <w:i/>
          <w:noProof/>
        </w:rPr>
      </w:pPr>
      <w:r>
        <w:rPr>
          <w:i/>
          <w:noProof/>
        </w:rPr>
        <w:t>Председател</w:t>
      </w:r>
      <w:r>
        <w:rPr>
          <w:noProof/>
        </w:rPr>
        <w:tab/>
      </w:r>
      <w:r>
        <w:rPr>
          <w:i/>
          <w:noProof/>
        </w:rPr>
        <w:t>Председател</w:t>
      </w: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 xml:space="preserve">ПРИЛОЖЕНИЕ </w:t>
      </w:r>
    </w:p>
    <w:p>
      <w:pPr>
        <w:jc w:val="center"/>
        <w:rPr>
          <w:b/>
          <w:noProof/>
          <w:u w:val="single"/>
        </w:rPr>
      </w:pPr>
    </w:p>
    <w:p>
      <w:pPr>
        <w:jc w:val="center"/>
        <w:rPr>
          <w:noProof/>
          <w:u w:val="single"/>
        </w:rPr>
      </w:pPr>
      <w:r>
        <w:rPr>
          <w:noProof/>
          <w:u w:val="single"/>
        </w:rPr>
        <w:t>Към Регламент (ЕС) № 1343/2011 се добавят следните приложения IV, V, VI, VII и VIII:</w:t>
      </w: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„ПРИЛОЖЕНИЕ IV</w:t>
      </w:r>
    </w:p>
    <w:p>
      <w:pPr>
        <w:jc w:val="center"/>
        <w:rPr>
          <w:b/>
          <w:noProof/>
        </w:rPr>
      </w:pPr>
      <w:r>
        <w:rPr>
          <w:b/>
          <w:noProof/>
        </w:rPr>
        <w:t>Образец на карта за самоличност на инспекторите на GFCM</w:t>
      </w:r>
    </w:p>
    <w:p>
      <w:pPr>
        <w:rPr>
          <w:rFonts w:asciiTheme="majorBidi" w:hAnsiTheme="majorBidi" w:cstheme="majorBidi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09"/>
        <w:gridCol w:w="770"/>
        <w:gridCol w:w="1541"/>
        <w:gridCol w:w="2310"/>
        <w:gridCol w:w="2311"/>
      </w:tblGrid>
      <w:tr>
        <w:tc>
          <w:tcPr>
            <w:tcW w:w="4621" w:type="dxa"/>
            <w:gridSpan w:val="4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Генерална комисия по рибарство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в Средиземно море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lang w:val="en-US" w:eastAsia="en-US" w:bidi="ar-SA"/>
              </w:rPr>
              <w:drawing>
                <wp:inline distT="0" distB="0" distL="0" distR="0">
                  <wp:extent cx="838200" cy="4286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FCM pennan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45" cy="43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lang w:val="en-US" w:eastAsia="en-US" w:bidi="ar-SA"/>
              </w:rPr>
              <w:drawing>
                <wp:inline distT="0" distB="0" distL="0" distR="0">
                  <wp:extent cx="841375" cy="4267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t>GFCM</w:t>
            </w:r>
          </w:p>
        </w:tc>
      </w:tr>
      <w:t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lang w:val="en-US" w:eastAsia="en-US" w:bidi="ar-SA"/>
              </w:rPr>
              <w:drawing>
                <wp:inline distT="0" distB="0" distL="0" distR="0">
                  <wp:extent cx="838200" cy="4286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FCM pennan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045" cy="43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t>GFCM</w:t>
            </w:r>
          </w:p>
        </w:tc>
        <w:tc>
          <w:tcPr>
            <w:tcW w:w="462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14"/>
              </w:rPr>
            </w:pPr>
          </w:p>
          <w:p>
            <w:pPr>
              <w:jc w:val="center"/>
              <w:rPr>
                <w:rFonts w:asciiTheme="majorBidi" w:hAnsiTheme="majorBidi" w:cstheme="majorBidi"/>
                <w:noProof/>
                <w:sz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Притежателят на тази карта за самоличност е инспектор на GFCM, който е надлежно назначен съгласно условията на Схемата за съвместни международни инспекции и наблюдение на Генералната комисия по рибарство в Средиземно море (GFCM) и разполага с правомощия да действа съгласно правилата на GFCM.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  <w:sz w:val="14"/>
              </w:rPr>
            </w:pPr>
          </w:p>
        </w:tc>
      </w:tr>
      <w:tr>
        <w:tc>
          <w:tcPr>
            <w:tcW w:w="4621" w:type="dxa"/>
            <w:gridSpan w:val="4"/>
          </w:tcPr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КАРТА ЗА САМОЛИЧНОСТ НА ИНСПЕКТОР</w:t>
            </w:r>
          </w:p>
        </w:tc>
        <w:tc>
          <w:tcPr>
            <w:tcW w:w="4621" w:type="dxa"/>
            <w:gridSpan w:val="2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Снимка</w:t>
            </w:r>
          </w:p>
        </w:tc>
        <w:tc>
          <w:tcPr>
            <w:tcW w:w="3520" w:type="dxa"/>
            <w:gridSpan w:val="3"/>
            <w:vAlign w:val="center"/>
          </w:tcPr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</w:p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Договаряща страна</w:t>
            </w:r>
          </w:p>
        </w:tc>
        <w:tc>
          <w:tcPr>
            <w:tcW w:w="4621" w:type="dxa"/>
            <w:gridSpan w:val="2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101" w:type="dxa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</w:p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Име на инспектора</w:t>
            </w:r>
          </w:p>
        </w:tc>
        <w:tc>
          <w:tcPr>
            <w:tcW w:w="4621" w:type="dxa"/>
            <w:gridSpan w:val="2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101" w:type="dxa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3520" w:type="dxa"/>
            <w:gridSpan w:val="3"/>
            <w:vAlign w:val="center"/>
          </w:tcPr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</w:p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Карта №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16"/>
              </w:rPr>
            </w:pPr>
            <w:r>
              <w:rPr>
                <w:rFonts w:asciiTheme="majorBidi" w:hAnsiTheme="majorBidi" w:cstheme="majorBidi"/>
                <w:noProof/>
                <w:sz w:val="16"/>
              </w:rPr>
              <w:t>………………………………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  <w:sz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Издаващ орган</w:t>
            </w:r>
          </w:p>
        </w:tc>
        <w:tc>
          <w:tcPr>
            <w:tcW w:w="2311" w:type="dxa"/>
            <w:vMerge w:val="restart"/>
            <w:vAlign w:val="center"/>
          </w:tcPr>
          <w:p>
            <w:pPr>
              <w:jc w:val="center"/>
              <w:rPr>
                <w:rFonts w:asciiTheme="majorBidi" w:hAnsiTheme="majorBidi" w:cstheme="majorBidi"/>
                <w:noProof/>
                <w:sz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………………………………</w:t>
            </w:r>
          </w:p>
          <w:p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Инспектор</w:t>
            </w:r>
          </w:p>
        </w:tc>
      </w:tr>
      <w:tr>
        <w:tc>
          <w:tcPr>
            <w:tcW w:w="1101" w:type="dxa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</w:p>
          <w:p>
            <w:pPr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4"/>
              </w:rPr>
              <w:t>Дата на издаване</w:t>
            </w:r>
          </w:p>
        </w:tc>
        <w:tc>
          <w:tcPr>
            <w:tcW w:w="1541" w:type="dxa"/>
            <w:vAlign w:val="center"/>
          </w:tcPr>
          <w:p>
            <w:pPr>
              <w:jc w:val="right"/>
              <w:rPr>
                <w:rFonts w:asciiTheme="majorBidi" w:hAnsiTheme="majorBidi" w:cstheme="majorBidi"/>
                <w:noProof/>
                <w:sz w:val="14"/>
                <w:szCs w:val="14"/>
              </w:rPr>
            </w:pPr>
            <w:r>
              <w:rPr>
                <w:rFonts w:asciiTheme="majorBidi" w:hAnsiTheme="majorBidi" w:cstheme="majorBidi"/>
                <w:noProof/>
                <w:sz w:val="10"/>
              </w:rPr>
              <w:t>Валидност — пет години</w:t>
            </w:r>
          </w:p>
        </w:tc>
        <w:tc>
          <w:tcPr>
            <w:tcW w:w="2310" w:type="dxa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2311" w:type="dxa"/>
            <w:vMerge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</w:tbl>
    <w:p>
      <w:pPr>
        <w:jc w:val="center"/>
        <w:rPr>
          <w:rFonts w:asciiTheme="majorBidi" w:hAnsiTheme="majorBidi" w:cstheme="majorBidi"/>
          <w:noProof/>
        </w:rPr>
      </w:pPr>
    </w:p>
    <w:p>
      <w:pPr>
        <w:spacing w:before="0" w:after="200" w:line="276" w:lineRule="auto"/>
        <w:jc w:val="left"/>
        <w:rPr>
          <w:rFonts w:asciiTheme="majorBidi" w:hAnsiTheme="majorBidi" w:cstheme="majorBidi"/>
          <w:noProof/>
        </w:rPr>
      </w:pPr>
    </w:p>
    <w:p>
      <w:pPr>
        <w:spacing w:before="0" w:after="200" w:line="276" w:lineRule="auto"/>
        <w:jc w:val="left"/>
        <w:rPr>
          <w:rFonts w:asciiTheme="majorBidi" w:hAnsiTheme="majorBidi" w:cstheme="majorBidi"/>
          <w:noProof/>
        </w:rPr>
      </w:pPr>
    </w:p>
    <w:p>
      <w:pPr>
        <w:spacing w:before="0" w:after="200" w:line="276" w:lineRule="auto"/>
        <w:jc w:val="left"/>
        <w:rPr>
          <w:rFonts w:asciiTheme="majorBidi" w:hAnsiTheme="majorBidi" w:cstheme="majorBidi"/>
          <w:noProof/>
        </w:rPr>
      </w:pPr>
    </w:p>
    <w:p>
      <w:pPr>
        <w:spacing w:before="0" w:after="200" w:line="276" w:lineRule="auto"/>
        <w:jc w:val="left"/>
        <w:rPr>
          <w:rFonts w:asciiTheme="majorBidi" w:hAnsiTheme="majorBidi" w:cstheme="majorBidi"/>
          <w:noProof/>
        </w:rPr>
      </w:pPr>
    </w:p>
    <w:p>
      <w:pPr>
        <w:spacing w:before="0" w:after="200" w:line="276" w:lineRule="auto"/>
        <w:jc w:val="left"/>
        <w:rPr>
          <w:rFonts w:asciiTheme="majorBidi" w:hAnsiTheme="majorBidi" w:cstheme="majorBidi"/>
          <w:noProof/>
        </w:rPr>
      </w:pPr>
    </w:p>
    <w:p>
      <w:pPr>
        <w:spacing w:before="0" w:after="200" w:line="276" w:lineRule="auto"/>
        <w:jc w:val="left"/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</w:p>
    <w:p>
      <w:pPr>
        <w:jc w:val="center"/>
        <w:rPr>
          <w:rFonts w:asciiTheme="majorBidi" w:hAnsiTheme="majorBidi" w:cstheme="majorBidi"/>
          <w:b/>
          <w:noProof/>
          <w:u w:val="single"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 V</w:t>
      </w:r>
    </w:p>
    <w:p>
      <w:pPr>
        <w:jc w:val="center"/>
        <w:rPr>
          <w:b/>
          <w:noProof/>
        </w:rPr>
      </w:pPr>
      <w:r>
        <w:rPr>
          <w:b/>
          <w:noProof/>
        </w:rPr>
        <w:t>Образец на инспекционен вимпел на GFCM</w:t>
      </w:r>
    </w:p>
    <w:p>
      <w:pPr>
        <w:rPr>
          <w:b/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5761355" cy="3595535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59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noProof/>
        </w:rPr>
      </w:pPr>
    </w:p>
    <w:p>
      <w:pPr>
        <w:rPr>
          <w:noProof/>
        </w:rPr>
      </w:pPr>
      <w:r>
        <w:rPr>
          <w:noProof/>
        </w:rPr>
        <w:br w:type="page"/>
      </w:r>
    </w:p>
    <w:p>
      <w:pPr>
        <w:spacing w:before="0" w:after="200" w:line="276" w:lineRule="auto"/>
        <w:jc w:val="left"/>
        <w:rPr>
          <w:noProof/>
        </w:rPr>
      </w:pPr>
    </w:p>
    <w:p>
      <w:pPr>
        <w:jc w:val="center"/>
        <w:rPr>
          <w:noProof/>
          <w:u w:val="single"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 VI</w:t>
      </w:r>
    </w:p>
    <w:p>
      <w:pPr>
        <w:jc w:val="center"/>
        <w:rPr>
          <w:b/>
          <w:noProof/>
        </w:rPr>
      </w:pPr>
      <w:r>
        <w:rPr>
          <w:b/>
          <w:noProof/>
        </w:rPr>
        <w:t>Доклад от инспекция на GFCM</w:t>
      </w: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 xml:space="preserve">1. ИНСПЕКТОР(И) 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Име…………….……………………..… Договаряща страна …………….……………..... № на картата за самоличност на GFCM …………………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Име…………….……………………..… Договаряща страна …………….……………..... № на картата за самоличност на GFCM …………………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Име…………….……………………..… Договаряща страна …………….……………..... № на картата за самоличност на GFCM …………………</w:t>
      </w:r>
    </w:p>
    <w:p>
      <w:pPr>
        <w:rPr>
          <w:rFonts w:asciiTheme="majorBidi" w:hAnsiTheme="majorBidi" w:cstheme="majorBidi"/>
          <w:b/>
          <w:bCs/>
          <w:noProof/>
        </w:rPr>
      </w:pPr>
    </w:p>
    <w:p>
      <w:pPr>
        <w:rPr>
          <w:rFonts w:asciiTheme="majorBidi" w:hAnsiTheme="majorBidi" w:cstheme="majorBidi"/>
          <w:b/>
          <w:bCs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>2. КОРАБ, ПРЕВОЗВАЩ ИНСПЕКТОРА (ИНСПЕКТОРИТЕ)</w:t>
      </w:r>
    </w:p>
    <w:p>
      <w:pPr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 w:cstheme="majorBidi"/>
          <w:noProof/>
        </w:rPr>
        <w:t>2.1 Име и регистрация …………………………………………</w:t>
      </w:r>
    </w:p>
    <w:p>
      <w:pPr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 w:cstheme="majorBidi"/>
          <w:noProof/>
        </w:rPr>
        <w:t>2.2 Знаме …………................................................................</w:t>
      </w:r>
    </w:p>
    <w:p>
      <w:pPr>
        <w:rPr>
          <w:rFonts w:asciiTheme="majorBidi" w:hAnsiTheme="majorBidi" w:cstheme="majorBidi"/>
          <w:b/>
          <w:bCs/>
          <w:noProof/>
        </w:rPr>
      </w:pPr>
    </w:p>
    <w:p>
      <w:pPr>
        <w:rPr>
          <w:rFonts w:asciiTheme="majorBidi" w:hAnsiTheme="majorBidi" w:cstheme="majorBidi"/>
          <w:b/>
          <w:bCs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 xml:space="preserve">3. ИНФОРМАЦИЯ ЗА ИНСПЕКТИРАНИЯ КОРАБ 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3.1 Име и регистрация ……………………………………....…..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3.2 Знаме ................................................................................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3.3 Капитан (име и адрес) .......................................................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3.4 Собственик на кораба (име и адрес) ..................................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3.5 Регистрационен номер по GFCM .......................................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3.6 Вид на кораба ………………………………………...……....</w:t>
      </w: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b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>4. ПОЗИЦИЯ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4.1 Позиция, определена от капитана на инспектиращия кораб в ………UTC; географска ширина ………. географска дължина ......... 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4.2 Позиция, определена от капитана на риболовния кораб в ………UTC; географска ширина ………. географска дължина ......... </w:t>
      </w:r>
    </w:p>
    <w:p>
      <w:pPr>
        <w:rPr>
          <w:rFonts w:asciiTheme="majorBidi" w:hAnsiTheme="majorBidi" w:cstheme="majorBidi"/>
          <w:b/>
          <w:bCs/>
          <w:noProof/>
          <w:u w:val="single"/>
        </w:rPr>
      </w:pPr>
    </w:p>
    <w:p>
      <w:pPr>
        <w:rPr>
          <w:rFonts w:asciiTheme="majorBidi" w:hAnsiTheme="majorBidi" w:cstheme="majorBidi"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 xml:space="preserve">5. ДАТА И ЧАС НА НАЧАЛОТО И КРАЯ НА ИНСПЕКЦИЯТА 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5.1 Дата ……… Час на пристигане на борда ……… UTC — Час на напускане ……… UTC </w:t>
      </w:r>
    </w:p>
    <w:p>
      <w:pPr>
        <w:rPr>
          <w:rFonts w:asciiTheme="majorBidi" w:hAnsiTheme="majorBidi" w:cstheme="majorBidi"/>
          <w:b/>
          <w:bCs/>
          <w:noProof/>
        </w:rPr>
      </w:pPr>
    </w:p>
    <w:p>
      <w:pPr>
        <w:rPr>
          <w:rFonts w:asciiTheme="majorBidi" w:hAnsiTheme="majorBidi" w:cstheme="majorBidi"/>
          <w:noProof/>
          <w:u w:val="single"/>
        </w:rPr>
      </w:pPr>
    </w:p>
    <w:p>
      <w:pPr>
        <w:rPr>
          <w:rFonts w:asciiTheme="majorBidi" w:hAnsiTheme="majorBidi" w:cstheme="majorBidi"/>
          <w:noProof/>
          <w:u w:val="single"/>
        </w:rPr>
      </w:pPr>
    </w:p>
    <w:p>
      <w:pPr>
        <w:rPr>
          <w:rFonts w:asciiTheme="majorBidi" w:hAnsiTheme="majorBidi" w:cstheme="majorBidi"/>
          <w:noProof/>
          <w:u w:val="single"/>
        </w:rPr>
      </w:pPr>
    </w:p>
    <w:p>
      <w:pPr>
        <w:rPr>
          <w:rFonts w:asciiTheme="majorBidi" w:hAnsiTheme="majorBidi" w:cstheme="majorBidi"/>
          <w:noProof/>
          <w:u w:val="single"/>
        </w:rPr>
      </w:pPr>
      <w:r>
        <w:rPr>
          <w:rFonts w:asciiTheme="majorBidi" w:hAnsiTheme="majorBidi" w:cstheme="majorBidi"/>
          <w:noProof/>
          <w:u w:val="single"/>
        </w:rPr>
        <w:t xml:space="preserve">6. </w:t>
      </w:r>
      <w:r>
        <w:rPr>
          <w:rFonts w:asciiTheme="majorBidi" w:hAnsiTheme="majorBidi" w:cstheme="majorBidi"/>
          <w:b/>
          <w:noProof/>
          <w:u w:val="single"/>
        </w:rPr>
        <w:t>ВИД НА РИБОЛОВНИТЕ УРЕДИ НА БОРДА</w:t>
      </w:r>
      <w:r>
        <w:rPr>
          <w:rFonts w:asciiTheme="majorBidi" w:hAnsiTheme="majorBidi" w:cstheme="majorBidi"/>
          <w:noProof/>
          <w:u w:val="single"/>
        </w:rPr>
        <w:t xml:space="preserve"> </w:t>
      </w:r>
    </w:p>
    <w:tbl>
      <w:tblPr>
        <w:tblStyle w:val="TableGrid"/>
        <w:tblW w:w="0" w:type="auto"/>
        <w:tblInd w:w="510" w:type="dxa"/>
        <w:tblLook w:val="04A0" w:firstRow="1" w:lastRow="0" w:firstColumn="1" w:lastColumn="0" w:noHBand="0" w:noVBand="1"/>
      </w:tblPr>
      <w:tblGrid>
        <w:gridCol w:w="2933"/>
        <w:gridCol w:w="436"/>
      </w:tblGrid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 xml:space="preserve">Дънен трал — OTB 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Пелагичен трал — ОТМ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Тралове за скариди — TBS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Мрежа гъргър — PS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Закотвени хрилни мрежи — GNS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Парагади и кърмаци — LLS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Уреди за любителски риболов — RG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2933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Други (да се посочи)</w:t>
            </w:r>
          </w:p>
        </w:tc>
        <w:tc>
          <w:tcPr>
            <w:tcW w:w="436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</w:tbl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b/>
          <w:bCs/>
          <w:noProof/>
          <w:u w:val="single"/>
        </w:rPr>
      </w:pPr>
      <w:r>
        <w:rPr>
          <w:rFonts w:asciiTheme="majorBidi" w:hAnsiTheme="majorBidi" w:cstheme="majorBidi"/>
          <w:noProof/>
          <w:u w:val="single"/>
        </w:rPr>
        <w:t xml:space="preserve">7. </w:t>
      </w:r>
      <w:r>
        <w:rPr>
          <w:rFonts w:asciiTheme="majorBidi" w:hAnsiTheme="majorBidi" w:cstheme="majorBidi"/>
          <w:b/>
          <w:noProof/>
          <w:u w:val="single"/>
        </w:rPr>
        <w:t xml:space="preserve">РАЗМЕР НА ОКОТО НА МРЕЖАТА — В МИЛИМЕТРИ </w:t>
      </w:r>
    </w:p>
    <w:p>
      <w:pPr>
        <w:rPr>
          <w:rFonts w:asciiTheme="majorBidi" w:hAnsiTheme="majorBidi" w:cstheme="majorBidi"/>
          <w:bCs/>
          <w:noProof/>
        </w:rPr>
      </w:pPr>
      <w:r>
        <w:rPr>
          <w:rFonts w:asciiTheme="majorBidi" w:hAnsiTheme="majorBidi" w:cstheme="majorBidi"/>
          <w:noProof/>
        </w:rPr>
        <w:t>7.1 Нормативно установен размер на окото: ……………...……mm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7.2 Резултат от усреднените измервания на окото: ……………mm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7.3 Нарушение: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Ако ДА — препратка към съответното законодателство:</w:t>
      </w:r>
    </w:p>
    <w:p>
      <w:pPr>
        <w:rPr>
          <w:rFonts w:asciiTheme="majorBidi" w:hAnsiTheme="majorBidi" w:cstheme="majorBidi"/>
          <w:b/>
          <w:noProof/>
          <w:u w:val="single"/>
        </w:rPr>
      </w:pPr>
    </w:p>
    <w:p>
      <w:pPr>
        <w:rPr>
          <w:rFonts w:asciiTheme="majorBidi" w:hAnsiTheme="majorBidi" w:cstheme="majorBidi"/>
          <w:b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>8. ИНСПЕКЦИЯ НА УЛОВА, СЪХРАНЯВАН НА БОРДА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8.1 Резултати от инспекцията на рибата, съхранявана на борда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065"/>
        <w:gridCol w:w="1308"/>
        <w:gridCol w:w="1308"/>
        <w:gridCol w:w="1309"/>
        <w:gridCol w:w="1309"/>
      </w:tblGrid>
      <w:tr>
        <w:tc>
          <w:tcPr>
            <w:tcW w:w="1951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 xml:space="preserve">ВИД </w:t>
            </w:r>
          </w:p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(3-буквен код по ФАО)</w:t>
            </w:r>
          </w:p>
        </w:tc>
        <w:tc>
          <w:tcPr>
            <w:tcW w:w="992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Общо (в kg)</w:t>
            </w:r>
          </w:p>
        </w:tc>
        <w:tc>
          <w:tcPr>
            <w:tcW w:w="992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Представяне</w:t>
            </w:r>
          </w:p>
        </w:tc>
        <w:tc>
          <w:tcPr>
            <w:tcW w:w="992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Инспектирана извадка</w:t>
            </w:r>
          </w:p>
        </w:tc>
        <w:tc>
          <w:tcPr>
            <w:tcW w:w="992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  <w:tr>
        <w:tc>
          <w:tcPr>
            <w:tcW w:w="1951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>% риба под минималния размер</w:t>
            </w:r>
          </w:p>
        </w:tc>
        <w:tc>
          <w:tcPr>
            <w:tcW w:w="992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065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8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  <w:tc>
          <w:tcPr>
            <w:tcW w:w="1309" w:type="dxa"/>
          </w:tcPr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</w:tbl>
    <w:p>
      <w:pPr>
        <w:rPr>
          <w:rFonts w:asciiTheme="majorBidi" w:hAnsiTheme="majorBidi" w:cstheme="majorBidi"/>
          <w:noProof/>
          <w:lang w:val="en-US"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8.2 Нарушение: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Ако ДА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b/>
          <w:noProof/>
          <w:u w:val="single"/>
        </w:rPr>
      </w:pPr>
      <w:r>
        <w:rPr>
          <w:rFonts w:asciiTheme="majorBidi" w:hAnsiTheme="majorBidi" w:cstheme="majorBidi"/>
          <w:b/>
          <w:noProof/>
          <w:u w:val="single"/>
        </w:rPr>
        <w:t>9. ИНСПЕКЦИЯ НА НАЛИЧНИТЕ НА БОРДА ДОКУМЕНТИ И НА VMS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9.1 Риболовен дневник: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9.2 Нарушение: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Ако ДА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9.3 Разрешение за риболов: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9.4 Нарушение: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Ако ДА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9.5 Специално разрешение: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9.6 Нарушение: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Ако ДА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noProof/>
        </w:rPr>
        <w:t>9.7 VMS: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noProof/>
        </w:rPr>
        <w:t xml:space="preserve">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В изправност: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9.8 Нарушение: ДА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— НЕ </w:t>
      </w:r>
      <w:r>
        <w:rPr>
          <w:rFonts w:asciiTheme="majorBidi" w:hAnsiTheme="majorBidi" w:cstheme="majorBidi"/>
          <w:noProof/>
        </w:rPr>
        <w:sym w:font="Wingdings" w:char="F0A8"/>
      </w:r>
      <w:r>
        <w:rPr>
          <w:rFonts w:asciiTheme="majorBidi" w:hAnsiTheme="majorBidi" w:cstheme="majorBidi"/>
          <w:noProof/>
        </w:rPr>
        <w:t xml:space="preserve"> -------- Ако ДА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</w:p>
    <w:p>
      <w:pPr>
        <w:rPr>
          <w:rFonts w:asciiTheme="majorBidi" w:hAnsiTheme="majorBidi" w:cstheme="majorBidi"/>
          <w:b/>
          <w:noProof/>
          <w:u w:val="single"/>
        </w:rPr>
      </w:pPr>
      <w:r>
        <w:rPr>
          <w:rFonts w:asciiTheme="majorBidi" w:hAnsiTheme="majorBidi" w:cstheme="majorBidi"/>
          <w:b/>
          <w:noProof/>
        </w:rPr>
        <w:t xml:space="preserve">10. </w:t>
      </w:r>
      <w:r>
        <w:rPr>
          <w:rFonts w:asciiTheme="majorBidi" w:hAnsiTheme="majorBidi" w:cstheme="majorBidi"/>
          <w:b/>
          <w:noProof/>
          <w:u w:val="single"/>
        </w:rPr>
        <w:t>СПИСЪК НА НАРУШЕНИЯТА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Риболов без лиценз или разрешение, издадени от договарящата страна на знамето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Липса на достатъчно записи на улова и на свързаните с улова данни в съответствие с изискванията за докладване на GFCM или сериозни грешки при докладването на този улов и/или свързани с улова данни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□ Риболов в забранена зона — препратка към съответното законодателство: 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 xml:space="preserve">□ Риболов през забранен сезон — препратка към съответното законодателство: 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 Използване на забранен риболовен уред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Фалшифициране или умишлено замаскиране на маркировката, идентичността или регистрацията на риболовния кораб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Укриване, подправяне или унищожаване на доказателства, свързани с разследването на нарушение — препратка към съответното законодателство: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Многократни нарушения, които в своята съвкупност представляват сериозно незачитане на действащите мерки съгласно GFCM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Нападение, съпротива, заплахи, сексуален тормоз, намеса в работата, неправомерно възпрепятстване или забавяне на упълномощен инспектор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□ Намеса в системата за спътниково наблюдение и/или провеждане на дейност без VMS — препратка към съответното законодателство:</w:t>
      </w: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 xml:space="preserve">11. </w:t>
      </w:r>
      <w:r>
        <w:rPr>
          <w:rFonts w:asciiTheme="majorBidi" w:hAnsiTheme="majorBidi" w:cstheme="majorBidi"/>
          <w:b/>
          <w:caps/>
          <w:noProof/>
          <w:u w:val="single"/>
        </w:rPr>
        <w:t>Списък на документите, копирани на борда</w:t>
      </w: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</w:t>
      </w: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 xml:space="preserve">12. </w:t>
      </w:r>
      <w:r>
        <w:rPr>
          <w:rFonts w:asciiTheme="majorBidi" w:hAnsiTheme="majorBidi" w:cstheme="majorBidi"/>
          <w:b/>
          <w:caps/>
          <w:noProof/>
          <w:u w:val="single"/>
        </w:rPr>
        <w:t>Коментари и подпис на капитана на кораба</w:t>
      </w:r>
      <w:r>
        <w:rPr>
          <w:rFonts w:asciiTheme="majorBidi" w:hAnsiTheme="majorBidi" w:cstheme="majorBidi"/>
          <w:b/>
          <w:noProof/>
        </w:rPr>
        <w:t xml:space="preserve"> </w:t>
      </w: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</w:t>
      </w:r>
    </w:p>
    <w:p>
      <w:pPr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  <w:noProof/>
        </w:rPr>
        <w:t>Подпис на капитана: …………………………………………………………………..</w:t>
      </w: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b/>
          <w:noProof/>
        </w:rPr>
      </w:pP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 xml:space="preserve">13. </w:t>
      </w:r>
      <w:r>
        <w:rPr>
          <w:rFonts w:asciiTheme="majorBidi" w:hAnsiTheme="majorBidi" w:cstheme="majorBidi"/>
          <w:b/>
          <w:caps/>
          <w:noProof/>
          <w:u w:val="single"/>
        </w:rPr>
        <w:t>Коментари и подпис на инспектора (инспекторите)</w:t>
      </w:r>
      <w:r>
        <w:rPr>
          <w:rFonts w:asciiTheme="majorBidi" w:hAnsiTheme="majorBidi" w:cstheme="majorBidi"/>
          <w:b/>
          <w:noProof/>
        </w:rPr>
        <w:t xml:space="preserve"> </w:t>
      </w:r>
    </w:p>
    <w:p>
      <w:pPr>
        <w:rPr>
          <w:rFonts w:asciiTheme="majorBidi" w:hAnsiTheme="majorBidi" w:cstheme="majorBidi"/>
          <w:b/>
          <w:noProof/>
        </w:rPr>
      </w:pPr>
      <w:r>
        <w:rPr>
          <w:rFonts w:asciiTheme="majorBidi" w:hAnsiTheme="majorBidi" w:cstheme="majorBidi"/>
          <w:b/>
          <w:noProof/>
        </w:rPr>
        <w:t>……………………………………………………………………………………………………………………………………………………..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10"/>
      </w:tblGrid>
      <w:tr>
        <w:trPr>
          <w:trHeight w:val="882"/>
        </w:trPr>
        <w:tc>
          <w:tcPr>
            <w:tcW w:w="6110" w:type="dxa"/>
          </w:tcPr>
          <w:p>
            <w:pPr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t xml:space="preserve">Подпис на инспектора (инспекторите):  …………………………………………………………. </w:t>
            </w:r>
          </w:p>
          <w:p>
            <w:pPr>
              <w:rPr>
                <w:rFonts w:asciiTheme="majorBidi" w:hAnsiTheme="majorBidi" w:cstheme="majorBidi"/>
                <w:noProof/>
              </w:rPr>
            </w:pPr>
          </w:p>
        </w:tc>
      </w:tr>
    </w:tbl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jc w:val="center"/>
        <w:rPr>
          <w:noProof/>
          <w:u w:val="single"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ПРИЛОЖЕНИЕ VII</w:t>
      </w:r>
    </w:p>
    <w:p>
      <w:pPr>
        <w:ind w:left="850"/>
        <w:jc w:val="center"/>
        <w:rPr>
          <w:b/>
          <w:noProof/>
        </w:rPr>
      </w:pPr>
      <w:r>
        <w:rPr>
          <w:b/>
          <w:noProof/>
        </w:rPr>
        <w:t>Доклад на GFCM относно забелязани кораби</w:t>
      </w:r>
    </w:p>
    <w:p>
      <w:pPr>
        <w:ind w:left="850"/>
        <w:rPr>
          <w:noProof/>
        </w:rPr>
      </w:pPr>
    </w:p>
    <w:p>
      <w:pPr>
        <w:ind w:left="850"/>
        <w:rPr>
          <w:noProof/>
        </w:rPr>
      </w:pPr>
      <w:r>
        <w:rPr>
          <w:noProof/>
        </w:rPr>
        <w:t>1. Дата (или дати), на която е забелязан съответният кораб: ……/……/…….. Час:…………………UTC</w:t>
      </w:r>
    </w:p>
    <w:p>
      <w:pPr>
        <w:ind w:left="850"/>
        <w:rPr>
          <w:noProof/>
        </w:rPr>
      </w:pPr>
      <w:r>
        <w:rPr>
          <w:noProof/>
        </w:rPr>
        <w:t>2. Позиция на забелязания кораб: географска ширина ......................... — географска дължина .................................</w:t>
      </w:r>
    </w:p>
    <w:p>
      <w:pPr>
        <w:ind w:left="850"/>
        <w:rPr>
          <w:noProof/>
        </w:rPr>
      </w:pPr>
      <w:r>
        <w:rPr>
          <w:noProof/>
        </w:rPr>
        <w:t>3. Курс: …………………….. — Скорост: …………………………..</w:t>
      </w:r>
    </w:p>
    <w:p>
      <w:pPr>
        <w:ind w:left="850"/>
        <w:rPr>
          <w:noProof/>
        </w:rPr>
      </w:pPr>
      <w:r>
        <w:rPr>
          <w:noProof/>
        </w:rPr>
        <w:t>4. Име на забелязания кораб:</w:t>
      </w:r>
    </w:p>
    <w:p>
      <w:pPr>
        <w:ind w:left="850"/>
        <w:rPr>
          <w:noProof/>
        </w:rPr>
      </w:pPr>
      <w:r>
        <w:rPr>
          <w:noProof/>
        </w:rPr>
        <w:t>5. Знаме на забелязания кораб:</w:t>
      </w:r>
    </w:p>
    <w:p>
      <w:pPr>
        <w:ind w:left="850"/>
        <w:rPr>
          <w:noProof/>
        </w:rPr>
      </w:pPr>
      <w:r>
        <w:rPr>
          <w:noProof/>
        </w:rPr>
        <w:t>6. Външен номер/маркировка:</w:t>
      </w:r>
    </w:p>
    <w:p>
      <w:pPr>
        <w:ind w:left="850"/>
        <w:rPr>
          <w:noProof/>
        </w:rPr>
      </w:pPr>
      <w:r>
        <w:rPr>
          <w:noProof/>
        </w:rPr>
        <w:t xml:space="preserve">7. Вид на кораба: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Риболовен кораб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Транспортен кораб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Хладилен кораб 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Друг (посочва се)</w:t>
      </w:r>
    </w:p>
    <w:p>
      <w:pPr>
        <w:ind w:left="850"/>
        <w:rPr>
          <w:noProof/>
        </w:rPr>
      </w:pPr>
      <w:r>
        <w:rPr>
          <w:noProof/>
        </w:rPr>
        <w:t>8. Международна радиопозивна:</w:t>
      </w:r>
    </w:p>
    <w:p>
      <w:pPr>
        <w:ind w:left="850"/>
        <w:rPr>
          <w:noProof/>
        </w:rPr>
      </w:pPr>
      <w:r>
        <w:rPr>
          <w:noProof/>
        </w:rPr>
        <w:t>9. Номер по ММО (когато е приложимо):</w:t>
      </w:r>
    </w:p>
    <w:p>
      <w:pPr>
        <w:ind w:left="850"/>
        <w:rPr>
          <w:noProof/>
        </w:rPr>
      </w:pPr>
      <w:r>
        <w:rPr>
          <w:noProof/>
        </w:rPr>
        <w:t>10. Дейност(и):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Риболов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Плаване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Дрейфуване</w:t>
      </w:r>
    </w:p>
    <w:p>
      <w:pPr>
        <w:ind w:left="850"/>
        <w:rPr>
          <w:noProof/>
        </w:rPr>
      </w:pPr>
      <w:r>
        <w:rPr>
          <w:noProof/>
        </w:rPr>
        <w:sym w:font="Wingdings" w:char="F0A8"/>
      </w:r>
      <w:r>
        <w:rPr>
          <w:noProof/>
        </w:rPr>
        <w:t xml:space="preserve"> Трансбордиране</w:t>
      </w:r>
    </w:p>
    <w:p>
      <w:pPr>
        <w:ind w:left="850"/>
        <w:rPr>
          <w:noProof/>
        </w:rPr>
      </w:pPr>
    </w:p>
    <w:p>
      <w:pPr>
        <w:ind w:left="850"/>
        <w:rPr>
          <w:noProof/>
        </w:rPr>
      </w:pPr>
      <w:r>
        <w:rPr>
          <w:noProof/>
        </w:rPr>
        <w:t xml:space="preserve">11. Радиоконтакт: </w:t>
      </w:r>
      <w:r>
        <w:rPr>
          <w:noProof/>
        </w:rPr>
        <w:sym w:font="Wingdings" w:char="F0A8"/>
      </w:r>
      <w:r>
        <w:rPr>
          <w:noProof/>
        </w:rPr>
        <w:t xml:space="preserve"> ДА — </w:t>
      </w:r>
      <w:r>
        <w:rPr>
          <w:noProof/>
        </w:rPr>
        <w:sym w:font="Wingdings" w:char="F0A8"/>
      </w:r>
      <w:r>
        <w:rPr>
          <w:noProof/>
        </w:rPr>
        <w:t xml:space="preserve"> НЕ</w:t>
      </w:r>
    </w:p>
    <w:p>
      <w:pPr>
        <w:ind w:left="850"/>
        <w:rPr>
          <w:noProof/>
        </w:rPr>
      </w:pPr>
    </w:p>
    <w:p>
      <w:pPr>
        <w:ind w:left="850"/>
        <w:rPr>
          <w:noProof/>
        </w:rPr>
      </w:pPr>
      <w:r>
        <w:rPr>
          <w:noProof/>
        </w:rPr>
        <w:t>12. Име и гражданство на капитана на забелязания кораб: …………………………………………..</w:t>
      </w:r>
    </w:p>
    <w:p>
      <w:pPr>
        <w:ind w:left="850"/>
        <w:rPr>
          <w:noProof/>
        </w:rPr>
      </w:pPr>
    </w:p>
    <w:p>
      <w:pPr>
        <w:ind w:left="850"/>
        <w:rPr>
          <w:noProof/>
        </w:rPr>
      </w:pPr>
      <w:r>
        <w:rPr>
          <w:noProof/>
        </w:rPr>
        <w:t>13. Брой лица на борда на забелязания кораб: ……………………………………………………………..</w:t>
      </w:r>
    </w:p>
    <w:p>
      <w:pPr>
        <w:ind w:left="850"/>
        <w:rPr>
          <w:noProof/>
        </w:rPr>
      </w:pPr>
    </w:p>
    <w:p>
      <w:pPr>
        <w:ind w:left="850"/>
        <w:rPr>
          <w:noProof/>
        </w:rPr>
      </w:pPr>
      <w:r>
        <w:rPr>
          <w:noProof/>
        </w:rPr>
        <w:t>14. Улов на борда на забелязания кораб: ……………………………………………………………………………………</w:t>
      </w:r>
    </w:p>
    <w:p>
      <w:pPr>
        <w:ind w:left="850"/>
        <w:rPr>
          <w:noProof/>
        </w:rPr>
      </w:pPr>
    </w:p>
    <w:p>
      <w:pPr>
        <w:ind w:left="850"/>
        <w:rPr>
          <w:noProof/>
        </w:rPr>
      </w:pPr>
      <w:r>
        <w:rPr>
          <w:noProof/>
        </w:rPr>
        <w:t>15. Събрал информацията:</w:t>
      </w:r>
    </w:p>
    <w:p>
      <w:pPr>
        <w:ind w:left="850"/>
        <w:rPr>
          <w:noProof/>
        </w:rPr>
      </w:pPr>
      <w:r>
        <w:rPr>
          <w:noProof/>
        </w:rPr>
        <w:t>Име на инспектора:</w:t>
      </w:r>
    </w:p>
    <w:p>
      <w:pPr>
        <w:ind w:left="850"/>
        <w:rPr>
          <w:noProof/>
        </w:rPr>
      </w:pPr>
      <w:r>
        <w:rPr>
          <w:noProof/>
        </w:rPr>
        <w:t>Договаряща страна:</w:t>
      </w:r>
    </w:p>
    <w:p>
      <w:pPr>
        <w:ind w:left="850"/>
        <w:rPr>
          <w:noProof/>
        </w:rPr>
      </w:pPr>
      <w:r>
        <w:rPr>
          <w:noProof/>
        </w:rPr>
        <w:t>Номер на картата за самоличност на GFCM:</w:t>
      </w:r>
    </w:p>
    <w:p>
      <w:pPr>
        <w:ind w:left="850"/>
        <w:rPr>
          <w:noProof/>
        </w:rPr>
      </w:pPr>
      <w:r>
        <w:rPr>
          <w:noProof/>
        </w:rPr>
        <w:t>Име на патрулния кораб:</w:t>
      </w:r>
    </w:p>
    <w:p>
      <w:pPr>
        <w:ind w:left="850"/>
        <w:rPr>
          <w:noProof/>
        </w:rPr>
      </w:pPr>
    </w:p>
    <w:p>
      <w:pPr>
        <w:spacing w:before="0" w:after="200" w:line="276" w:lineRule="auto"/>
        <w:jc w:val="left"/>
        <w:rPr>
          <w:noProof/>
        </w:rPr>
      </w:pPr>
      <w:r>
        <w:rPr>
          <w:noProof/>
        </w:rPr>
        <w:br w:type="page"/>
      </w:r>
    </w:p>
    <w:p>
      <w:pPr>
        <w:spacing w:before="0" w:after="200" w:line="276" w:lineRule="auto"/>
        <w:jc w:val="left"/>
        <w:rPr>
          <w:noProof/>
        </w:rPr>
      </w:pPr>
    </w:p>
    <w:p>
      <w:pPr>
        <w:ind w:left="850"/>
        <w:rPr>
          <w:noProof/>
        </w:rPr>
      </w:pPr>
    </w:p>
    <w:p>
      <w:pPr>
        <w:autoSpaceDE w:val="0"/>
        <w:autoSpaceDN w:val="0"/>
        <w:adjustRightInd w:val="0"/>
        <w:spacing w:after="240"/>
        <w:jc w:val="center"/>
        <w:rPr>
          <w:rFonts w:eastAsia="Times New Roman"/>
          <w:b/>
          <w:noProof/>
          <w:szCs w:val="24"/>
          <w:u w:val="single"/>
        </w:rPr>
      </w:pPr>
      <w:r>
        <w:rPr>
          <w:noProof/>
        </w:rPr>
        <w:t xml:space="preserve"> </w:t>
      </w:r>
      <w:r>
        <w:rPr>
          <w:b/>
          <w:noProof/>
          <w:u w:val="single"/>
        </w:rPr>
        <w:t>ПРИЛОЖЕНИЕ VIII</w:t>
      </w:r>
    </w:p>
    <w:p>
      <w:pPr>
        <w:autoSpaceDE w:val="0"/>
        <w:autoSpaceDN w:val="0"/>
        <w:adjustRightInd w:val="0"/>
        <w:spacing w:after="240"/>
        <w:jc w:val="center"/>
        <w:rPr>
          <w:rFonts w:eastAsia="Times New Roman"/>
          <w:b/>
          <w:noProof/>
          <w:szCs w:val="24"/>
        </w:rPr>
      </w:pPr>
      <w:r>
        <w:rPr>
          <w:b/>
          <w:noProof/>
        </w:rPr>
        <w:t>Данни, които трябва да бъдат включени в списъка на корабите, извършващи целеви риболов на червенопер пагел</w:t>
      </w:r>
    </w:p>
    <w:p>
      <w:pPr>
        <w:autoSpaceDE w:val="0"/>
        <w:autoSpaceDN w:val="0"/>
        <w:adjustRightInd w:val="0"/>
        <w:spacing w:after="240"/>
        <w:rPr>
          <w:rFonts w:eastAsia="Times New Roman"/>
          <w:noProof/>
          <w:color w:val="000000"/>
          <w:szCs w:val="24"/>
        </w:rPr>
      </w:pPr>
      <w:r>
        <w:rPr>
          <w:noProof/>
        </w:rPr>
        <w:t>Списъкът, посочен в член 22и, трябва съдържа следната информация за всеки кораб:</w:t>
      </w:r>
    </w:p>
    <w:p>
      <w:pPr>
        <w:pStyle w:val="Tiret0"/>
        <w:numPr>
          <w:ilvl w:val="0"/>
          <w:numId w:val="9"/>
        </w:numPr>
        <w:rPr>
          <w:noProof/>
        </w:rPr>
      </w:pPr>
      <w:r>
        <w:rPr>
          <w:noProof/>
        </w:rPr>
        <w:t xml:space="preserve">име на кораба; </w:t>
      </w:r>
    </w:p>
    <w:p>
      <w:pPr>
        <w:pStyle w:val="Tiret0"/>
        <w:rPr>
          <w:noProof/>
        </w:rPr>
      </w:pPr>
      <w:r>
        <w:rPr>
          <w:noProof/>
        </w:rPr>
        <w:t>регистрационен номер на кораба (код, определен от договарящата страна);</w:t>
      </w:r>
    </w:p>
    <w:p>
      <w:pPr>
        <w:pStyle w:val="Tiret0"/>
        <w:rPr>
          <w:noProof/>
        </w:rPr>
      </w:pPr>
      <w:r>
        <w:rPr>
          <w:noProof/>
        </w:rPr>
        <w:t>регистрационен номер по GFCM (3-буквен код на държавата по ISO + 9 цифри — например xxx000000001);</w:t>
      </w:r>
    </w:p>
    <w:p>
      <w:pPr>
        <w:pStyle w:val="Tiret0"/>
        <w:rPr>
          <w:noProof/>
        </w:rPr>
      </w:pPr>
      <w:r>
        <w:rPr>
          <w:noProof/>
        </w:rPr>
        <w:t>пристанище на регистрация (пълно наименование на пристанището);</w:t>
      </w:r>
    </w:p>
    <w:p>
      <w:pPr>
        <w:pStyle w:val="Tiret0"/>
        <w:rPr>
          <w:noProof/>
        </w:rPr>
      </w:pPr>
      <w:r>
        <w:rPr>
          <w:noProof/>
        </w:rPr>
        <w:t xml:space="preserve">предишно име (ако има такова); </w:t>
      </w:r>
    </w:p>
    <w:p>
      <w:pPr>
        <w:pStyle w:val="Tiret0"/>
        <w:rPr>
          <w:noProof/>
        </w:rPr>
      </w:pPr>
      <w:r>
        <w:rPr>
          <w:noProof/>
        </w:rPr>
        <w:t xml:space="preserve">предишно знаме (ако има такова); </w:t>
      </w:r>
    </w:p>
    <w:p>
      <w:pPr>
        <w:pStyle w:val="Tiret0"/>
        <w:rPr>
          <w:noProof/>
        </w:rPr>
      </w:pPr>
      <w:r>
        <w:rPr>
          <w:noProof/>
        </w:rPr>
        <w:t xml:space="preserve">предишни данни за заличаването от други регистри (ако има такива); </w:t>
      </w:r>
    </w:p>
    <w:p>
      <w:pPr>
        <w:pStyle w:val="Tiret0"/>
        <w:rPr>
          <w:noProof/>
        </w:rPr>
      </w:pPr>
      <w:r>
        <w:rPr>
          <w:noProof/>
        </w:rPr>
        <w:t>международна радиопозивна (ако има такава);</w:t>
      </w:r>
    </w:p>
    <w:p>
      <w:pPr>
        <w:pStyle w:val="Tiret0"/>
        <w:rPr>
          <w:noProof/>
        </w:rPr>
      </w:pPr>
      <w:r>
        <w:rPr>
          <w:noProof/>
        </w:rPr>
        <w:t>VMS (да се посочи — ДА/НЕ);</w:t>
      </w:r>
    </w:p>
    <w:p>
      <w:pPr>
        <w:pStyle w:val="Tiret0"/>
        <w:rPr>
          <w:noProof/>
        </w:rPr>
      </w:pPr>
      <w:r>
        <w:rPr>
          <w:noProof/>
        </w:rPr>
        <w:t>вид на кораба, обща дължина (LOA) и бруто тонаж (GT) и/или бруто регистриран тонаж (GRT) и мощността на двигателя, изразена в kW;</w:t>
      </w:r>
    </w:p>
    <w:p>
      <w:pPr>
        <w:pStyle w:val="Tiret0"/>
        <w:rPr>
          <w:noProof/>
        </w:rPr>
      </w:pPr>
      <w:r>
        <w:rPr>
          <w:noProof/>
        </w:rPr>
        <w:t>име и адрес на собственика (или собствениците) и оператора (или операторите);</w:t>
      </w:r>
    </w:p>
    <w:p>
      <w:pPr>
        <w:pStyle w:val="Tiret0"/>
        <w:rPr>
          <w:noProof/>
        </w:rPr>
      </w:pPr>
      <w:r>
        <w:rPr>
          <w:noProof/>
        </w:rPr>
        <w:t>основен уред (или уреди), използван за риболова на червенопер пагел, категория на съответния сегмент на флота и операционна единица съгласно определението в DCRF;</w:t>
      </w:r>
    </w:p>
    <w:p>
      <w:pPr>
        <w:pStyle w:val="Tiret0"/>
        <w:rPr>
          <w:noProof/>
        </w:rPr>
      </w:pPr>
      <w:r>
        <w:rPr>
          <w:noProof/>
        </w:rPr>
        <w:t>период, в който е разрешен риболовът на червенопер пагел“.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  <w:p/>
  </w:endnote>
  <w:endnote w:type="continuationSeparator" w:id="0">
    <w:p>
      <w:pPr>
        <w:spacing w:before="0" w:after="0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  <w:p/>
  </w:footnote>
  <w:footnote w:type="continuationSeparator" w:id="0">
    <w:p>
      <w:pPr>
        <w:spacing w:before="0" w:after="0"/>
      </w:pPr>
      <w:r>
        <w:continuationSeparator/>
      </w:r>
    </w:p>
    <w:p/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 </w:t>
      </w:r>
      <w:hyperlink r:id="rId1">
        <w:r>
          <w:rPr>
            <w:rStyle w:val="Hyperlink"/>
          </w:rPr>
          <w:t>1343/2011</w:t>
        </w:r>
      </w:hyperlink>
      <w:r>
        <w:t xml:space="preserve"> на Европейския парламент и на Съвета от 13 декември 2011 г. относно определени разпоредби за риболова в зоната по Споразумението за GFCM (Генералната комисия по рибарство в Средиземно море) и за изменение на Регламент (ЕО) № 1967/2006 на Съвета относно мерките за управление на устойчивата експлоатация на рибните ресурси в Средиземно море (ОВ L 347, 30.12.2011 г., стр. 44).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2015/2102 на Европейския парламент и на Съвета от 28 октомври 2015 г. за изменение на Регламент (ЕС) № 1343/2011 относно определени разпоредби за риболова в зоната по Споразумението за GFCM (Генералната комисия по рибарство в Средиземно море) (ОВ L 308, 28.11.2015 г., стр. 1—10).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1967/2006 на Съвета от 21 декември 2006 г. относно мерките за управление на устойчивата експлоатация на рибните ресурси в Средиземно море, за изменение на Регламент (ЕИО) № 2847/93 и за отмяна на Регламент (ЕО) № 1626/94 (ОВ L 409, 30.12.2006 г., стр. 11).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26/2004 на Комисията от 30 декември 2003 г. относно регистъра на риболовния флот на Общността (ОВ L 5, 9.1.2004 г., стр. 25).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от 29 септември 2008 г.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 L 343, 22.12.2009 г., стр. 1).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404/2011 на Комисията от 8 април 2011 г. за определяне на подробни правила за прилагането на Регламент (ЕО) № 1224/2009 на Съвета за създаване на система за контрол на Общността за гарантиране на спазването на правилата на общата политика в областта на рибарството (ОВ L 112, 30.4.2011 г., стр. 1).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от 29 септември 2008 г.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 L 343, 22.12.2009 г., стр. 1).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404/2011 на Комисията от 8 април 2011 г. за определяне на подробни правила за прилагането на Регламент (ЕО) № 1224/2009 на Съвета за създаване на система за контрол на Общността за гарантиране на спазването на правилата на общата политика в областта на рибарството (ОВ L 112, 30.4.2011 г., стр. 1).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1224/2009 на Съвета от 20 ноември 2009 г. за създаване на система за контрол на Общността за гарантиране на спазването на правилата на общата политика в областта на рибарството, за изменение на регламенти (ЕО) № 847/96, (ЕО) № 2371/2002, (ЕО) № 811/2004, (ЕО) № 768/2005, (ЕО) № 2115/2005, (ЕО) № 2166/2005, (ЕО) № 388/2006, (ЕО) № 509/2007, (ЕО) № 676/2007, (ЕО) № 1098/2007, (ЕО) № 1300/2008, (ЕО) № 1342/2008 и за отмяна на регламенти (ЕИО) № 2847/93, (ЕО) № 1627/94 и (ЕО) № 1966/2006 (ОВ L 343, 22.12.2009 г., стр. 1).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Регламент за изпълнение (ЕС) № 404/2011 на Комисията от 8 април 2011 г. за определяне на подробни правила за прилагането на Регламент (ЕО) № 1224/2009 на Съвета за създаване на система за контрол на Общността за гарантиране на спазването на правилата на общата политика в областта на рибарството (ОВ L 112, 30.4.2011 г., стр. 1).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от 29 септември 2008 г.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884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AB2A8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50C0B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CEA48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2C0E77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04E64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A246C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8415E7"/>
    <w:multiLevelType w:val="multilevel"/>
    <w:tmpl w:val="92100ADA"/>
    <w:name w:val="0,242149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</w:num>
  <w:num w:numId="30">
    <w:abstractNumId w:val="18"/>
  </w:num>
  <w:num w:numId="31">
    <w:abstractNumId w:val="11"/>
  </w:num>
  <w:num w:numId="32">
    <w:abstractNumId w:val="20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7"/>
  </w:num>
  <w:num w:numId="38">
    <w:abstractNumId w:val="14"/>
  </w:num>
  <w:num w:numId="39">
    <w:abstractNumId w:val="16"/>
  </w:num>
  <w:num w:numId="40">
    <w:abstractNumId w:val="17"/>
  </w:num>
  <w:num w:numId="41">
    <w:abstractNumId w:val="9"/>
  </w:num>
  <w:num w:numId="42">
    <w:abstractNumId w:val="15"/>
  </w:num>
  <w:num w:numId="4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3-13 12:08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5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5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AC9FFC00-F1C0-43BD-B9D4-107A48F1D7C3"/>
    <w:docVar w:name="LW_COVERPAGE_TYPE" w:val="1"/>
    <w:docVar w:name="LW_CROSSREFERENCE" w:val="&lt;UNUSED&gt;"/>
    <w:docVar w:name="LW_DocType" w:val="COM"/>
    <w:docVar w:name="LW_EMISSION" w:val="22.3.2018"/>
    <w:docVar w:name="LW_EMISSION_ISODATE" w:val="2018-03-22"/>
    <w:docVar w:name="LW_EMISSION_LOCATION" w:val="BRX"/>
    <w:docVar w:name="LW_EMISSION_PREFIX" w:val="\u1041?\u1088?\u1102?\u1082?\u1089?\u1077?\u1083?, "/>
    <w:docVar w:name="LW_EMISSION_SUFFIX" w:val="&lt;EMPTY&gt;"/>
    <w:docVar w:name="LW_ID_DOCMODEL" w:val="SJ-023"/>
    <w:docVar w:name="LW_ID_DOCSIGNATURE" w:val="SJ-023"/>
    <w:docVar w:name="LW_ID_DOCSTRUCTURE" w:val="COM/PL/ORG"/>
    <w:docVar w:name="LW_ID_DOCTYPE" w:val="SJ-023"/>
    <w:docVar w:name="LW_ID_EXP.MOTIFS.NEW" w:val="EM_PL_"/>
    <w:docVar w:name="LW_ID_STATUT" w:val="SJ-023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069"/>
    <w:docVar w:name="LW_REF.II.NEW.CP_YEAR" w:val="2018"/>
    <w:docVar w:name="LW_REF.INST.NEW" w:val="COM"/>
    <w:docVar w:name="LW_REF.INST.NEW_ADOPTED" w:val="final"/>
    <w:docVar w:name="LW_REF.INST.NEW_TEXT" w:val="(2018) 1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75?\u1083?\u1072?\u1084?\u1077?\u1085?\u1090? (\u1045?\u1057?) \u8470? 1343/2011 \u1086?\u1090?\u1085?\u1086?\u1089?\u1085?\u1086? \u1086?\u1087?\u1088?\u1077?\u1076?\u1077?\u1083?\u1077?\u1085?\u1080? \u1088?\u1072?\u1079?\u1087?\u1086?\u1088?\u1077?\u1076?\u1073?\u1080? \u1079?\u1072? \u1088?\u1080?\u1073?\u1086?\u1083?\u1086?\u1074?\u1072? \u1074? \u1079?\u1086?\u1085?\u1072?\u1090?\u1072? \u1087?\u1086? \u1057?\u1087?\u1086?\u1088?\u1072?\u1079?\u1091?\u1084?\u1077?\u1085?\u1080?\u1077?\u1090?\u1086? \u1079?\u1072? GFCM (\u1043?\u1077?\u1085?\u1077?\u1088?\u1072?\u1083?\u1085?\u1072?\u1090?\u1072? \u1082?\u1086?\u1084?\u1080?\u1089?\u1080?\u1103? \u1087?\u1086? \u1088?\u1080?\u1073?\u1072?\u1088?\u1089?\u1090?\u1074?\u1086? \u1074? \u1057?\u1088?\u1077?\u1076?\u1080?\u1079?\u1077?\u1084?\u1085?\u1086? \u1084?\u1086?\u1088?\u1077?)"/>
    <w:docVar w:name="LW_TYPE.DOC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Number">
    <w:name w:val="List Number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tyle1">
    <w:name w:val="Style1"/>
    <w:basedOn w:val="NumPar1"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0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0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Number">
    <w:name w:val="List Number"/>
    <w:basedOn w:val="Normal"/>
    <w:pPr>
      <w:numPr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Level2">
    <w:name w:val="List Number (Level 2)"/>
    <w:basedOn w:val="Normal"/>
    <w:pPr>
      <w:numPr>
        <w:ilvl w:val="1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Level3">
    <w:name w:val="List Number (Level 3)"/>
    <w:basedOn w:val="Normal"/>
    <w:pPr>
      <w:numPr>
        <w:ilvl w:val="2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ListNumberLevel4">
    <w:name w:val="List Number (Level 4)"/>
    <w:basedOn w:val="Normal"/>
    <w:pPr>
      <w:numPr>
        <w:ilvl w:val="3"/>
        <w:numId w:val="5"/>
      </w:numPr>
      <w:spacing w:before="0" w:after="240"/>
    </w:pPr>
    <w:rPr>
      <w:rFonts w:eastAsia="Times New Roman"/>
      <w:szCs w:val="20"/>
    </w:rPr>
  </w:style>
  <w:style w:type="paragraph" w:customStyle="1" w:styleId="doc-ti">
    <w:name w:val="doc-ti"/>
    <w:basedOn w:val="Normal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Style1">
    <w:name w:val="Style1"/>
    <w:basedOn w:val="NumPar1"/>
    <w:qFormat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0"/>
      </w:numPr>
    </w:pPr>
  </w:style>
  <w:style w:type="paragraph" w:customStyle="1" w:styleId="Tiret1">
    <w:name w:val="Tiret 1"/>
    <w:basedOn w:val="Point1"/>
    <w:pPr>
      <w:numPr>
        <w:numId w:val="31"/>
      </w:numPr>
    </w:pPr>
  </w:style>
  <w:style w:type="paragraph" w:customStyle="1" w:styleId="Tiret2">
    <w:name w:val="Tiret 2"/>
    <w:basedOn w:val="Point2"/>
    <w:pPr>
      <w:numPr>
        <w:numId w:val="32"/>
      </w:numPr>
    </w:pPr>
  </w:style>
  <w:style w:type="paragraph" w:customStyle="1" w:styleId="Tiret3">
    <w:name w:val="Tiret 3"/>
    <w:basedOn w:val="Point3"/>
    <w:pPr>
      <w:numPr>
        <w:numId w:val="33"/>
      </w:numPr>
    </w:pPr>
  </w:style>
  <w:style w:type="paragraph" w:customStyle="1" w:styleId="Tiret4">
    <w:name w:val="Tiret 4"/>
    <w:basedOn w:val="Point4"/>
    <w:pPr>
      <w:numPr>
        <w:numId w:val="3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0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0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7"/>
      </w:numPr>
    </w:pPr>
  </w:style>
  <w:style w:type="paragraph" w:customStyle="1" w:styleId="Point1number">
    <w:name w:val="Point 1 (number)"/>
    <w:basedOn w:val="Normal"/>
    <w:pPr>
      <w:numPr>
        <w:ilvl w:val="2"/>
        <w:numId w:val="37"/>
      </w:numPr>
    </w:pPr>
  </w:style>
  <w:style w:type="paragraph" w:customStyle="1" w:styleId="Point2number">
    <w:name w:val="Point 2 (number)"/>
    <w:basedOn w:val="Normal"/>
    <w:pPr>
      <w:numPr>
        <w:ilvl w:val="4"/>
        <w:numId w:val="37"/>
      </w:numPr>
    </w:pPr>
  </w:style>
  <w:style w:type="paragraph" w:customStyle="1" w:styleId="Point3number">
    <w:name w:val="Point 3 (number)"/>
    <w:basedOn w:val="Normal"/>
    <w:pPr>
      <w:numPr>
        <w:ilvl w:val="6"/>
        <w:numId w:val="37"/>
      </w:numPr>
    </w:pPr>
  </w:style>
  <w:style w:type="paragraph" w:customStyle="1" w:styleId="Point0letter">
    <w:name w:val="Point 0 (letter)"/>
    <w:basedOn w:val="Normal"/>
    <w:pPr>
      <w:numPr>
        <w:ilvl w:val="1"/>
        <w:numId w:val="37"/>
      </w:numPr>
    </w:pPr>
  </w:style>
  <w:style w:type="paragraph" w:customStyle="1" w:styleId="Point1letter">
    <w:name w:val="Point 1 (letter)"/>
    <w:basedOn w:val="Normal"/>
    <w:pPr>
      <w:numPr>
        <w:ilvl w:val="3"/>
        <w:numId w:val="37"/>
      </w:numPr>
    </w:pPr>
  </w:style>
  <w:style w:type="paragraph" w:customStyle="1" w:styleId="Point2letter">
    <w:name w:val="Point 2 (letter)"/>
    <w:basedOn w:val="Normal"/>
    <w:pPr>
      <w:numPr>
        <w:ilvl w:val="5"/>
        <w:numId w:val="37"/>
      </w:numPr>
    </w:pPr>
  </w:style>
  <w:style w:type="paragraph" w:customStyle="1" w:styleId="Point3letter">
    <w:name w:val="Point 3 (letter)"/>
    <w:basedOn w:val="Normal"/>
    <w:pPr>
      <w:numPr>
        <w:ilvl w:val="7"/>
        <w:numId w:val="37"/>
      </w:numPr>
    </w:pPr>
  </w:style>
  <w:style w:type="paragraph" w:customStyle="1" w:styleId="Point4letter">
    <w:name w:val="Point 4 (letter)"/>
    <w:basedOn w:val="Normal"/>
    <w:pPr>
      <w:numPr>
        <w:ilvl w:val="8"/>
        <w:numId w:val="37"/>
      </w:numPr>
    </w:pPr>
  </w:style>
  <w:style w:type="paragraph" w:customStyle="1" w:styleId="Bullet0">
    <w:name w:val="Bullet 0"/>
    <w:basedOn w:val="Normal"/>
    <w:pPr>
      <w:numPr>
        <w:numId w:val="38"/>
      </w:numPr>
    </w:pPr>
  </w:style>
  <w:style w:type="paragraph" w:customStyle="1" w:styleId="Bullet1">
    <w:name w:val="Bullet 1"/>
    <w:basedOn w:val="Normal"/>
    <w:pPr>
      <w:numPr>
        <w:numId w:val="39"/>
      </w:numPr>
    </w:pPr>
  </w:style>
  <w:style w:type="paragraph" w:customStyle="1" w:styleId="Bullet2">
    <w:name w:val="Bullet 2"/>
    <w:basedOn w:val="Normal"/>
    <w:pPr>
      <w:numPr>
        <w:numId w:val="40"/>
      </w:numPr>
    </w:pPr>
  </w:style>
  <w:style w:type="paragraph" w:customStyle="1" w:styleId="Bullet3">
    <w:name w:val="Bullet 3"/>
    <w:basedOn w:val="Normal"/>
    <w:pPr>
      <w:numPr>
        <w:numId w:val="41"/>
      </w:numPr>
    </w:pPr>
  </w:style>
  <w:style w:type="paragraph" w:customStyle="1" w:styleId="Bullet4">
    <w:name w:val="Bullet 4"/>
    <w:basedOn w:val="Normal"/>
    <w:pPr>
      <w:numPr>
        <w:numId w:val="4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/legal-content/BG/ALL/?uri=CELEX:32011R134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3CA9-69AF-485A-85F2-83FBC9E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3</TotalTime>
  <Pages>26</Pages>
  <Words>7818</Words>
  <Characters>45579</Characters>
  <Application>Microsoft Office Word</Application>
  <DocSecurity>0</DocSecurity>
  <Lines>1199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16</cp:revision>
  <cp:lastPrinted>2018-02-27T15:49:00Z</cp:lastPrinted>
  <dcterms:created xsi:type="dcterms:W3CDTF">2018-03-07T14:22:00Z</dcterms:created>
  <dcterms:modified xsi:type="dcterms:W3CDTF">2018-03-13T11:08:00Z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SJ-023</vt:lpwstr>
  </property>
  <property fmtid="{D5CDD505-2E9C-101B-9397-08002B2CF9AE}" pid="10" name="DQCStatus">
    <vt:lpwstr>Green (DQC version 03)</vt:lpwstr>
  </property>
</Properties>
</file>