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4E6520F-60AC-4F3E-A9E6-5D71092BC022" style="width:450.35pt;height:370.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757/2010 article 1</w:t>
      </w:r>
      <w:r>
        <w:rPr>
          <w:noProof/>
          <w:vertAlign w:val="superscript"/>
        </w:rPr>
        <w:t>er</w:t>
      </w:r>
      <w:r>
        <w:rPr>
          <w:noProof/>
        </w:rPr>
        <w:t xml:space="preserve"> et annexe, point 1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293/2016 article 1</w:t>
      </w:r>
      <w:r>
        <w:rPr>
          <w:noProof/>
          <w:vertAlign w:val="superscript"/>
        </w:rPr>
        <w:t>er</w:t>
      </w:r>
      <w:r>
        <w:rPr>
          <w:noProof/>
        </w:rPr>
        <w:t xml:space="preserve"> et annexe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519/2012 article 1</w:t>
      </w:r>
      <w:r>
        <w:rPr>
          <w:noProof/>
          <w:vertAlign w:val="superscript"/>
        </w:rPr>
        <w:t>er</w:t>
      </w:r>
      <w:r>
        <w:rPr>
          <w:noProof/>
        </w:rPr>
        <w:t xml:space="preserve"> et annexe, point 1 a)</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519/2012 article 1</w:t>
      </w:r>
      <w:r>
        <w:rPr>
          <w:noProof/>
          <w:vertAlign w:val="superscript"/>
        </w:rPr>
        <w:t>er</w:t>
      </w:r>
      <w:r>
        <w:rPr>
          <w:noProof/>
        </w:rPr>
        <w:t xml:space="preserve"> et annexe, point 1 b)</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519/2012 article 1</w:t>
      </w:r>
      <w:r>
        <w:rPr>
          <w:noProof/>
          <w:vertAlign w:val="superscript"/>
        </w:rPr>
        <w:t>er</w:t>
      </w:r>
      <w:r>
        <w:rPr>
          <w:noProof/>
        </w:rPr>
        <w:t xml:space="preserve"> et annexe, point 2</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2030/2015 article 1</w:t>
      </w:r>
      <w:r>
        <w:rPr>
          <w:noProof/>
          <w:vertAlign w:val="superscript"/>
        </w:rPr>
        <w:t>er</w:t>
      </w:r>
      <w:r>
        <w:rPr>
          <w:noProof/>
        </w:rPr>
        <w:t xml:space="preserve"> et annexe</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Annexetitre"/>
        <w:rPr>
          <w:noProof/>
        </w:rPr>
      </w:pPr>
      <w:r>
        <w:rPr>
          <w:noProof/>
        </w:rPr>
        <w:t>ANNEXE I</w:t>
      </w:r>
    </w:p>
    <w:p>
      <w:pPr>
        <w:jc w:val="center"/>
        <w:rPr>
          <w:noProof/>
        </w:rPr>
      </w:pPr>
      <w:r>
        <w:rPr>
          <w:b/>
          <w:bCs/>
          <w:noProof/>
        </w:rPr>
        <w:t>Partie A – Substances figurant sur les listes de la convention et du protocole et substances figurant seulement sur les listes de la convention</w:t>
      </w:r>
    </w:p>
    <w:tbl>
      <w:tblPr>
        <w:tblW w:w="0" w:type="auto"/>
        <w:tblLayout w:type="fixed"/>
        <w:tblLook w:val="0000" w:firstRow="0" w:lastRow="0" w:firstColumn="0" w:lastColumn="0" w:noHBand="0" w:noVBand="0"/>
      </w:tblPr>
      <w:tblGrid>
        <w:gridCol w:w="2786"/>
        <w:gridCol w:w="2786"/>
        <w:gridCol w:w="1300"/>
        <w:gridCol w:w="2414"/>
      </w:tblGrid>
      <w:tr>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2786"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CAS</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CE</w:t>
            </w:r>
          </w:p>
        </w:tc>
        <w:tc>
          <w:tcPr>
            <w:tcW w:w="241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Dérogation spécifique pour utilisation en tant qu’intermédiaire ou autre spécification</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Tétrabromodiphényléther</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Aux fins de cette entrée, l’article 4, paragraphe 1, point b), s’applique au tétrabromodiphényléther en concentration égale ou inférieure à 10 mg/kg (0,001 % en masse) dans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des articles ou comme constituant des parties ignifugées de certains articles.</w:t>
            </w:r>
          </w:p>
          <w:p>
            <w:pPr>
              <w:pStyle w:val="NormalLeft"/>
              <w:rPr>
                <w:noProof/>
              </w:rPr>
            </w:pPr>
            <w:r>
              <w:rPr>
                <w:noProof/>
              </w:rPr>
              <w:t>2. Par dérogation, la production, la mise sur le marché et l’utilisation sont autorisées pour:</w:t>
            </w:r>
          </w:p>
          <w:p>
            <w:pPr>
              <w:pStyle w:val="Point0"/>
              <w:rPr>
                <w:noProof/>
              </w:rPr>
            </w:pPr>
            <w:r>
              <w:rPr>
                <w:noProof/>
              </w:rPr>
              <w:tab/>
              <w:t xml:space="preserve">a) sans préjudice du point b), les articles et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contenant du tétrabromodiphényléther en concentrations inférieures à 0,1 % en masse lorsqu’ils sont produits partiellement ou totalement à partir de matériaux recyclés ou de matériaux composés de déchets préparés en vue d’une réutilisation;</w:t>
            </w:r>
          </w:p>
          <w:p>
            <w:pPr>
              <w:pStyle w:val="Point0"/>
              <w:rPr>
                <w:noProof/>
              </w:rPr>
            </w:pPr>
            <w:r>
              <w:rPr>
                <w:noProof/>
              </w:rPr>
              <w:tab/>
              <w:t>b) les équipements électriques et électroniques régis par la directive 2002/95/CE du Parlement européen et du Conseil</w:t>
            </w:r>
            <w:r>
              <w:rPr>
                <w:rStyle w:val="FootnoteReference"/>
                <w:noProof/>
              </w:rPr>
              <w:footnoteReference w:id="1"/>
            </w:r>
            <w:r>
              <w:rPr>
                <w:noProof/>
              </w:rPr>
              <w:t>.</w:t>
            </w:r>
          </w:p>
          <w:p>
            <w:pPr>
              <w:pStyle w:val="NormalLeft"/>
              <w:rPr>
                <w:noProof/>
              </w:rPr>
            </w:pPr>
            <w:r>
              <w:rPr>
                <w:noProof/>
              </w:rPr>
              <w:t>3. L’utilisation d’articles qui contiennent du tétrabromodiphényléther en tant que constituant et qui étaient déjà utilisés dans l’Union avant le 25 août 2010 est autorisée. L’article 4, paragraphe 2, troisième et quatrième alinéas, s’applique pour ces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Pentabromodiphényléther</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Aux fins de cette entrée, l’article 4, paragraphe 1, point b), s’applique au pentabromodiphényléther en concentration égale ou inférieure à 10 mg/kg (0,001 % en masse) dans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des articles ou comme constituant des parties ignifugées de certains articles.</w:t>
            </w:r>
          </w:p>
          <w:p>
            <w:pPr>
              <w:pStyle w:val="NormalLeft"/>
              <w:rPr>
                <w:noProof/>
              </w:rPr>
            </w:pPr>
            <w:r>
              <w:rPr>
                <w:noProof/>
              </w:rPr>
              <w:t>2. Par dérogation, la production, la mise sur le marché et l’utilisation sont autorisées pour:</w:t>
            </w:r>
          </w:p>
          <w:p>
            <w:pPr>
              <w:pStyle w:val="Point0"/>
              <w:rPr>
                <w:noProof/>
              </w:rPr>
            </w:pPr>
            <w:r>
              <w:rPr>
                <w:noProof/>
              </w:rPr>
              <w:tab/>
              <w:t xml:space="preserve">a) sans préjudice du point b), les articles et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contenant du pentabromodiphényléther en concentrations inférieures à 0,1 % en masse lorsqu’ils sont produits partiellement ou totalement à partir de matériaux recyclés ou de matériaux composés de déchets préparés en vue d’une réutilisation;</w:t>
            </w:r>
          </w:p>
          <w:p>
            <w:pPr>
              <w:pStyle w:val="Point0"/>
              <w:rPr>
                <w:noProof/>
              </w:rPr>
            </w:pPr>
            <w:r>
              <w:rPr>
                <w:noProof/>
              </w:rPr>
              <w:tab/>
              <w:t>b) les équipements électriques et électroniques régis par la directive 2002/95/CE.</w:t>
            </w:r>
          </w:p>
          <w:p>
            <w:pPr>
              <w:pStyle w:val="NormalLeft"/>
              <w:rPr>
                <w:noProof/>
              </w:rPr>
            </w:pPr>
            <w:r>
              <w:rPr>
                <w:noProof/>
              </w:rPr>
              <w:t>3. L’utilisation d’articles qui contiennent du pentabromodiphényléther en tant que constituant et qui étaient déjà utilisés dans l’Union avant le 25 août 2010 est autorisée. L’article 4, paragraphe 2, troisième et quatrième alinéas, s’applique pour ces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Hexabromodiphényléther</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Aux fins de cette entrée, l’article 4, paragraphe 1, point b), s’applique à l’hexabromodiphényléther en concentration égale ou inférieure à 10 mg/kg (0,001 % en masse) dans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des articles ou comme constituant des parties ignifugées de certains articles.</w:t>
            </w:r>
          </w:p>
          <w:p>
            <w:pPr>
              <w:pStyle w:val="NormalLeft"/>
              <w:rPr>
                <w:noProof/>
              </w:rPr>
            </w:pPr>
            <w:r>
              <w:rPr>
                <w:noProof/>
              </w:rPr>
              <w:t>2. Par dérogation, la production, la mise sur le marché et l’utilisation sont autorisées pour:</w:t>
            </w:r>
          </w:p>
          <w:p>
            <w:pPr>
              <w:pStyle w:val="Point0"/>
              <w:rPr>
                <w:noProof/>
              </w:rPr>
            </w:pPr>
            <w:r>
              <w:rPr>
                <w:noProof/>
              </w:rPr>
              <w:tab/>
              <w:t xml:space="preserve">a) sans préjudice du point b), les articles et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contenant de l’hexabromodiphényléther en concentrations inférieures à 0,1 % en masse lorsqu’ils sont produits partiellement ou totalement à partir de matériaux recyclés ou de matériaux composés de déchets préparés en vue d’une réutilisation;</w:t>
            </w:r>
          </w:p>
          <w:p>
            <w:pPr>
              <w:pStyle w:val="Point0"/>
              <w:rPr>
                <w:noProof/>
              </w:rPr>
            </w:pPr>
            <w:r>
              <w:rPr>
                <w:noProof/>
              </w:rPr>
              <w:tab/>
              <w:t>b) les équipements électriques et électroniques régis par la directive 2002/95/CE.</w:t>
            </w:r>
          </w:p>
          <w:p>
            <w:pPr>
              <w:pStyle w:val="NormalLeft"/>
              <w:rPr>
                <w:noProof/>
              </w:rPr>
            </w:pPr>
            <w:r>
              <w:rPr>
                <w:noProof/>
              </w:rPr>
              <w:t>3. L’utilisation d’articles qui contiennent de l’hexabromodiphényléther en tant que constituant et qui étaient déjà utilisés dans l’Union avant le 25 août 2010 est autorisée. L’article 4, paragraphe 2, troisième et quatrième alinéas, s’applique pour ces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Heptabromodiphényléther</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Aux fins de cette entrée, l’article 4, paragraphe 1, point b), s’applique à l’heptabromodiphényléther en concentration égale ou inférieure à 10 mg/kg (0,001 % en masse) dans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des articles comme composant des parties ignifugées de certains articles.</w:t>
            </w:r>
          </w:p>
          <w:p>
            <w:pPr>
              <w:pStyle w:val="NormalLeft"/>
              <w:rPr>
                <w:noProof/>
              </w:rPr>
            </w:pPr>
            <w:r>
              <w:rPr>
                <w:noProof/>
              </w:rPr>
              <w:t>2. Par dérogation, la production, la mise sur le marché et l’utilisation sont autorisées pour:</w:t>
            </w:r>
          </w:p>
          <w:p>
            <w:pPr>
              <w:pStyle w:val="Point0"/>
              <w:rPr>
                <w:noProof/>
              </w:rPr>
            </w:pPr>
            <w:r>
              <w:rPr>
                <w:noProof/>
              </w:rPr>
              <w:tab/>
              <w:t xml:space="preserve">a) sans préjudice du point b), les articles et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contenant de l’heptabromodiphényléther en concentrations inférieures à 0,1 % en masse lorsqu’ils sont produits partiellement ou totalement à partir de matériaux recyclés ou de matériaux composés de déchets préparés en vue d’une réutilisation;</w:t>
            </w:r>
          </w:p>
          <w:p>
            <w:pPr>
              <w:pStyle w:val="Point0"/>
              <w:rPr>
                <w:noProof/>
              </w:rPr>
            </w:pPr>
            <w:r>
              <w:rPr>
                <w:noProof/>
              </w:rPr>
              <w:tab/>
              <w:t>b) les équipements électriques et électroniques régis par la directive 2002/95/CE.</w:t>
            </w:r>
          </w:p>
          <w:p>
            <w:pPr>
              <w:pStyle w:val="NormalLeft"/>
              <w:rPr>
                <w:noProof/>
              </w:rPr>
            </w:pPr>
            <w:r>
              <w:rPr>
                <w:noProof/>
              </w:rPr>
              <w:t>3. L’utilisation d’articles qui contiennent de l’heptabromodiphényléther en tant que constituant et qui étaient déjà utilisés dans l’Union avant le 25 août 2010 est autorisée. L’article 4, paragraphe 2, troisième et quatrième alinéas, s’applique pour ces articles.</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MinorChangeDeleted"/>
                <w:noProof/>
              </w:rPr>
              <w:t>Sulfonates de perfluorooctane et leurs</w:t>
            </w:r>
            <w:r>
              <w:rPr>
                <w:noProof/>
              </w:rPr>
              <w:t xml:space="preserve"> </w:t>
            </w:r>
            <w:r>
              <w:rPr>
                <w:rStyle w:val="CRMinorChangeAdded"/>
                <w:noProof/>
              </w:rPr>
              <w:t>Acide perfluorooctane sulfonique et ses</w:t>
            </w:r>
            <w:r>
              <w:rPr>
                <w:noProof/>
              </w:rPr>
              <w:t xml:space="preserve"> dérivés (SPFO)</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sel métallique (O-M+), halogénure, amide et autres dérivés, y compris les polymères]</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et autres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1. Aux fins de cette entrée, l’article 4, paragraphe 1, point b), s’applique aux SPFO en concentration égale ou inférieure à 10 mg/kg (0,001 % en masse) dans des substances ou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NormalLeft"/>
              <w:rPr>
                <w:noProof/>
              </w:rPr>
            </w:pPr>
            <w:r>
              <w:rPr>
                <w:noProof/>
              </w:rPr>
              <w:t>2. Aux fins de cette entrée, l’article 4, paragraphe 1, point b), s’applique aux concentrations en SPFO contenues dans des produits semi-finis, des articles, ou dans des parties de ces produits ou articles, si la concentration en SPFO est inférieure à 0,1 % en masse calculée à partir de la masse de parties structurellement ou microstructurellement distinctes qui contiennent des SPFO ou, pour les textiles ou les autres matériaux enduits, si la quantité de SPFO est inférieure à 1 μg/m</w:t>
            </w:r>
            <w:r>
              <w:rPr>
                <w:noProof/>
                <w:vertAlign w:val="superscript"/>
              </w:rPr>
              <w:t>2</w:t>
            </w:r>
            <w:r>
              <w:rPr>
                <w:noProof/>
              </w:rPr>
              <w:t xml:space="preserve"> du matériau enduit.</w:t>
            </w:r>
          </w:p>
          <w:p>
            <w:pPr>
              <w:pStyle w:val="NormalLeft"/>
              <w:rPr>
                <w:noProof/>
              </w:rPr>
            </w:pPr>
            <w:r>
              <w:rPr>
                <w:noProof/>
              </w:rPr>
              <w:t>3. L’utilisation d’articles qui contiennent des SPFO en tant que constituants et qui étaient déjà utilisés dans l’Union avant le 25 août 2010 est autorisée. L’article 4, paragraphe 2, troisième et quatrième alinéas, s’applique pour ces articles.</w:t>
            </w:r>
          </w:p>
          <w:p>
            <w:pPr>
              <w:pStyle w:val="NormalLeft"/>
              <w:rPr>
                <w:noProof/>
              </w:rPr>
            </w:pPr>
            <w:r>
              <w:rPr>
                <w:noProof/>
              </w:rPr>
              <w:t>4. Les mousses anti-incendie mises sur le marché avant le 27 décembre 2006 peuvent être utilisées jusqu’au 27 juin 2011.</w:t>
            </w:r>
          </w:p>
          <w:p>
            <w:pPr>
              <w:pStyle w:val="NormalLeft"/>
              <w:rPr>
                <w:noProof/>
              </w:rPr>
            </w:pPr>
            <w:r>
              <w:rPr>
                <w:noProof/>
              </w:rPr>
              <w:t xml:space="preserve">5. Si la quantité rejetée dans l’environnement est </w:t>
            </w:r>
            <w:r>
              <w:rPr>
                <w:rStyle w:val="CRMinorChangeDeleted"/>
                <w:noProof/>
              </w:rPr>
              <w:t>minimisée</w:t>
            </w:r>
            <w:r>
              <w:rPr>
                <w:noProof/>
              </w:rPr>
              <w:t xml:space="preserve"> </w:t>
            </w:r>
            <w:r>
              <w:rPr>
                <w:rStyle w:val="CRMinorChangeAdded"/>
                <w:noProof/>
              </w:rPr>
              <w:t>réduite au minimum</w:t>
            </w:r>
            <w:r>
              <w:rPr>
                <w:noProof/>
              </w:rPr>
              <w:t xml:space="preserve">,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la mise sur le marché sont autorisées pour les usages spécifiques ci-dessous, à condition que les États membres présentent tous les quatre ans à la Commission un rapport sur les progrès réalisés en vue d’éliminer les SPFO:</w:t>
            </w:r>
          </w:p>
          <w:p>
            <w:pPr>
              <w:pStyle w:val="Point0"/>
              <w:rPr>
                <w:noProof/>
              </w:rPr>
            </w:pPr>
            <w:r>
              <w:rPr>
                <w:noProof/>
              </w:rPr>
              <w:tab/>
              <w:t>a) jusqu’au 26 août 2015, agents tensioactifs utilisés dans des systèmes contrôlés de dépôt électrolytique;</w:t>
            </w:r>
          </w:p>
          <w:p>
            <w:pPr>
              <w:pStyle w:val="Point0"/>
              <w:rPr>
                <w:noProof/>
              </w:rPr>
            </w:pPr>
            <w:r>
              <w:rPr>
                <w:noProof/>
              </w:rPr>
              <w:tab/>
              <w:t>b) résines photosensibles ou revêtements antireflet pour les procédés photolithographiques;</w:t>
            </w:r>
          </w:p>
          <w:p>
            <w:pPr>
              <w:pStyle w:val="Point0"/>
              <w:rPr>
                <w:noProof/>
              </w:rPr>
            </w:pPr>
            <w:r>
              <w:rPr>
                <w:noProof/>
              </w:rPr>
              <w:tab/>
              <w:t>c) revêtements appliqués dans la photographie aux films, aux papiers ou aux clichés d’impression;</w:t>
            </w:r>
          </w:p>
          <w:p>
            <w:pPr>
              <w:pStyle w:val="Point0"/>
              <w:rPr>
                <w:noProof/>
              </w:rPr>
            </w:pPr>
            <w:r>
              <w:rPr>
                <w:noProof/>
              </w:rPr>
              <w:tab/>
              <w:t>d) traitements antibuée pour le chromage dur (VI) non décoratif dans des systèmes en circuit fermé;</w:t>
            </w:r>
          </w:p>
          <w:p>
            <w:pPr>
              <w:pStyle w:val="Point0"/>
              <w:rPr>
                <w:noProof/>
              </w:rPr>
            </w:pPr>
            <w:r>
              <w:rPr>
                <w:noProof/>
              </w:rPr>
              <w:tab/>
              <w:t>e) fluides hydrauliques pour l’aviation.</w:t>
            </w:r>
          </w:p>
          <w:p>
            <w:pPr>
              <w:pStyle w:val="NormalLeft"/>
              <w:rPr>
                <w:noProof/>
              </w:rPr>
            </w:pPr>
            <w:r>
              <w:rPr>
                <w:noProof/>
              </w:rPr>
              <w:t>Lorsque les dérogations visées aux points a) à e) ci-dessus concernent la production ou l’utilisation dans une installation relevant du champ d’application de la directive 2008/1/CE du Parlement européen et du Conseil</w:t>
            </w:r>
            <w:r>
              <w:rPr>
                <w:rStyle w:val="FootnoteReference"/>
                <w:noProof/>
              </w:rPr>
              <w:footnoteReference w:id="2"/>
            </w:r>
            <w:r>
              <w:rPr>
                <w:noProof/>
              </w:rPr>
              <w:t xml:space="preserve">, il y a lieu d’appliquer les meilleures techniques disponibles appropriées pour la prévention et la </w:t>
            </w:r>
            <w:r>
              <w:rPr>
                <w:rStyle w:val="CRMinorChangeDeleted"/>
                <w:noProof/>
              </w:rPr>
              <w:t>minimisation</w:t>
            </w:r>
            <w:r>
              <w:rPr>
                <w:noProof/>
              </w:rPr>
              <w:t xml:space="preserve"> </w:t>
            </w:r>
            <w:r>
              <w:rPr>
                <w:rStyle w:val="CRMinorChangeAdded"/>
                <w:noProof/>
              </w:rPr>
              <w:t>réduction au minimum</w:t>
            </w:r>
            <w:r>
              <w:rPr>
                <w:noProof/>
              </w:rPr>
              <w:t xml:space="preserve"> des émissions de SPFO décrites dans les informations publiées par la Commission conformément à l’article 17, paragraphe 2, deuxième alinéa, de la directive 2008/1/CE.</w:t>
            </w:r>
          </w:p>
          <w:p>
            <w:pPr>
              <w:pStyle w:val="NormalLeft"/>
              <w:rPr>
                <w:noProof/>
              </w:rPr>
            </w:pPr>
            <w:r>
              <w:rPr>
                <w:noProof/>
              </w:rPr>
              <w:t>Dès que seront disponibles de nouvelles informations sur les modalités d’utilisation et sur des substances ou technologies de remplacement plus sûres pour les usages visés aux points b) à e), la Commission réexaminera chacune des dérogations visées au deuxième alinéa de sorte que:</w:t>
            </w:r>
          </w:p>
          <w:p>
            <w:pPr>
              <w:pStyle w:val="NormalLeft"/>
              <w:rPr>
                <w:noProof/>
              </w:rPr>
            </w:pPr>
          </w:p>
          <w:p>
            <w:pPr>
              <w:pStyle w:val="Point0"/>
              <w:rPr>
                <w:noProof/>
              </w:rPr>
            </w:pPr>
            <w:r>
              <w:rPr>
                <w:noProof/>
              </w:rPr>
              <w:tab/>
              <w:t>i) l’utilisation de SPFO soit supprimée progressivement dès que le recours à des solutions de remplacement plus sûres est réalisable sur les plans technique et économique;</w:t>
            </w:r>
          </w:p>
          <w:p>
            <w:pPr>
              <w:pStyle w:val="Point0"/>
              <w:rPr>
                <w:noProof/>
              </w:rPr>
            </w:pPr>
            <w:r>
              <w:rPr>
                <w:noProof/>
              </w:rPr>
              <w:tab/>
              <w:t>ii) une dérogation ne puisse être prolongée que pour des utilisations essentielles pour lesquelles il n’existe pas de solution de remplacement plus sûre et lorsque les actions entreprises pour trouver des solutions de remplacement plus sûres ont été communiquées;</w:t>
            </w:r>
          </w:p>
          <w:p>
            <w:pPr>
              <w:pStyle w:val="Point0"/>
              <w:rPr>
                <w:noProof/>
              </w:rPr>
            </w:pPr>
            <w:r>
              <w:rPr>
                <w:noProof/>
              </w:rPr>
              <w:tab/>
              <w:t xml:space="preserve">iii) les rejets de SPFO dans l’environnement soient </w:t>
            </w:r>
            <w:r>
              <w:rPr>
                <w:rStyle w:val="CRMinorChangeDeleted"/>
                <w:noProof/>
              </w:rPr>
              <w:t>minimisés</w:t>
            </w:r>
            <w:r>
              <w:rPr>
                <w:noProof/>
              </w:rPr>
              <w:t xml:space="preserve"> </w:t>
            </w:r>
            <w:r>
              <w:rPr>
                <w:rStyle w:val="CRMinorChangeAdded"/>
                <w:noProof/>
              </w:rPr>
              <w:t>réduits au minimum</w:t>
            </w:r>
            <w:r>
              <w:rPr>
                <w:noProof/>
              </w:rPr>
              <w:t xml:space="preserve"> par l’utilisation des meilleures techniques disponibles.</w:t>
            </w:r>
          </w:p>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p>
          <w:p>
            <w:pPr>
              <w:pStyle w:val="NormalLeft"/>
              <w:rPr>
                <w:noProof/>
              </w:rPr>
            </w:pPr>
            <w:r>
              <w:rPr>
                <w:noProof/>
              </w:rPr>
              <w:t xml:space="preserve">6. Dès leur adoption, les normes du Comité européen de normalisation (CEN) serviront de méthodes de test analytiques pour démontrer la conformité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des articles avec les paragraphes 1 et 2. Toute autre méthode d’analyse dont l’utilisateur peut démontrer l’équivalence des performances pourrait être utilisée au lieu des normes CEN.</w:t>
            </w:r>
          </w:p>
          <w:p>
            <w:pPr>
              <w:pStyle w:val="NormalLeft"/>
              <w:rPr>
                <w:noProof/>
              </w:rPr>
            </w:pP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DDT (1,1,1-trichloro-2-2-bis(4-chlorophényl)éthane)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Hexachlorocyclohexanes, y compris le lindane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200-401-2</w:t>
            </w:r>
          </w:p>
        </w:tc>
        <w:tc>
          <w:tcPr>
            <w:tcW w:w="2414"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319-84-6</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206-270-8</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319-85-7</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206-271-3</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608-73-1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tc>
        <w:tc>
          <w:tcPr>
            <w:tcW w:w="2414"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Dieldrine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Endrine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Heptachlore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Endosulfan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115-29-7</w:t>
            </w:r>
          </w:p>
          <w:p>
            <w:pPr>
              <w:pStyle w:val="NormalLeft"/>
              <w:rPr>
                <w:noProof/>
              </w:rPr>
            </w:pPr>
            <w:r>
              <w:rPr>
                <w:noProof/>
              </w:rPr>
              <w:t>959-98-8</w:t>
            </w:r>
          </w:p>
          <w:p>
            <w:pPr>
              <w:pStyle w:val="NormalLeft"/>
              <w:rPr>
                <w:noProof/>
              </w:rPr>
            </w:pPr>
            <w:r>
              <w:rPr>
                <w:noProof/>
              </w:rPr>
              <w:t>33213-65-9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204-079-4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3</w:t>
            </w:r>
            <w:r>
              <w:rPr>
                <w:noProof/>
              </w:rPr>
              <w:t> 1. L’utilisation et la mise sur le marché d’articles produits le 10 juillet 2012 ou avant cette date et dont l’endosulfan est l’un des constituants sont autorisées jusqu’au 10 janvier 2013.</w:t>
            </w:r>
          </w:p>
          <w:p>
            <w:pPr>
              <w:pStyle w:val="NormalLeft"/>
              <w:rPr>
                <w:noProof/>
              </w:rPr>
            </w:pPr>
            <w:r>
              <w:rPr>
                <w:noProof/>
              </w:rPr>
              <w:t>2. L’utilisation et la mise sur le marché d’articles déjà utilisés le 10 juillet 2012 ou avant cette date et dont l’endosulfan est l’un des constituants sont autorisées.</w:t>
            </w:r>
          </w:p>
          <w:p>
            <w:pPr>
              <w:pStyle w:val="NormalLeft"/>
              <w:rPr>
                <w:noProof/>
              </w:rPr>
            </w:pPr>
            <w:r>
              <w:rPr>
                <w:noProof/>
              </w:rPr>
              <w:t>3. L’article 4, paragraphe 2, troisième et quatrième alinéas, s’applique aux articles visés au paragraphe 1 et 2.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Hexachlorobenzène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Chlordécone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Aldrine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Pentachlorobenzène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Polychlorobiphényles (PCB)</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et autres</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 et autres</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Sans préjudice des dispositions de la directive 96/59/CE, l’utilisation des articles déjà en circulation au moment de l’entrée en vigueur du présent règlement est autorisée.</w:t>
            </w:r>
          </w:p>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États membres recensent et retirent de la circulation les équipements (par exemple, les transformateurs, condensateurs ou récipients analogues renfermant des stocks de liquides) qui contiennent un volume supérieur à 0,05 dm</w:t>
            </w:r>
            <w:r>
              <w:rPr>
                <w:noProof/>
                <w:highlight w:val="lightGray"/>
                <w:vertAlign w:val="superscript"/>
              </w:rPr>
              <w:t>3</w:t>
            </w:r>
            <w:r>
              <w:rPr>
                <w:noProof/>
                <w:highlight w:val="lightGray"/>
              </w:rPr>
              <w:t xml:space="preserve"> de liquide dont la teneur en PCB est supérieure à 0,005 % dans les meilleurs délais et au plus tard le 31 décembre 2025.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Mirex</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Toxaphène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Hexabromobiphényle</w:t>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Hexabromocyclododécane</w:t>
            </w:r>
          </w:p>
          <w:p>
            <w:pPr>
              <w:pStyle w:val="NormalLeft"/>
              <w:rPr>
                <w:noProof/>
              </w:rPr>
            </w:pPr>
            <w:r>
              <w:rPr>
                <w:noProof/>
              </w:rPr>
              <w:t>Par «hexabromocyclododécane», on entend: l'hexabromocyclododécane, le 1,2,5,6,9,10-hexabromocyclododécane et ses principaux diastéréoisomères: l’alpha-hexabromocyclododécane, le bêta-hexabromocyclododécane et le gamma-hexabromocyclododécane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1. Aux fins de cette entrée, l'article 4, paragraphe 1, point b), s'applique à l'hexabromocyclododécane en concentration inférieure ou égale à 100 mg/kg (0,01 % en masse) dans des substances,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des articles ou en tant que constituant des parties ignifugées de certains articles, une révision de ce seuil par la Commission étant prévue le 22 mars 2019.</w:t>
            </w:r>
          </w:p>
          <w:p>
            <w:pPr>
              <w:pStyle w:val="Point0"/>
              <w:rPr>
                <w:noProof/>
              </w:rPr>
            </w:pPr>
            <w:r>
              <w:rPr>
                <w:noProof/>
              </w:rPr>
              <w:tab/>
              <w:t xml:space="preserve">2. L'utilisation d'hexabromocyclododécane, en tant que tel ou dans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la fabrication d'articles en polystyrène expansé, ainsi que la </w:t>
            </w:r>
            <w:r>
              <w:rPr>
                <w:rStyle w:val="CRRefonteDeleted"/>
                <w:noProof/>
                <w:highlight w:val="lightGray"/>
              </w:rPr>
              <w:t>production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fabrication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la mise sur le marché d'hexabromocyclododécane à cette fin sont autorisées, à condition qu'une telle utilisation ait été autorisée conformément au titre VII du règlement (CE) nº 1907/2006 du Parlement européen et du Conseil</w:t>
            </w:r>
            <w:r>
              <w:rPr>
                <w:rStyle w:val="FootnoteReference"/>
                <w:noProof/>
              </w:rPr>
              <w:footnoteReference w:id="3"/>
            </w:r>
            <w:r>
              <w:rPr>
                <w:noProof/>
              </w:rPr>
              <w:t>, ou ait fait l'objet d'une demande d'autorisation présentée le 21 février 2014 au plus tard et n'ayant pas encore donné lieu à une décision.</w:t>
            </w:r>
          </w:p>
          <w:p>
            <w:pPr>
              <w:pStyle w:val="Point0"/>
              <w:rPr>
                <w:noProof/>
              </w:rPr>
            </w:pPr>
            <w:r>
              <w:rPr>
                <w:noProof/>
              </w:rPr>
              <w:tab/>
              <w:t xml:space="preserve">La mise sur le marché et l'utilisation d'hexabromocyclododécane, en tant que tel ou dans des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conformément au présent paragraphe ne sont autorisées que jusqu'au 26 novembre 2019 ou, si elle est antérieure, jusqu'à la date d'expiration de la période de révision spécifiée dans la décision d'autorisation, ou la date de retrait de cette autorisation conformément au titre VII du règlement (CE) nº 1907/2006.</w:t>
            </w:r>
          </w:p>
          <w:p>
            <w:pPr>
              <w:pStyle w:val="Point0"/>
              <w:rPr>
                <w:noProof/>
              </w:rPr>
            </w:pPr>
            <w:r>
              <w:rPr>
                <w:noProof/>
              </w:rPr>
              <w:tab/>
              <w:t>La mise sur le marché et l'utilisation dans les bâtiments d'articles en polystyrène expansé qui contiennent de l'hexabromocyclododécane en tant que constituant et qui ont été produits conformément à la dérogation prévue par le présent paragraphe sont autorisées jusqu'à six mois après la date d'expiration de cette dérogation. Les articles de ce type qui étaient déjà en usage à cette date peuvent continuer à être utilisés.</w:t>
            </w:r>
          </w:p>
          <w:p>
            <w:pPr>
              <w:pStyle w:val="Point0"/>
              <w:rPr>
                <w:noProof/>
              </w:rPr>
            </w:pPr>
            <w:r>
              <w:rPr>
                <w:noProof/>
              </w:rPr>
              <w:tab/>
              <w:t>3. Sans préjudice de la dérogation prévue au paragraphe 2, la mise sur le marché et l'utilisation dans les bâtiments d'articles en polystyrène expansé ou en polystyrène extrudé qui contiennent de l'hexabromocyclododécane en tant que constituant et qui ont été produits au plus tard le 22 mars 2016 sont autorisées jusqu'au 22 juin 2016. Le paragraphe 6 s'applique comme si ces articles avaient été produits conformément à la dérogation prévue au paragraphe 2.</w:t>
            </w:r>
          </w:p>
          <w:p>
            <w:pPr>
              <w:pStyle w:val="Point0"/>
              <w:rPr>
                <w:noProof/>
              </w:rPr>
            </w:pPr>
            <w:r>
              <w:rPr>
                <w:noProof/>
              </w:rPr>
              <w:tab/>
              <w:t>4. Les articles qui contiennent de l'hexabromocyclododécane en tant que constituant et qui étaient déjà en usage avant le 22 mars 2016 ou à cette date peuvent continuer à être utilisés et mis sur le marché et le paragraphe 6 ne s'applique pas à ces articles. L'article 4, paragraphe 2, troisième et quatrième alinéas, s'applique à ces articles.</w:t>
            </w:r>
          </w:p>
          <w:p>
            <w:pPr>
              <w:pStyle w:val="Point0"/>
              <w:rPr>
                <w:noProof/>
              </w:rPr>
            </w:pPr>
            <w:r>
              <w:rPr>
                <w:noProof/>
              </w:rPr>
              <w:tab/>
              <w:t>5. La mise sur le marché et l'utilisation dans les bâtiments d'articles importés en polystyrène expansé qui contiennent de l'hexabromocyclododécane en tant que constituant sont autorisées jusqu'à la date d'expiration de la dérogation prévue au paragraphe 2, et le paragraphe 6 s'applique comme si ces articles avaient été produits conformément à la dérogation prévue au paragraphe 2. Les articles de ce type qui étaient déjà en usage à cette date peuvent continuer à être utilisés.</w:t>
            </w:r>
          </w:p>
          <w:p>
            <w:pPr>
              <w:pStyle w:val="Point0"/>
              <w:rPr>
                <w:noProof/>
              </w:rPr>
            </w:pPr>
            <w:r>
              <w:rPr>
                <w:noProof/>
              </w:rPr>
              <w:tab/>
              <w:t>6. Sans préjudice de l'application d'autres dispositions de l'Union relatives à la classification, à l'emballage et à l'étiquetage des substances et des mélanges, le polystyrène expansé produit à partir d'hexabromocyclododécane conformément à la dérogation prévue au paragraphe 2 doit être identifiable par voie d'étiquetage ou par d'autres moyens durant tout son cycle de vie.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Hexachlorobutadiène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87-68-3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201-765-5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L’utilisation et la mise sur le marché d’articles produits le 10 juillet 2012 ou avant cette date et dont l’hexachlorobutadiène est l’un des constituants sont autorisées jusqu’au 10 janvier 2013.</w:t>
            </w:r>
          </w:p>
          <w:p>
            <w:pPr>
              <w:pStyle w:val="NormalLeft"/>
              <w:rPr>
                <w:noProof/>
                <w:highlight w:val="lightGray"/>
              </w:rPr>
            </w:pPr>
            <w:r>
              <w:rPr>
                <w:noProof/>
                <w:highlight w:val="lightGray"/>
              </w:rPr>
              <w:t>2. L’utilisation et la mise sur le marché d’articles déjà utilisés le 10 juillet 2012 ou avant cette date et dont l’hexachlorobutadiène est l’un des constituants sont autorisées.</w:t>
            </w:r>
          </w:p>
          <w:p>
            <w:pPr>
              <w:pStyle w:val="Point0"/>
              <w:ind w:left="0" w:firstLine="0"/>
              <w:rPr>
                <w:noProof/>
              </w:rPr>
            </w:pPr>
            <w:r>
              <w:rPr>
                <w:noProof/>
                <w:highlight w:val="lightGray"/>
              </w:rPr>
              <w:t>3. L’article 4, paragraphe 2, troisième et quatrième alinéas, s’applique aux articles visés au paragraphe 1 et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Pentachlorophénol et ses sels et esters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87-86-5 et autres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201-778-6 et autres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Point0"/>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r>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Naphtalènes polychlorés</w:t>
            </w:r>
            <w:r>
              <w:rPr>
                <w:rStyle w:val="FootnoteReference"/>
                <w:noProof/>
                <w:highlight w:val="lightGray"/>
              </w:rPr>
              <w:footnoteReference w:id="4"/>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78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70776-03-3 et autres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274-864-4 et autres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c>
          <w:tcPr>
            <w:tcW w:w="24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 L’utilisation et la mise sur le marché d’articles produits le 10 juillet 2012 ou avant cette date et dont les naphthalènes polychlorés sont l’un des constituants sont autorisées jusqu’au 10 janvier 2013.</w:t>
            </w:r>
          </w:p>
          <w:p>
            <w:pPr>
              <w:pStyle w:val="NormalLeft"/>
              <w:rPr>
                <w:noProof/>
                <w:highlight w:val="lightGray"/>
              </w:rPr>
            </w:pPr>
            <w:r>
              <w:rPr>
                <w:noProof/>
                <w:highlight w:val="lightGray"/>
              </w:rPr>
              <w:t>2. L’utilisation et la mise sur le marché d’articles déjà utilisés le 10 juillet 2012 ou avant cette date et dont les naphthalènes polychlorés sont l’un des constituants sont autorisées.</w:t>
            </w:r>
          </w:p>
          <w:p>
            <w:pPr>
              <w:pStyle w:val="Point0"/>
              <w:ind w:left="0" w:firstLine="0"/>
              <w:rPr>
                <w:noProof/>
              </w:rPr>
            </w:pPr>
            <w:r>
              <w:rPr>
                <w:noProof/>
                <w:highlight w:val="lightGray"/>
              </w:rPr>
              <w:t>3. L’article 4, paragraphe 2, troisième et quatrième alinéas, s’applique aux articles visés au paragraphe 1 et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tc>
      </w:tr>
    </w:tbl>
    <w:p>
      <w:pPr>
        <w:rPr>
          <w:noProof/>
        </w:rPr>
      </w:pPr>
    </w:p>
    <w:p>
      <w:pPr>
        <w:jc w:val="center"/>
        <w:rPr>
          <w:noProof/>
        </w:rPr>
      </w:pPr>
      <w:r>
        <w:rPr>
          <w:b/>
          <w:noProof/>
        </w:rPr>
        <w:t>Partie B - Substances figurant uniquement sur les listes du protocole</w:t>
      </w:r>
    </w:p>
    <w:tbl>
      <w:tblPr>
        <w:tblW w:w="0" w:type="auto"/>
        <w:tblLayout w:type="fixed"/>
        <w:tblLook w:val="0000" w:firstRow="0" w:lastRow="0" w:firstColumn="0" w:lastColumn="0" w:noHBand="0" w:noVBand="0"/>
      </w:tblPr>
      <w:tblGrid>
        <w:gridCol w:w="2600"/>
        <w:gridCol w:w="1393"/>
        <w:gridCol w:w="1300"/>
        <w:gridCol w:w="3993"/>
      </w:tblGrid>
      <w:tr>
        <w:tc>
          <w:tcPr>
            <w:tcW w:w="26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13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CAS</w:t>
            </w:r>
          </w:p>
        </w:tc>
        <w:tc>
          <w:tcPr>
            <w:tcW w:w="1300"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CE</w:t>
            </w:r>
          </w:p>
        </w:tc>
        <w:tc>
          <w:tcPr>
            <w:tcW w:w="399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Dérogation spécifique pour utilisation en tant qu’intermédiaire ou autre spécification</w:t>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Hexachlorobutadiène</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87-68-3</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201-765-5</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L’utilisation et la mise sur le marché d’articles produits le 10 juillet 2012 ou avant cette date et dont l’hexachlorobutadiène est l’un des constituants sont autorisées jusqu’au 10 janvier 2013.</w:t>
            </w:r>
          </w:p>
          <w:p>
            <w:pPr>
              <w:pStyle w:val="NormalLeft"/>
              <w:rPr>
                <w:rStyle w:val="CRRefonteDeleted"/>
                <w:noProof/>
                <w:highlight w:val="lightGray"/>
              </w:rPr>
            </w:pPr>
            <w:r>
              <w:rPr>
                <w:rStyle w:val="CRRefonteDeleted"/>
                <w:noProof/>
                <w:highlight w:val="lightGray"/>
              </w:rPr>
              <w:t>2. L’utilisation et la mise sur le marché d’articles déjà utilisés le 10 juillet 2012 ou avant cette date et dont l’hexachlorobutadiène est l’un des constituants sont autorisées.</w:t>
            </w:r>
          </w:p>
          <w:p>
            <w:pPr>
              <w:pStyle w:val="NormalLeft"/>
              <w:rPr>
                <w:noProof/>
              </w:rPr>
            </w:pPr>
            <w:r>
              <w:rPr>
                <w:rStyle w:val="CRRefonteDeleted"/>
                <w:noProof/>
                <w:highlight w:val="lightGray"/>
              </w:rPr>
              <w:t>3. L’article 4, paragraphe 2, troisième et quatrième alinéas, s’applique aux articles visés au paragraphe 1 et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Naphtalènes polychlorés</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9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4</w:t>
            </w:r>
            <w:r>
              <w:rPr>
                <w:noProof/>
              </w:rPr>
              <w:t> </w:t>
            </w:r>
            <w:r>
              <w:rPr>
                <w:rStyle w:val="CRRefonteDeleted"/>
                <w:noProof/>
                <w:highlight w:val="lightGray"/>
              </w:rPr>
              <w:t>1. L’utilisation et la mise sur le marché d’articles produits le 10 juillet 2012 ou avant cette date et dont les naphthalènes polychlorés sont l’un des constituants sont autorisées jusqu’au 10 janvier 2013.</w:t>
            </w:r>
          </w:p>
          <w:p>
            <w:pPr>
              <w:pStyle w:val="NormalLeft"/>
              <w:rPr>
                <w:rStyle w:val="CRRefonteDeleted"/>
                <w:noProof/>
                <w:highlight w:val="lightGray"/>
              </w:rPr>
            </w:pPr>
            <w:r>
              <w:rPr>
                <w:rStyle w:val="CRRefonteDeleted"/>
                <w:noProof/>
                <w:highlight w:val="lightGray"/>
              </w:rPr>
              <w:t>2. L’utilisation et la mise sur le marché d’articles déjà utilisés le 10 juillet 2012 ou avant cette date et dont les naphthalènes polychlorés sont l’un des constituants sont autorisées.</w:t>
            </w:r>
          </w:p>
          <w:p>
            <w:pPr>
              <w:pStyle w:val="NormalLeft"/>
              <w:rPr>
                <w:noProof/>
              </w:rPr>
            </w:pPr>
            <w:r>
              <w:rPr>
                <w:rStyle w:val="CRRefonteDeleted"/>
                <w:noProof/>
                <w:highlight w:val="lightGray"/>
              </w:rPr>
              <w:t>3. L’article 4, paragraphe 2, troisième et quatrième alinéas, s’applique aux articles visés au paragraphe 1 et 2.</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26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Alcanes en C10-C13, chloro (paraffines chlorées à chaîne courte) (PCCC)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9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85535-84-8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130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287-476-5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993" w:type="dxa"/>
            <w:tcBorders>
              <w:top w:val="single" w:sz="2" w:space="0" w:color="auto"/>
              <w:left w:val="single" w:sz="2" w:space="0" w:color="auto"/>
              <w:bottom w:val="single" w:sz="2" w:space="0" w:color="auto"/>
              <w:right w:val="single" w:sz="2" w:space="0" w:color="auto"/>
            </w:tcBorders>
          </w:tcPr>
          <w:p>
            <w:pPr>
              <w:pStyle w:val="Point0"/>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5</w:t>
            </w:r>
            <w:r>
              <w:rPr>
                <w:noProof/>
              </w:rPr>
              <w:t> </w:t>
            </w:r>
            <w:r>
              <w:rPr>
                <w:noProof/>
              </w:rPr>
              <w:tab/>
              <w:t xml:space="preserve">1. Par dérogation, la production, la mise sur le marché et l'utilisation de substances ou </w:t>
            </w:r>
            <w:r>
              <w:rPr>
                <w:rStyle w:val="CRDeleted"/>
                <w:noProof/>
              </w:rPr>
              <w:t>préparations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mélanges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contenant des PCCC en concentration inférieure à 1 % en </w:t>
            </w:r>
            <w:r>
              <w:rPr>
                <w:rStyle w:val="CRMinorChangeDeleted"/>
                <w:noProof/>
              </w:rPr>
              <w:t>poids</w:t>
            </w:r>
            <w:r>
              <w:rPr>
                <w:noProof/>
              </w:rPr>
              <w:t xml:space="preserve"> </w:t>
            </w:r>
            <w:r>
              <w:rPr>
                <w:rStyle w:val="CRMinorChangeAdded"/>
                <w:noProof/>
              </w:rPr>
              <w:t>masse</w:t>
            </w:r>
            <w:r>
              <w:rPr>
                <w:noProof/>
              </w:rPr>
              <w:t xml:space="preserve">, ou d'articles contenant des PCCC en concentration inférieure à 0,15 % en </w:t>
            </w:r>
            <w:r>
              <w:rPr>
                <w:rStyle w:val="CRMinorChangeDeleted"/>
                <w:noProof/>
              </w:rPr>
              <w:t>poids</w:t>
            </w:r>
            <w:r>
              <w:rPr>
                <w:noProof/>
              </w:rPr>
              <w:t xml:space="preserve"> </w:t>
            </w:r>
            <w:r>
              <w:rPr>
                <w:rStyle w:val="CRMinorChangeAdded"/>
                <w:noProof/>
              </w:rPr>
              <w:t>masse</w:t>
            </w:r>
            <w:r>
              <w:rPr>
                <w:noProof/>
              </w:rPr>
              <w:t>, est autorisée.</w:t>
            </w:r>
          </w:p>
          <w:p>
            <w:pPr>
              <w:pStyle w:val="Point0"/>
              <w:rPr>
                <w:noProof/>
              </w:rPr>
            </w:pPr>
            <w:r>
              <w:rPr>
                <w:noProof/>
              </w:rPr>
              <w:tab/>
              <w:t>2. L'utilisation des articles suivants est autorisée:</w:t>
            </w:r>
          </w:p>
          <w:p>
            <w:pPr>
              <w:pStyle w:val="Point1"/>
              <w:rPr>
                <w:noProof/>
              </w:rPr>
            </w:pPr>
            <w:r>
              <w:rPr>
                <w:noProof/>
              </w:rPr>
              <w:tab/>
              <w:t>a) les bandes transporteuses employées dans l'industrie extractive et les mastics d'étanchéité des barrages qui contiennent des PCCC et qui étaient déjà en usage le 4 décembre 2015 ou avant cette date; et</w:t>
            </w:r>
          </w:p>
          <w:p>
            <w:pPr>
              <w:pStyle w:val="Point1"/>
              <w:rPr>
                <w:noProof/>
              </w:rPr>
            </w:pPr>
            <w:r>
              <w:rPr>
                <w:noProof/>
              </w:rPr>
              <w:tab/>
              <w:t>b) les articles contenant des PCCC autres que ceux visés au point a) qui étaient déjà en usage le 10 juillet 2012 ou avant cette date.</w:t>
            </w:r>
          </w:p>
          <w:p>
            <w:pPr>
              <w:pStyle w:val="Point0"/>
              <w:rPr>
                <w:noProof/>
              </w:rPr>
            </w:pPr>
            <w:r>
              <w:rPr>
                <w:noProof/>
              </w:rPr>
              <w:tab/>
              <w:t>3. L'article 4, paragraphe 2, troisième et quatrième alinéas, s'applique aux articles visés au point 2 ci-dessus.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adjustRightInd w:val="0"/>
        <w:spacing w:before="0" w:after="0"/>
        <w:jc w:val="left"/>
        <w:rPr>
          <w:noProof/>
        </w:rPr>
        <w:sectPr>
          <w:footerReference w:type="default" r:id="rId16"/>
          <w:footerReference w:type="first" r:id="rId17"/>
          <w:pgSz w:w="11906" w:h="16838"/>
          <w:pgMar w:top="1134" w:right="1418" w:bottom="1134" w:left="1418" w:header="709" w:footer="709" w:gutter="0"/>
          <w:pgNumType w:start="1"/>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Annexetitre"/>
        <w:rPr>
          <w:noProof/>
        </w:rPr>
      </w:pPr>
      <w:r>
        <w:rPr>
          <w:noProof/>
        </w:rPr>
        <w:t>ANNEXE II</w:t>
      </w:r>
    </w:p>
    <w:p>
      <w:pPr>
        <w:pStyle w:val="NormalCentered"/>
        <w:rPr>
          <w:b/>
          <w:bCs/>
          <w:noProof/>
        </w:rPr>
      </w:pPr>
      <w:r>
        <w:rPr>
          <w:b/>
          <w:bCs/>
          <w:noProof/>
        </w:rPr>
        <w:t>LISTE DES SUBSTANCES FAISANT L'OBJET DE LIMITATIONS</w:t>
      </w:r>
    </w:p>
    <w:p>
      <w:pPr>
        <w:pStyle w:val="NormalCentered"/>
        <w:jc w:val="left"/>
        <w:rPr>
          <w:noProof/>
          <w:lang w:eastAsia="en-GB"/>
        </w:rPr>
      </w:pPr>
    </w:p>
    <w:p>
      <w:pPr>
        <w:pStyle w:val="NormalCentered"/>
        <w:jc w:val="left"/>
        <w:rPr>
          <w:b/>
          <w:noProof/>
        </w:rPr>
      </w:pPr>
      <w:r>
        <w:rPr>
          <w:b/>
          <w:noProof/>
        </w:rPr>
        <w:t>PARTIE A - Substances figurant sur les listes de la convention et du protocole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Substance</w:t>
            </w:r>
          </w:p>
        </w:tc>
        <w:tc>
          <w:tcPr>
            <w:tcW w:w="1615" w:type="dxa"/>
          </w:tcPr>
          <w:p>
            <w:pPr>
              <w:pStyle w:val="NormalCentered"/>
              <w:jc w:val="left"/>
              <w:rPr>
                <w:noProof/>
              </w:rPr>
            </w:pPr>
            <w:r>
              <w:rPr>
                <w:noProof/>
              </w:rPr>
              <w:t>Nº CAS</w:t>
            </w:r>
          </w:p>
        </w:tc>
        <w:tc>
          <w:tcPr>
            <w:tcW w:w="1701" w:type="dxa"/>
          </w:tcPr>
          <w:p>
            <w:pPr>
              <w:pStyle w:val="NormalCentered"/>
              <w:jc w:val="left"/>
              <w:rPr>
                <w:noProof/>
              </w:rPr>
            </w:pPr>
            <w:r>
              <w:rPr>
                <w:noProof/>
              </w:rPr>
              <w:t>Nº CE</w:t>
            </w:r>
          </w:p>
        </w:tc>
        <w:tc>
          <w:tcPr>
            <w:tcW w:w="3649" w:type="dxa"/>
          </w:tcPr>
          <w:p>
            <w:pPr>
              <w:pStyle w:val="NormalCentered"/>
              <w:jc w:val="left"/>
              <w:rPr>
                <w:noProof/>
              </w:rPr>
            </w:pPr>
            <w:r>
              <w:rPr>
                <w:noProof/>
              </w:rPr>
              <w:t>Conditions de limitation</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pStyle w:val="NormalCentered"/>
        <w:jc w:val="left"/>
        <w:rPr>
          <w:noProof/>
        </w:rPr>
      </w:pPr>
    </w:p>
    <w:p>
      <w:pPr>
        <w:adjustRightInd w:val="0"/>
        <w:spacing w:before="0" w:after="0"/>
        <w:jc w:val="left"/>
        <w:rPr>
          <w:b/>
          <w:noProof/>
        </w:rPr>
      </w:pPr>
      <w:r>
        <w:rPr>
          <w:b/>
          <w:noProof/>
        </w:rPr>
        <w:t>PARTIE B - Substances énumérées uniquement dans le protocole</w:t>
      </w:r>
    </w:p>
    <w:p>
      <w:pPr>
        <w:adjustRightInd w:val="0"/>
        <w:spacing w:before="0" w:after="0"/>
        <w:jc w:val="left"/>
        <w:rPr>
          <w:noProo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21"/>
        <w:gridCol w:w="1615"/>
        <w:gridCol w:w="1701"/>
        <w:gridCol w:w="3649"/>
      </w:tblGrid>
      <w:tr>
        <w:tc>
          <w:tcPr>
            <w:tcW w:w="2321" w:type="dxa"/>
          </w:tcPr>
          <w:p>
            <w:pPr>
              <w:pStyle w:val="NormalCentered"/>
              <w:jc w:val="left"/>
              <w:rPr>
                <w:noProof/>
              </w:rPr>
            </w:pPr>
            <w:r>
              <w:rPr>
                <w:noProof/>
              </w:rPr>
              <w:t>Substance</w:t>
            </w:r>
          </w:p>
        </w:tc>
        <w:tc>
          <w:tcPr>
            <w:tcW w:w="1615" w:type="dxa"/>
          </w:tcPr>
          <w:p>
            <w:pPr>
              <w:pStyle w:val="NormalCentered"/>
              <w:jc w:val="left"/>
              <w:rPr>
                <w:noProof/>
              </w:rPr>
            </w:pPr>
            <w:r>
              <w:rPr>
                <w:noProof/>
              </w:rPr>
              <w:t>Nº CAS</w:t>
            </w:r>
          </w:p>
        </w:tc>
        <w:tc>
          <w:tcPr>
            <w:tcW w:w="1701" w:type="dxa"/>
          </w:tcPr>
          <w:p>
            <w:pPr>
              <w:pStyle w:val="NormalCentered"/>
              <w:jc w:val="left"/>
              <w:rPr>
                <w:noProof/>
              </w:rPr>
            </w:pPr>
            <w:r>
              <w:rPr>
                <w:noProof/>
              </w:rPr>
              <w:t>Nº CE</w:t>
            </w:r>
          </w:p>
        </w:tc>
        <w:tc>
          <w:tcPr>
            <w:tcW w:w="3649" w:type="dxa"/>
          </w:tcPr>
          <w:p>
            <w:pPr>
              <w:pStyle w:val="NormalCentered"/>
              <w:jc w:val="left"/>
              <w:rPr>
                <w:noProof/>
              </w:rPr>
            </w:pPr>
            <w:r>
              <w:rPr>
                <w:noProof/>
              </w:rPr>
              <w:t>Conditions de limitation</w:t>
            </w:r>
          </w:p>
        </w:tc>
      </w:tr>
      <w:tr>
        <w:tc>
          <w:tcPr>
            <w:tcW w:w="2321" w:type="dxa"/>
          </w:tcPr>
          <w:p>
            <w:pPr>
              <w:pStyle w:val="NormalCentered"/>
              <w:jc w:val="left"/>
              <w:rPr>
                <w:noProof/>
              </w:rPr>
            </w:pPr>
          </w:p>
        </w:tc>
        <w:tc>
          <w:tcPr>
            <w:tcW w:w="1615" w:type="dxa"/>
          </w:tcPr>
          <w:p>
            <w:pPr>
              <w:pStyle w:val="NormalCentered"/>
              <w:jc w:val="left"/>
              <w:rPr>
                <w:noProof/>
              </w:rPr>
            </w:pPr>
          </w:p>
        </w:tc>
        <w:tc>
          <w:tcPr>
            <w:tcW w:w="1701" w:type="dxa"/>
          </w:tcPr>
          <w:p>
            <w:pPr>
              <w:pStyle w:val="NormalCentered"/>
              <w:jc w:val="left"/>
              <w:rPr>
                <w:noProof/>
              </w:rPr>
            </w:pPr>
          </w:p>
        </w:tc>
        <w:tc>
          <w:tcPr>
            <w:tcW w:w="3649" w:type="dxa"/>
          </w:tcPr>
          <w:p>
            <w:pPr>
              <w:pStyle w:val="NormalCentered"/>
              <w:jc w:val="left"/>
              <w:rPr>
                <w:noProof/>
              </w:rPr>
            </w:pPr>
          </w:p>
        </w:tc>
      </w:tr>
    </w:tbl>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Annexetitre"/>
        <w:rPr>
          <w:noProof/>
        </w:rPr>
      </w:pPr>
      <w:r>
        <w:rPr>
          <w:noProof/>
        </w:rPr>
        <w:t>ANNEXE III</w:t>
      </w:r>
    </w:p>
    <w:p>
      <w:pPr>
        <w:pStyle w:val="NormalCentered"/>
        <w:rPr>
          <w:b/>
          <w:bCs/>
          <w:noProof/>
        </w:rPr>
      </w:pPr>
      <w:r>
        <w:rPr>
          <w:b/>
          <w:bCs/>
          <w:noProof/>
        </w:rPr>
        <w:t>LISTE DES SUBSTANCES SOUMISES À DES DISPOSITIONS EN MATIÈRE DE LIMITATION DES ÉMISSIONS</w:t>
      </w:r>
    </w:p>
    <w:p>
      <w:pPr>
        <w:pStyle w:val="ManualHeading1"/>
        <w:ind w:left="851" w:hanging="851"/>
        <w:rPr>
          <w:noProof/>
        </w:rPr>
      </w:pPr>
      <w:r>
        <w:rPr>
          <w:noProof/>
        </w:rPr>
        <w:t>Substance (Nº CAS)</w:t>
      </w:r>
    </w:p>
    <w:p>
      <w:pPr>
        <w:rPr>
          <w:noProof/>
        </w:rPr>
      </w:pPr>
      <w:r>
        <w:rPr>
          <w:noProof/>
        </w:rPr>
        <w:t>Polychlorodibenzo-p-dioxines et dibenzofurannes (PCDD/PCDF)</w:t>
      </w:r>
    </w:p>
    <w:p>
      <w:pPr>
        <w:rPr>
          <w:noProof/>
        </w:rPr>
      </w:pPr>
      <w:r>
        <w:rPr>
          <w:noProof/>
        </w:rPr>
        <w:t>Hexachlorobenzène (HCB) (Nº CAS: 118-74-1)</w:t>
      </w:r>
    </w:p>
    <w:p>
      <w:pPr>
        <w:rPr>
          <w:noProof/>
        </w:rPr>
      </w:pPr>
      <w:r>
        <w:rPr>
          <w:noProof/>
        </w:rPr>
        <w:t>Polychlorobiphényles (PCB)</w:t>
      </w:r>
    </w:p>
    <w:p>
      <w:pPr>
        <w:rPr>
          <w:noProof/>
        </w:rPr>
      </w:pPr>
      <w:r>
        <w:rPr>
          <w:noProof/>
        </w:rPr>
        <w:t>Hydrocarbures aromatiques polycycliques (HAP)</w:t>
      </w:r>
      <w:r>
        <w:rPr>
          <w:rStyle w:val="FootnoteReference"/>
          <w:noProof/>
        </w:rPr>
        <w:footnoteReference w:id="5"/>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757/2010 art. 1</w:t>
      </w:r>
      <w:r>
        <w:rPr>
          <w:noProof/>
          <w:vertAlign w:val="superscript"/>
          <w:lang w:val="fr-BE"/>
        </w:rPr>
        <w:t>er</w:t>
      </w:r>
      <w:r>
        <w:rPr>
          <w:noProof/>
          <w:lang w:val="fr-BE"/>
        </w:rPr>
        <w:t xml:space="preserve"> et annexe 2</w:t>
      </w:r>
    </w:p>
    <w:p>
      <w:pPr>
        <w:rPr>
          <w:noProof/>
        </w:rPr>
      </w:pPr>
      <w:r>
        <w:rPr>
          <w:noProof/>
        </w:rPr>
        <w:t>Pentachlorobenzène (Nº CAS 608-93-5)</w:t>
      </w:r>
    </w:p>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1342/2014 art. 1</w:t>
      </w:r>
      <w:r>
        <w:rPr>
          <w:noProof/>
          <w:vertAlign w:val="superscript"/>
          <w:lang w:val="da-DK"/>
        </w:rPr>
        <w:t>er</w:t>
      </w:r>
      <w:r>
        <w:rPr>
          <w:noProof/>
          <w:lang w:val="da-DK"/>
        </w:rPr>
        <w:t>, par. 1, et annexe I (adapté)</w:t>
      </w: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è</w:instrText>
      </w:r>
      <w:r>
        <w:rPr>
          <w:noProof/>
          <w:lang w:val="da-DK"/>
        </w:rPr>
        <w:instrText xml:space="preserve">" </w:instrText>
      </w:r>
      <w:r>
        <w:rPr>
          <w:noProof/>
        </w:rPr>
        <w:fldChar w:fldCharType="separate"/>
      </w:r>
      <w:r>
        <w:rPr>
          <w:rStyle w:val="CRMarker"/>
          <w:noProof/>
          <w:lang w:val="da-DK"/>
        </w:rPr>
        <w:t>è</w:t>
      </w:r>
      <w:r>
        <w:rPr>
          <w:noProof/>
        </w:rPr>
        <w:fldChar w:fldCharType="end"/>
      </w:r>
      <w:r>
        <w:rPr>
          <w:rStyle w:val="CRRefNum"/>
          <w:noProof/>
          <w:lang w:val="da-DK"/>
        </w:rPr>
        <w:t>1</w:t>
      </w:r>
      <w:r>
        <w:rPr>
          <w:noProof/>
          <w:lang w:val="da-DK"/>
        </w:rPr>
        <w:t> 460/2016 art. 1</w:t>
      </w:r>
      <w:r>
        <w:rPr>
          <w:noProof/>
          <w:vertAlign w:val="superscript"/>
          <w:lang w:val="da-DK"/>
        </w:rPr>
        <w:t>er</w:t>
      </w:r>
      <w:r>
        <w:rPr>
          <w:noProof/>
          <w:lang w:val="da-DK"/>
        </w:rPr>
        <w:t xml:space="preserve"> et annexe </w:t>
      </w:r>
    </w:p>
    <w:p>
      <w:pPr>
        <w:pStyle w:val="Annexetitre"/>
        <w:rPr>
          <w:noProof/>
          <w:lang w:val="da-DK"/>
        </w:rPr>
      </w:pPr>
      <w:r>
        <w:rPr>
          <w:noProof/>
          <w:lang w:val="da-DK"/>
        </w:rPr>
        <w:t>ANNEXE IV</w:t>
      </w:r>
    </w:p>
    <w:p>
      <w:pPr>
        <w:pStyle w:val="NormalCentered"/>
        <w:rPr>
          <w:b/>
          <w:bCs/>
          <w:noProof/>
        </w:rPr>
      </w:pPr>
      <w:r>
        <w:rPr>
          <w:b/>
          <w:bCs/>
          <w:noProof/>
        </w:rPr>
        <w:t>Liste des substances soumises aux dispositions en matière de gestion des déchets prévues à l'article 7</w:t>
      </w:r>
    </w:p>
    <w:tbl>
      <w:tblPr>
        <w:tblW w:w="0" w:type="auto"/>
        <w:tblLayout w:type="fixed"/>
        <w:tblLook w:val="0000" w:firstRow="0" w:lastRow="0" w:firstColumn="0" w:lastColumn="0" w:noHBand="0" w:noVBand="0"/>
      </w:tblPr>
      <w:tblGrid>
        <w:gridCol w:w="2322"/>
        <w:gridCol w:w="2321"/>
        <w:gridCol w:w="2322"/>
        <w:gridCol w:w="2321"/>
      </w:tblGrid>
      <w:tr>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Substance</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CAS</w:t>
            </w:r>
          </w:p>
        </w:tc>
        <w:tc>
          <w:tcPr>
            <w:tcW w:w="232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Nº CE</w:t>
            </w:r>
          </w:p>
        </w:tc>
        <w:tc>
          <w:tcPr>
            <w:tcW w:w="232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Limite de concentration visée à l'article 7, paragraphe 4, point a)</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Endosulfan</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115-29-7</w:t>
            </w:r>
          </w:p>
          <w:p>
            <w:pPr>
              <w:pStyle w:val="NormalLeft"/>
              <w:rPr>
                <w:noProof/>
              </w:rPr>
            </w:pPr>
            <w:r>
              <w:rPr>
                <w:noProof/>
              </w:rPr>
              <w:t>959-98-8</w:t>
            </w:r>
          </w:p>
          <w:p>
            <w:pPr>
              <w:pStyle w:val="NormalLeft"/>
              <w:rPr>
                <w:noProof/>
              </w:rPr>
            </w:pPr>
            <w:r>
              <w:rPr>
                <w:noProof/>
              </w:rPr>
              <w:t>33213-65-9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204-079-4</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Hexachlorobutadiène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87-68-3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201-765-5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Naphtalènes polychlorés</w:t>
            </w:r>
            <w:r>
              <w:rPr>
                <w:rStyle w:val="FootnoteReference"/>
                <w:noProof/>
              </w:rPr>
              <w:footnoteReference w:id="6"/>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Alcanes en C10-C13, chloro (paraffines chlorées à chaîne courte) (PCCC)</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85535-84-8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287-476-5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Tétrabromodiphényléther</w:t>
            </w:r>
          </w:p>
          <w:p>
            <w:pPr>
              <w:pStyle w:val="NormalLeft"/>
              <w:rPr>
                <w:noProof/>
              </w:rPr>
            </w:pPr>
            <w:r>
              <w:rPr>
                <w:noProof/>
              </w:rPr>
              <w:t>C</w:t>
            </w:r>
            <w:r>
              <w:rPr>
                <w:noProof/>
                <w:vertAlign w:val="subscript"/>
              </w:rPr>
              <w:t>12</w:t>
            </w:r>
            <w:r>
              <w:rPr>
                <w:noProof/>
              </w:rPr>
              <w:t>H</w:t>
            </w:r>
            <w:r>
              <w:rPr>
                <w:noProof/>
                <w:vertAlign w:val="subscript"/>
              </w:rPr>
              <w:t>6</w:t>
            </w:r>
            <w:r>
              <w:rPr>
                <w:noProof/>
              </w:rPr>
              <w:t>Br</w:t>
            </w:r>
            <w:r>
              <w:rPr>
                <w:noProof/>
                <w:vertAlign w:val="subscript"/>
              </w:rPr>
              <w:t>4</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40088-47-9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254-787-2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Somme des concentrations en tétrabromodiphényléther, pentabromodiphényléther, hexabromodiphényléther et heptabromodiphényléther: 1 000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Pentabromodiphényléther</w:t>
            </w:r>
          </w:p>
          <w:p>
            <w:pPr>
              <w:pStyle w:val="NormalLeft"/>
              <w:rPr>
                <w:noProof/>
              </w:rPr>
            </w:pPr>
            <w:r>
              <w:rPr>
                <w:noProof/>
              </w:rPr>
              <w:t>C</w:t>
            </w:r>
            <w:r>
              <w:rPr>
                <w:noProof/>
                <w:vertAlign w:val="subscript"/>
              </w:rPr>
              <w:t>12</w:t>
            </w:r>
            <w:r>
              <w:rPr>
                <w:noProof/>
              </w:rPr>
              <w:t>H</w:t>
            </w:r>
            <w:r>
              <w:rPr>
                <w:noProof/>
                <w:vertAlign w:val="subscript"/>
              </w:rPr>
              <w:t>5</w:t>
            </w:r>
            <w:r>
              <w:rPr>
                <w:noProof/>
              </w:rPr>
              <w:t>Br</w:t>
            </w:r>
            <w:r>
              <w:rPr>
                <w:noProof/>
                <w:vertAlign w:val="subscript"/>
              </w:rPr>
              <w:t>5</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32534-81-9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251-084-2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Hexabromodiphényléther</w:t>
            </w:r>
          </w:p>
          <w:p>
            <w:pPr>
              <w:pStyle w:val="NormalLeft"/>
              <w:rPr>
                <w:noProof/>
              </w:rPr>
            </w:pPr>
            <w:r>
              <w:rPr>
                <w:noProof/>
              </w:rPr>
              <w:t>C</w:t>
            </w:r>
            <w:r>
              <w:rPr>
                <w:noProof/>
                <w:vertAlign w:val="subscript"/>
              </w:rPr>
              <w:t>12</w:t>
            </w:r>
            <w:r>
              <w:rPr>
                <w:noProof/>
              </w:rPr>
              <w:t>H</w:t>
            </w:r>
            <w:r>
              <w:rPr>
                <w:noProof/>
                <w:vertAlign w:val="subscript"/>
              </w:rPr>
              <w:t>4</w:t>
            </w:r>
            <w:r>
              <w:rPr>
                <w:noProof/>
              </w:rPr>
              <w:t>Br</w:t>
            </w:r>
            <w:r>
              <w:rPr>
                <w:noProof/>
                <w:vertAlign w:val="subscript"/>
              </w:rPr>
              <w:t>6</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36483-60-0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253-058-6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Heptabromodiphényléther</w:t>
            </w:r>
          </w:p>
          <w:p>
            <w:pPr>
              <w:pStyle w:val="NormalLeft"/>
              <w:rPr>
                <w:noProof/>
              </w:rPr>
            </w:pPr>
            <w:r>
              <w:rPr>
                <w:noProof/>
              </w:rPr>
              <w:t>C</w:t>
            </w:r>
            <w:r>
              <w:rPr>
                <w:noProof/>
                <w:vertAlign w:val="subscript"/>
              </w:rPr>
              <w:t>12</w:t>
            </w:r>
            <w:r>
              <w:rPr>
                <w:noProof/>
              </w:rPr>
              <w:t>H</w:t>
            </w:r>
            <w:r>
              <w:rPr>
                <w:noProof/>
                <w:vertAlign w:val="subscript"/>
              </w:rPr>
              <w:t>3</w:t>
            </w:r>
            <w:r>
              <w:rPr>
                <w:noProof/>
              </w:rPr>
              <w:t>Br</w:t>
            </w:r>
            <w:r>
              <w:rPr>
                <w:noProof/>
                <w:vertAlign w:val="subscript"/>
              </w:rPr>
              <w:t>7</w:t>
            </w:r>
            <w:r>
              <w:rPr>
                <w:noProof/>
              </w:rPr>
              <w:t>O</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68928-80-3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273-031-2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Acide perfluorooctane sulfonique et ses dérivés </w:t>
            </w:r>
            <w:r>
              <w:rPr>
                <w:rStyle w:val="CRMinorChangeAdded"/>
                <w:noProof/>
              </w:rPr>
              <w:t>(SPFO)</w:t>
            </w:r>
          </w:p>
          <w:p>
            <w:pPr>
              <w:pStyle w:val="NormalLeft"/>
              <w:rPr>
                <w:noProof/>
              </w:rPr>
            </w:pPr>
            <w:r>
              <w:rPr>
                <w:noProof/>
              </w:rPr>
              <w:t>C</w:t>
            </w:r>
            <w:r>
              <w:rPr>
                <w:noProof/>
                <w:vertAlign w:val="subscript"/>
              </w:rPr>
              <w:t>8</w:t>
            </w:r>
            <w:r>
              <w:rPr>
                <w:noProof/>
              </w:rPr>
              <w:t>F</w:t>
            </w:r>
            <w:r>
              <w:rPr>
                <w:noProof/>
                <w:vertAlign w:val="subscript"/>
              </w:rPr>
              <w:t>17</w:t>
            </w:r>
            <w:r>
              <w:rPr>
                <w:noProof/>
              </w:rPr>
              <w:t>SO</w:t>
            </w:r>
            <w:r>
              <w:rPr>
                <w:noProof/>
                <w:vertAlign w:val="subscript"/>
              </w:rPr>
              <w:t>2</w:t>
            </w:r>
            <w:r>
              <w:rPr>
                <w:noProof/>
              </w:rPr>
              <w:t>X</w:t>
            </w:r>
          </w:p>
          <w:p>
            <w:pPr>
              <w:pStyle w:val="NormalLeft"/>
              <w:rPr>
                <w:noProof/>
              </w:rPr>
            </w:pPr>
            <w:r>
              <w:rPr>
                <w:noProof/>
              </w:rPr>
              <w:t>[X = OH, sel métallique (O-M+), halogénure, amide et autres dérivés, y compris les polymères]</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1763-23-1 </w:t>
            </w:r>
          </w:p>
          <w:p>
            <w:pPr>
              <w:pStyle w:val="NormalLeft"/>
              <w:rPr>
                <w:noProof/>
              </w:rPr>
            </w:pPr>
            <w:r>
              <w:rPr>
                <w:noProof/>
              </w:rPr>
              <w:t xml:space="preserve">2795-39-3 </w:t>
            </w:r>
          </w:p>
          <w:p>
            <w:pPr>
              <w:pStyle w:val="NormalLeft"/>
              <w:rPr>
                <w:noProof/>
              </w:rPr>
            </w:pPr>
            <w:r>
              <w:rPr>
                <w:noProof/>
              </w:rPr>
              <w:t xml:space="preserve">29457-72-5 </w:t>
            </w:r>
          </w:p>
          <w:p>
            <w:pPr>
              <w:pStyle w:val="NormalLeft"/>
              <w:rPr>
                <w:noProof/>
              </w:rPr>
            </w:pPr>
            <w:r>
              <w:rPr>
                <w:noProof/>
              </w:rPr>
              <w:t xml:space="preserve">29081-56-9 </w:t>
            </w:r>
          </w:p>
          <w:p>
            <w:pPr>
              <w:pStyle w:val="NormalLeft"/>
              <w:rPr>
                <w:noProof/>
              </w:rPr>
            </w:pPr>
            <w:r>
              <w:rPr>
                <w:noProof/>
              </w:rPr>
              <w:t xml:space="preserve">70225-14-8 </w:t>
            </w:r>
          </w:p>
          <w:p>
            <w:pPr>
              <w:pStyle w:val="NormalLeft"/>
              <w:rPr>
                <w:noProof/>
              </w:rPr>
            </w:pPr>
            <w:r>
              <w:rPr>
                <w:noProof/>
              </w:rPr>
              <w:t xml:space="preserve">56773-42-3 </w:t>
            </w:r>
          </w:p>
          <w:p>
            <w:pPr>
              <w:pStyle w:val="NormalLeft"/>
              <w:rPr>
                <w:noProof/>
              </w:rPr>
            </w:pPr>
            <w:r>
              <w:rPr>
                <w:noProof/>
              </w:rPr>
              <w:t xml:space="preserve">251099-16-8 </w:t>
            </w:r>
          </w:p>
          <w:p>
            <w:pPr>
              <w:pStyle w:val="NormalLeft"/>
              <w:rPr>
                <w:noProof/>
              </w:rPr>
            </w:pPr>
            <w:r>
              <w:rPr>
                <w:noProof/>
              </w:rPr>
              <w:t xml:space="preserve">4151-50-2 </w:t>
            </w:r>
          </w:p>
          <w:p>
            <w:pPr>
              <w:pStyle w:val="NormalLeft"/>
              <w:rPr>
                <w:noProof/>
              </w:rPr>
            </w:pPr>
            <w:r>
              <w:rPr>
                <w:noProof/>
              </w:rPr>
              <w:t xml:space="preserve">31506-32-8 </w:t>
            </w:r>
          </w:p>
          <w:p>
            <w:pPr>
              <w:pStyle w:val="NormalLeft"/>
              <w:rPr>
                <w:noProof/>
              </w:rPr>
            </w:pPr>
            <w:r>
              <w:rPr>
                <w:noProof/>
              </w:rPr>
              <w:t xml:space="preserve">1691-99-2 </w:t>
            </w:r>
          </w:p>
          <w:p>
            <w:pPr>
              <w:pStyle w:val="NormalLeft"/>
              <w:rPr>
                <w:noProof/>
              </w:rPr>
            </w:pPr>
            <w:r>
              <w:rPr>
                <w:noProof/>
              </w:rPr>
              <w:t xml:space="preserve">24448-09-7 </w:t>
            </w:r>
          </w:p>
          <w:p>
            <w:pPr>
              <w:pStyle w:val="NormalLeft"/>
              <w:rPr>
                <w:noProof/>
              </w:rPr>
            </w:pPr>
            <w:r>
              <w:rPr>
                <w:noProof/>
              </w:rPr>
              <w:t>307-35-7 et autres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217-179-8</w:t>
            </w:r>
          </w:p>
          <w:p>
            <w:pPr>
              <w:pStyle w:val="NormalLeft"/>
              <w:rPr>
                <w:noProof/>
              </w:rPr>
            </w:pPr>
            <w:r>
              <w:rPr>
                <w:noProof/>
              </w:rPr>
              <w:t>220-527-1</w:t>
            </w:r>
          </w:p>
          <w:p>
            <w:pPr>
              <w:pStyle w:val="NormalLeft"/>
              <w:rPr>
                <w:noProof/>
              </w:rPr>
            </w:pPr>
            <w:r>
              <w:rPr>
                <w:noProof/>
              </w:rPr>
              <w:t>249-644-6</w:t>
            </w:r>
          </w:p>
          <w:p>
            <w:pPr>
              <w:pStyle w:val="NormalLeft"/>
              <w:rPr>
                <w:noProof/>
              </w:rPr>
            </w:pPr>
            <w:r>
              <w:rPr>
                <w:noProof/>
              </w:rPr>
              <w:t>249-415-0</w:t>
            </w:r>
          </w:p>
          <w:p>
            <w:pPr>
              <w:pStyle w:val="NormalLeft"/>
              <w:rPr>
                <w:noProof/>
              </w:rPr>
            </w:pPr>
            <w:r>
              <w:rPr>
                <w:noProof/>
              </w:rPr>
              <w:t>274-460-8</w:t>
            </w:r>
          </w:p>
          <w:p>
            <w:pPr>
              <w:pStyle w:val="NormalLeft"/>
              <w:rPr>
                <w:noProof/>
              </w:rPr>
            </w:pPr>
            <w:r>
              <w:rPr>
                <w:noProof/>
              </w:rPr>
              <w:t>260-375-3</w:t>
            </w:r>
          </w:p>
          <w:p>
            <w:pPr>
              <w:pStyle w:val="NormalLeft"/>
              <w:rPr>
                <w:noProof/>
              </w:rPr>
            </w:pPr>
          </w:p>
          <w:p>
            <w:pPr>
              <w:pStyle w:val="NormalLeft"/>
              <w:rPr>
                <w:rStyle w:val="orderablesearchcontainer"/>
                <w:noProof/>
              </w:rPr>
            </w:pPr>
            <w:r>
              <w:rPr>
                <w:rStyle w:val="orderablesearchcontainer"/>
                <w:noProof/>
              </w:rPr>
              <w:t>223-980-3</w:t>
            </w:r>
          </w:p>
          <w:p>
            <w:pPr>
              <w:pStyle w:val="NormalLeft"/>
              <w:rPr>
                <w:rStyle w:val="orderablesearchcontainer"/>
                <w:noProof/>
              </w:rPr>
            </w:pPr>
            <w:r>
              <w:rPr>
                <w:rStyle w:val="orderablesearchcontainer"/>
                <w:noProof/>
              </w:rPr>
              <w:t>250-665-8</w:t>
            </w:r>
          </w:p>
          <w:p>
            <w:pPr>
              <w:pStyle w:val="NormalLeft"/>
              <w:rPr>
                <w:rStyle w:val="orderablesearchcontainer"/>
                <w:noProof/>
              </w:rPr>
            </w:pPr>
            <w:r>
              <w:rPr>
                <w:rStyle w:val="orderablesearchcontainer"/>
                <w:noProof/>
              </w:rPr>
              <w:t>216-887-4</w:t>
            </w:r>
          </w:p>
          <w:p>
            <w:pPr>
              <w:pStyle w:val="NormalLeft"/>
              <w:rPr>
                <w:rStyle w:val="orderablesearchcontainer"/>
                <w:noProof/>
              </w:rPr>
            </w:pPr>
            <w:r>
              <w:rPr>
                <w:rStyle w:val="orderablesearchcontainer"/>
                <w:noProof/>
              </w:rPr>
              <w:t>246-262-1</w:t>
            </w:r>
          </w:p>
          <w:p>
            <w:pPr>
              <w:pStyle w:val="NormalLeft"/>
              <w:rPr>
                <w:noProof/>
              </w:rPr>
            </w:pPr>
            <w:r>
              <w:rPr>
                <w:rStyle w:val="orderablesearchcontainer"/>
                <w:noProof/>
              </w:rPr>
              <w:t>206-200-6 et autres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Polychlorodibenzo-p-dioxines et dibenzofurannes (PCDD/PCDF)</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 μg/kg</w:t>
            </w:r>
            <w:r>
              <w:rPr>
                <w:rStyle w:val="FootnoteReference"/>
                <w:noProof/>
              </w:rPr>
              <w:footnoteReference w:id="7"/>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DDT (1,1,1-trichloro-2-2-bis(4-chlorophényl)éthane)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50-29-3</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200-024-3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57-74-9</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200-349-0</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Hexachlorocyclohexanes, y compris le lindane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58-89-9</w:t>
            </w:r>
          </w:p>
          <w:p>
            <w:pPr>
              <w:pStyle w:val="NormalLeft"/>
              <w:rPr>
                <w:noProof/>
              </w:rPr>
            </w:pPr>
            <w:r>
              <w:rPr>
                <w:noProof/>
              </w:rPr>
              <w:t>319-84-6</w:t>
            </w:r>
          </w:p>
          <w:p>
            <w:pPr>
              <w:pStyle w:val="NormalLeft"/>
              <w:rPr>
                <w:noProof/>
              </w:rPr>
            </w:pPr>
            <w:r>
              <w:rPr>
                <w:noProof/>
              </w:rPr>
              <w:t>319-85-7</w:t>
            </w:r>
          </w:p>
          <w:p>
            <w:pPr>
              <w:pStyle w:val="NormalLeft"/>
              <w:rPr>
                <w:noProof/>
              </w:rPr>
            </w:pPr>
            <w:r>
              <w:rPr>
                <w:noProof/>
              </w:rPr>
              <w:t>608-73-1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210-168-9</w:t>
            </w:r>
          </w:p>
          <w:p>
            <w:pPr>
              <w:pStyle w:val="NormalLeft"/>
              <w:rPr>
                <w:noProof/>
              </w:rPr>
            </w:pPr>
            <w:r>
              <w:rPr>
                <w:noProof/>
              </w:rPr>
              <w:t>200-401-2</w:t>
            </w:r>
          </w:p>
          <w:p>
            <w:pPr>
              <w:pStyle w:val="NormalLeft"/>
              <w:rPr>
                <w:noProof/>
              </w:rPr>
            </w:pPr>
            <w:r>
              <w:rPr>
                <w:noProof/>
              </w:rPr>
              <w:t>206-270-8</w:t>
            </w:r>
          </w:p>
          <w:p>
            <w:pPr>
              <w:pStyle w:val="NormalLeft"/>
              <w:rPr>
                <w:noProof/>
              </w:rPr>
            </w:pPr>
            <w:r>
              <w:rPr>
                <w:noProof/>
              </w:rPr>
              <w:t>206-271-3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Dieldrine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60-57-1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200-484-5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Endrine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72-20-8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200-775-7</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Heptachlore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76-44-8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200-962-3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Hexachlorobenzène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118-74-1</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200-273-9</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Chlordécone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143-50-0</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205-601-3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Aldrine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309-00-2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206-215-8</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Pentachlorobenzène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608-93-5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210-172-5</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Polychlorobiphényles (PCB)</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1336-36-3 et autres</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215-648-1</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r>
              <w:rPr>
                <w:rStyle w:val="FootnoteReference"/>
                <w:noProof/>
              </w:rPr>
              <w:footnoteReference w:id="8"/>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Mirex</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2385-85-5</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219-196-6</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Toxaphène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8001-35-2</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232-283-3</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Hexabromobiphényle</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36355-01-8</w:t>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252-994-2</w:t>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 mg/kg</w:t>
            </w:r>
          </w:p>
        </w:tc>
      </w:tr>
      <w:tr>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Hexabromocyclododécane</w:t>
            </w:r>
            <w:r>
              <w:rPr>
                <w:rStyle w:val="FootnoteReference"/>
                <w:noProof/>
              </w:rPr>
              <w:footnoteReference w:id="9"/>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25637-99-4,</w:t>
            </w:r>
          </w:p>
          <w:p>
            <w:pPr>
              <w:pStyle w:val="NormalLeft"/>
              <w:rPr>
                <w:noProof/>
              </w:rPr>
            </w:pPr>
            <w:r>
              <w:rPr>
                <w:noProof/>
              </w:rPr>
              <w:t>3194-55-6,</w:t>
            </w:r>
          </w:p>
          <w:p>
            <w:pPr>
              <w:pStyle w:val="NormalLeft"/>
              <w:rPr>
                <w:noProof/>
              </w:rPr>
            </w:pPr>
            <w:r>
              <w:rPr>
                <w:noProof/>
              </w:rPr>
              <w:t>134237-50-6,</w:t>
            </w:r>
          </w:p>
          <w:p>
            <w:pPr>
              <w:pStyle w:val="NormalLeft"/>
              <w:rPr>
                <w:noProof/>
              </w:rPr>
            </w:pPr>
            <w:r>
              <w:rPr>
                <w:noProof/>
              </w:rPr>
              <w:t>134237-51-7,</w:t>
            </w:r>
          </w:p>
          <w:p>
            <w:pPr>
              <w:pStyle w:val="NormalLeft"/>
              <w:rPr>
                <w:noProof/>
              </w:rPr>
            </w:pPr>
            <w:r>
              <w:rPr>
                <w:noProof/>
              </w:rPr>
              <w:t>134237-52-8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247-148-4</w:t>
            </w:r>
          </w:p>
          <w:p>
            <w:pPr>
              <w:pStyle w:val="NormalLeft"/>
              <w:rPr>
                <w:noProof/>
              </w:rPr>
            </w:pPr>
            <w:r>
              <w:rPr>
                <w:noProof/>
              </w:rPr>
              <w:t>221-695-9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23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1 000 mg/kg, sous réserve d'un réexamen par la Commission au plus tard le 20</w:t>
            </w:r>
            <w:r>
              <w:rPr>
                <w:rStyle w:val="CRMinorChangeDeleted"/>
                <w:noProof/>
              </w:rPr>
              <w:t>.4.</w:t>
            </w:r>
            <w:r>
              <w:rPr>
                <w:noProof/>
              </w:rPr>
              <w:t xml:space="preserve"> </w:t>
            </w:r>
            <w:r>
              <w:rPr>
                <w:rStyle w:val="CRMinorChangeAdded"/>
                <w:noProof/>
              </w:rPr>
              <w:t>avril</w:t>
            </w:r>
            <w:r>
              <w:rPr>
                <w:noProof/>
              </w:rPr>
              <w:t xml:space="preserve"> 2019 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adjustRightInd w:val="0"/>
        <w:spacing w:before="0" w:after="0"/>
        <w:jc w:val="left"/>
        <w:rPr>
          <w:noProof/>
        </w:rPr>
        <w:sectPr>
          <w:pgSz w:w="11906" w:h="16838"/>
          <w:pgMar w:top="1134" w:right="1418" w:bottom="1134" w:left="1418" w:header="709" w:footer="709" w:gutter="0"/>
          <w:pgNumType w:start="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229 du 29.6.2004, p. 5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304/2009 art. 1</w:t>
      </w:r>
      <w:r>
        <w:rPr>
          <w:noProof/>
          <w:vertAlign w:val="superscript"/>
        </w:rPr>
        <w:t>er</w:t>
      </w:r>
      <w:r>
        <w:rPr>
          <w:noProof/>
        </w:rPr>
        <w:t xml:space="preserve"> et annexe, point 2 a)</w:t>
      </w:r>
    </w:p>
    <w:p>
      <w:pPr>
        <w:pStyle w:val="Annexetitre"/>
        <w:rPr>
          <w:noProof/>
        </w:rPr>
      </w:pPr>
      <w:r>
        <w:rPr>
          <w:noProof/>
        </w:rPr>
        <w:t>ANNEXE V</w:t>
      </w:r>
    </w:p>
    <w:p>
      <w:pPr>
        <w:pStyle w:val="NormalCentered"/>
        <w:rPr>
          <w:b/>
          <w:bCs/>
          <w:noProof/>
        </w:rPr>
      </w:pPr>
      <w:r>
        <w:rPr>
          <w:b/>
          <w:bCs/>
          <w:noProof/>
        </w:rPr>
        <w:t>GESTION DES DÉCHETS</w:t>
      </w:r>
    </w:p>
    <w:p>
      <w:pPr>
        <w:pStyle w:val="ManualHeading1"/>
        <w:ind w:left="851" w:hanging="851"/>
        <w:rPr>
          <w:noProof/>
        </w:rPr>
      </w:pPr>
      <w:r>
        <w:rPr>
          <w:noProof/>
        </w:rPr>
        <w:t>Partie 1 – Opérations d'élimination et de valorisation visées à l'article 7, paragraphe 2</w:t>
      </w:r>
    </w:p>
    <w:p>
      <w:pPr>
        <w:rPr>
          <w:noProof/>
        </w:rPr>
      </w:pPr>
      <w:r>
        <w:rPr>
          <w:noProof/>
        </w:rPr>
        <w:t>Les opérations suivantes d'élimination et de valorisation, prévues aux annexes I</w:t>
      </w:r>
      <w:r>
        <w:rPr>
          <w:rStyle w:val="CRMinorChangeDeleted"/>
          <w:noProof/>
        </w:rPr>
        <w:t>A</w:t>
      </w:r>
      <w:r>
        <w:rPr>
          <w:noProof/>
        </w:rPr>
        <w:t xml:space="preserve"> et II</w:t>
      </w:r>
      <w:r>
        <w:rPr>
          <w:rStyle w:val="CRMinorChangeDeleted"/>
          <w:noProof/>
        </w:rPr>
        <w:t>B</w:t>
      </w:r>
      <w:r>
        <w:rPr>
          <w:noProof/>
        </w:rPr>
        <w:t xml:space="preserve"> de la directive </w:t>
      </w:r>
      <w:r>
        <w:rPr>
          <w:rStyle w:val="CRMinorChangeDeleted"/>
          <w:noProof/>
        </w:rPr>
        <w:t>75/442/CEE</w:t>
      </w:r>
      <w:r>
        <w:rPr>
          <w:rStyle w:val="CRMinorChangeAdded"/>
          <w:noProof/>
        </w:rPr>
        <w:t>2008/98/CE</w:t>
      </w:r>
      <w:r>
        <w:rPr>
          <w:noProof/>
        </w:rPr>
        <w:t>, sont autorisées aux fins prévues à l'article 7, paragraphe 2, dès lors qu'elles sont effectuées de manière à garantir la destruction ou la transformation irréversible de la teneur en polluants organiques persistants:</w:t>
      </w:r>
    </w:p>
    <w:tbl>
      <w:tblPr>
        <w:tblW w:w="0" w:type="auto"/>
        <w:tblLayout w:type="fixed"/>
        <w:tblLook w:val="0000" w:firstRow="0" w:lastRow="0" w:firstColumn="0" w:lastColumn="0" w:noHBand="0" w:noVBand="0"/>
      </w:tblPr>
      <w:tblGrid>
        <w:gridCol w:w="743"/>
        <w:gridCol w:w="464"/>
        <w:gridCol w:w="8079"/>
      </w:tblGrid>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D9</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Traitement physico-chimique,</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D10</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Incinération à terre et</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R1</w:t>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Utilisation principale comme combustible ou autre moyen de produire de l'énergie, à l'exclusion des déchets contenant des PCB.</w:t>
            </w:r>
          </w:p>
        </w:tc>
      </w:tr>
      <w:tr>
        <w:tc>
          <w:tcPr>
            <w:tcW w:w="7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R4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464"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Recyclage ou récupération des métaux et des composés métalliques, dans les conditions suivantes: les opérations sont limitées aux déchets issus de procédés sidérurgiques, tels que les poussières et les boues provenant de l’épuration des fumées, la calamine et les poussières de filtration contenant du zinc et provenant des aciéries, les poussières de systèmes d’épuration des gaz de fonderies de cuivre et autres déchets similaires et les résidus de lessivage contenant du plomb provenant de la production de métaux non ferreux. Les déchets contenant des PCB sont exclus. Les opérations sont limitées aux processus de récupération du fer et des alliages de fer (haut-fourneau, four à cuve et four à sole) ainsi que des métaux non ferreux (procédé de Waelz à four rotatif, procédés de fusion au bain à l’aide de fours verticaux ou horizontaux), à condition que les installations respectent au moins les valeurs limites d’émission établies pour les PCDD et les PCDF </w:t>
            </w:r>
            <w:r>
              <w:rPr>
                <w:rStyle w:val="CRMinorChangeDeleted"/>
                <w:noProof/>
              </w:rPr>
              <w:t>dans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directive </w:t>
            </w:r>
            <w:r>
              <w:rPr>
                <w:rStyle w:val="CRMinorChangeAdded"/>
                <w:noProof/>
              </w:rPr>
              <w:t>2010/75/UE du Parlement européen et du Conseil du 24 novembre 2010 relative aux émissions industrielles</w:t>
            </w:r>
            <w:r>
              <w:rPr>
                <w:noProof/>
              </w:rPr>
              <w:t xml:space="preserve"> </w:t>
            </w:r>
            <w:r>
              <w:rPr>
                <w:rStyle w:val="CRMinorChangeDeleted"/>
                <w:noProof/>
              </w:rPr>
              <w:t>2000/76/CE du Parlement européen et du Conseil du 4 décembre 2000 sur l’incinération des déchets</w:t>
            </w:r>
            <w:r>
              <w:rPr>
                <w:rStyle w:val="FootnoteReference"/>
                <w:noProof/>
              </w:rPr>
              <w:footnoteReference w:id="10"/>
            </w:r>
            <w:r>
              <w:rPr>
                <w:noProof/>
              </w:rPr>
              <w:t>, que ces procédés relèvent ou non de ladite directive et</w:t>
            </w:r>
            <w:r>
              <w:rPr>
                <w:rStyle w:val="CRMinorChangeDeleted"/>
                <w:noProof/>
              </w:rPr>
              <w:t>, le cas échéant,</w:t>
            </w:r>
            <w:r>
              <w:rPr>
                <w:noProof/>
              </w:rPr>
              <w:t xml:space="preserve"> sans préjudice de ses autres dispositions </w:t>
            </w:r>
            <w:r>
              <w:rPr>
                <w:rStyle w:val="CRRefonteDeleted"/>
                <w:noProof/>
                <w:highlight w:val="lightGray"/>
              </w:rPr>
              <w:t>ni de celles de la directive 96/61/CE</w:t>
            </w:r>
            <w:r>
              <w:rPr>
                <w:noProof/>
              </w:rPr>
              <w:t>.</w:t>
            </w:r>
          </w:p>
          <w:p>
            <w:pPr>
              <w:pStyle w:val="NormalLeft"/>
              <w:rPr>
                <w:noProof/>
              </w:rPr>
            </w:pP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bl>
    <w:p>
      <w:pPr>
        <w:rPr>
          <w:noProof/>
        </w:rPr>
      </w:pPr>
    </w:p>
    <w:p>
      <w:pPr>
        <w:rPr>
          <w:noProof/>
        </w:rPr>
      </w:pPr>
      <w:r>
        <w:rPr>
          <w:noProof/>
        </w:rPr>
        <w:t xml:space="preserve">Une opération de prétraitement préalable à la destruction ou à la transformation irréversible conformément à la présente partie de cette annexe peut être effectuée, à condition qu'une substance figurant sur la liste de l'annexe IV qui est isolée du déchet durant le prétraitement soit par la suite éliminée conformément à la présente partie de cette annexe.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Lorsqu’une partie seulement d’un produit ou d’un déchet (déchets d’équipements, par exemple) contient des polluants organiques persistants ou est contaminée par ces substances, cette partie est séparée du reste puis éliminée conformément aux dispositions du présent règlement.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 outre, une opération de reconditionnement et de stockage temporaire peut être effectuée avant ce prétraitement ou avant la destruction ou la transformation irréversible, conformément à la présente partie de cette annexe.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172/2007 art. 1</w:t>
      </w:r>
      <w:r>
        <w:rPr>
          <w:noProof/>
          <w:vertAlign w:val="superscript"/>
          <w:lang w:val="fr-BE"/>
        </w:rPr>
        <w:t>er</w:t>
      </w:r>
      <w:r>
        <w:rPr>
          <w:noProof/>
          <w:lang w:val="fr-BE"/>
        </w:rPr>
        <w:t xml:space="preserve"> et annexe </w:t>
      </w:r>
    </w:p>
    <w:p>
      <w:pPr>
        <w:pStyle w:val="ManualHeading1"/>
        <w:ind w:left="851" w:hanging="851"/>
        <w:rPr>
          <w:noProof/>
        </w:rPr>
      </w:pPr>
      <w:r>
        <w:rPr>
          <w:noProof/>
        </w:rPr>
        <w:t>Partie 2 – Déchets et opérations auxquels l'article 7, paragraphe 4, point b), s'applique</w:t>
      </w:r>
    </w:p>
    <w:p>
      <w:pPr>
        <w:rPr>
          <w:noProof/>
        </w:rPr>
      </w:pPr>
      <w:r>
        <w:rPr>
          <w:noProof/>
        </w:rPr>
        <w:t>Les opérations suivantes sont autorisées aux fins de l'article 7, paragraphe 4, point b), en ce qui concerne les déchets spécifiés, définis par le code à six chiffres, selon le classement de la décision 2000/532/CE</w:t>
      </w:r>
      <w:r>
        <w:rPr>
          <w:rStyle w:val="FootnoteReference"/>
          <w:noProof/>
        </w:rPr>
        <w:footnoteReference w:id="11"/>
      </w:r>
      <w:r>
        <w:rPr>
          <w:noProof/>
        </w:rPr>
        <w:t>.</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323/2007 art. 1</w:t>
      </w:r>
      <w:r>
        <w:rPr>
          <w:noProof/>
          <w:vertAlign w:val="superscript"/>
          <w:lang w:val="fr-BE"/>
        </w:rPr>
        <w:t>er</w:t>
      </w:r>
      <w:r>
        <w:rPr>
          <w:noProof/>
          <w:lang w:val="fr-BE"/>
        </w:rPr>
        <w:t xml:space="preserve"> et annexe </w:t>
      </w:r>
    </w:p>
    <w:p>
      <w:pPr>
        <w:rPr>
          <w:noProof/>
        </w:rPr>
      </w:pPr>
      <w:r>
        <w:rPr>
          <w:noProof/>
        </w:rPr>
        <w:t>Des opérations de prétraitement préalables au stockage définitif conformément à la présente partie de cette annexe peuvent être effectuées, à condition qu'une substance figurant sur la liste de l'annexe IV qui est isolée du déchet durant le prétraitement soit par la suite éliminée conformément à la partie 1 de cette annexe. En outre, des opérations de reconditionnement et de stockage temporaire peuvent être effectuées avant ce prétraitement ou avant le stockage définitif, conformément à la présente partie de cette annexe.</w:t>
      </w:r>
    </w:p>
    <w:p>
      <w:pPr>
        <w:pStyle w:val="CRSeparator"/>
        <w:rPr>
          <w:noProof/>
        </w:rPr>
      </w:pPr>
    </w:p>
    <w:p>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460/2016 art. 1</w:t>
      </w:r>
      <w:r>
        <w:rPr>
          <w:noProof/>
          <w:vertAlign w:val="superscript"/>
          <w:lang w:val="da-DK"/>
        </w:rPr>
        <w:t>er</w:t>
      </w:r>
      <w:r>
        <w:rPr>
          <w:noProof/>
          <w:lang w:val="da-DK"/>
        </w:rPr>
        <w:t xml:space="preserve"> et annexe </w:t>
      </w:r>
    </w:p>
    <w:tbl>
      <w:tblPr>
        <w:tblW w:w="0" w:type="auto"/>
        <w:tblLayout w:type="fixed"/>
        <w:tblLook w:val="0000" w:firstRow="0" w:lastRow="0" w:firstColumn="0" w:lastColumn="0" w:noHBand="0" w:noVBand="0"/>
      </w:tblPr>
      <w:tblGrid>
        <w:gridCol w:w="650"/>
        <w:gridCol w:w="1486"/>
        <w:gridCol w:w="4271"/>
        <w:gridCol w:w="2879"/>
      </w:tblGrid>
      <w:tr>
        <w:tc>
          <w:tcPr>
            <w:tcW w:w="213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Déchets tels que classés dans la décision 2000/532/CE de la Commission</w:t>
            </w:r>
          </w:p>
        </w:tc>
        <w:tc>
          <w:tcPr>
            <w:tcW w:w="4271"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Limites de concentration applicables aux substances inscrites sur la liste de l'annexe IV</w:t>
            </w:r>
            <w:r>
              <w:rPr>
                <w:rStyle w:val="FootnoteReference"/>
                <w:noProof/>
              </w:rPr>
              <w:footnoteReference w:id="12"/>
            </w:r>
          </w:p>
        </w:tc>
        <w:tc>
          <w:tcPr>
            <w:tcW w:w="28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Opération</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PROCÉDÉS THERMIQUES</w:t>
            </w:r>
          </w:p>
        </w:tc>
        <w:tc>
          <w:tcPr>
            <w:tcW w:w="4271"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Alcanes en C</w:t>
            </w:r>
            <w:r>
              <w:rPr>
                <w:noProof/>
                <w:vertAlign w:val="subscript"/>
              </w:rPr>
              <w:t>10</w:t>
            </w:r>
            <w:r>
              <w:rPr>
                <w:noProof/>
              </w:rPr>
              <w:t>-C</w:t>
            </w:r>
            <w:r>
              <w:rPr>
                <w:noProof/>
                <w:vertAlign w:val="subscript"/>
              </w:rPr>
              <w:t>13</w:t>
            </w:r>
            <w:r>
              <w:rPr>
                <w:noProof/>
              </w:rPr>
              <w:t>, chloro (paraffines chlorées à chaîne courte) (PCCC): 10 000 mg/kg;</w:t>
            </w:r>
          </w:p>
          <w:p>
            <w:pPr>
              <w:pStyle w:val="NormalLeft"/>
              <w:rPr>
                <w:noProof/>
              </w:rPr>
            </w:pPr>
            <w:r>
              <w:rPr>
                <w:noProof/>
              </w:rPr>
              <w:t>aldrine: 5 000 mg/kg;</w:t>
            </w:r>
          </w:p>
          <w:p>
            <w:pPr>
              <w:pStyle w:val="NormalLeft"/>
              <w:rPr>
                <w:noProof/>
              </w:rPr>
            </w:pPr>
            <w:r>
              <w:rPr>
                <w:noProof/>
              </w:rPr>
              <w:t>chlordane: 5 000 mg/kg;</w:t>
            </w:r>
          </w:p>
          <w:p>
            <w:pPr>
              <w:pStyle w:val="NormalLeft"/>
              <w:rPr>
                <w:noProof/>
              </w:rPr>
            </w:pPr>
            <w:r>
              <w:rPr>
                <w:noProof/>
              </w:rPr>
              <w:t>chlordécone: 5 000 mg/kg;</w:t>
            </w:r>
          </w:p>
          <w:p>
            <w:pPr>
              <w:pStyle w:val="NormalLeft"/>
              <w:rPr>
                <w:noProof/>
              </w:rPr>
            </w:pPr>
            <w:r>
              <w:rPr>
                <w:noProof/>
              </w:rPr>
              <w:t>DDT [1,1,1-trichloro-2,2-bis(4-chlorophényl)éthane]: 5 000 mg/kg;</w:t>
            </w:r>
          </w:p>
          <w:p>
            <w:pPr>
              <w:pStyle w:val="NormalLeft"/>
              <w:rPr>
                <w:noProof/>
              </w:rPr>
            </w:pPr>
            <w:r>
              <w:rPr>
                <w:noProof/>
              </w:rPr>
              <w:t>dieldrine: 5 000 mg/kg;</w:t>
            </w:r>
          </w:p>
          <w:p>
            <w:pPr>
              <w:pStyle w:val="NormalLeft"/>
              <w:rPr>
                <w:noProof/>
              </w:rPr>
            </w:pPr>
            <w:r>
              <w:rPr>
                <w:noProof/>
              </w:rPr>
              <w:t>endosulfan: 5 000 mg/kg;</w:t>
            </w:r>
          </w:p>
          <w:p>
            <w:pPr>
              <w:pStyle w:val="NormalLeft"/>
              <w:rPr>
                <w:noProof/>
              </w:rPr>
            </w:pPr>
            <w:r>
              <w:rPr>
                <w:noProof/>
              </w:rPr>
              <w:t>endrine: 5 000 mg/kg;</w:t>
            </w:r>
          </w:p>
          <w:p>
            <w:pPr>
              <w:pStyle w:val="NormalLeft"/>
              <w:rPr>
                <w:noProof/>
              </w:rPr>
            </w:pPr>
            <w:r>
              <w:rPr>
                <w:noProof/>
              </w:rPr>
              <w:t>heptachlore: 5 000 mg/kg;</w:t>
            </w:r>
          </w:p>
          <w:p>
            <w:pPr>
              <w:pStyle w:val="NormalLeft"/>
              <w:rPr>
                <w:noProof/>
              </w:rPr>
            </w:pPr>
            <w:r>
              <w:rPr>
                <w:noProof/>
              </w:rPr>
              <w:t>hexabromobiphényle: 5 000 mg/kg;</w:t>
            </w:r>
          </w:p>
          <w:p>
            <w:pPr>
              <w:pStyle w:val="NormalLeft"/>
              <w:rPr>
                <w:noProof/>
              </w:rPr>
            </w:pPr>
            <w:r>
              <w:rPr>
                <w:noProof/>
              </w:rPr>
              <w:t>hexabromocyclododécane</w:t>
            </w:r>
            <w:r>
              <w:rPr>
                <w:rStyle w:val="FootnoteReference"/>
                <w:noProof/>
              </w:rPr>
              <w:footnoteReference w:id="13"/>
            </w:r>
            <w:r>
              <w:rPr>
                <w:noProof/>
              </w:rPr>
              <w:t>: 1 000 mg/kg;</w:t>
            </w:r>
          </w:p>
          <w:p>
            <w:pPr>
              <w:pStyle w:val="NormalLeft"/>
              <w:rPr>
                <w:noProof/>
              </w:rPr>
            </w:pPr>
            <w:r>
              <w:rPr>
                <w:noProof/>
              </w:rPr>
              <w:t>hexachlorobenzène: 5 000 mg/kg;</w:t>
            </w:r>
          </w:p>
          <w:p>
            <w:pPr>
              <w:pStyle w:val="NormalLeft"/>
              <w:rPr>
                <w:noProof/>
              </w:rPr>
            </w:pPr>
            <w:r>
              <w:rPr>
                <w:noProof/>
              </w:rPr>
              <w:t>hexachlorobutadiène: 1 000 mg/kg;</w:t>
            </w:r>
          </w:p>
          <w:p>
            <w:pPr>
              <w:pStyle w:val="NormalLeft"/>
              <w:rPr>
                <w:noProof/>
              </w:rPr>
            </w:pPr>
            <w:r>
              <w:rPr>
                <w:noProof/>
              </w:rPr>
              <w:t>hexachlorocyclohexanes, y compris le lindane: 5 000 mg/kg;</w:t>
            </w:r>
          </w:p>
          <w:p>
            <w:pPr>
              <w:pStyle w:val="NormalLeft"/>
              <w:rPr>
                <w:noProof/>
              </w:rPr>
            </w:pPr>
            <w:r>
              <w:rPr>
                <w:noProof/>
              </w:rPr>
              <w:t>mirex: 5 000 mg/kg;</w:t>
            </w:r>
          </w:p>
          <w:p>
            <w:pPr>
              <w:pStyle w:val="NormalLeft"/>
              <w:rPr>
                <w:noProof/>
              </w:rPr>
            </w:pPr>
            <w:r>
              <w:rPr>
                <w:noProof/>
              </w:rPr>
              <w:t>pentachlorobenzène: 5 000 mg/kg;</w:t>
            </w:r>
          </w:p>
          <w:p>
            <w:pPr>
              <w:pStyle w:val="NormalLeft"/>
              <w:rPr>
                <w:noProof/>
              </w:rPr>
            </w:pPr>
            <w:r>
              <w:rPr>
                <w:noProof/>
              </w:rPr>
              <w:t xml:space="preserve">acide perfluorooctane sulfonique et ses dérivés </w:t>
            </w:r>
            <w:r>
              <w:rPr>
                <w:rStyle w:val="CRMinorChangeAdded"/>
                <w:noProof/>
              </w:rPr>
              <w:t>(SPFO)</w:t>
            </w:r>
            <w:r>
              <w:rPr>
                <w:noProof/>
              </w:rPr>
              <w:t xml:space="preserve"> (C</w:t>
            </w:r>
            <w:r>
              <w:rPr>
                <w:noProof/>
                <w:vertAlign w:val="subscript"/>
              </w:rPr>
              <w:t>8</w:t>
            </w:r>
            <w:r>
              <w:rPr>
                <w:noProof/>
              </w:rPr>
              <w:t>F</w:t>
            </w:r>
            <w:r>
              <w:rPr>
                <w:noProof/>
                <w:vertAlign w:val="subscript"/>
              </w:rPr>
              <w:t>17</w:t>
            </w:r>
            <w:r>
              <w:rPr>
                <w:noProof/>
              </w:rPr>
              <w:t>SO</w:t>
            </w:r>
            <w:r>
              <w:rPr>
                <w:noProof/>
                <w:vertAlign w:val="subscript"/>
              </w:rPr>
              <w:t>2</w:t>
            </w:r>
            <w:r>
              <w:rPr>
                <w:noProof/>
              </w:rPr>
              <w:t>X) [X = OH, sel métallique (O-M</w:t>
            </w:r>
            <w:r>
              <w:rPr>
                <w:noProof/>
                <w:vertAlign w:val="superscript"/>
              </w:rPr>
              <w:t>+</w:t>
            </w:r>
            <w:r>
              <w:rPr>
                <w:noProof/>
              </w:rPr>
              <w:t>), halogénure, amide et autres dérivés, y compris polymères]: 50 mg/kg;</w:t>
            </w:r>
          </w:p>
          <w:p>
            <w:pPr>
              <w:pStyle w:val="NormalLeft"/>
              <w:rPr>
                <w:noProof/>
              </w:rPr>
            </w:pPr>
            <w:r>
              <w:rPr>
                <w:noProof/>
              </w:rPr>
              <w:t>Polychlorobiphényles (PCB)</w:t>
            </w:r>
            <w:r>
              <w:rPr>
                <w:rStyle w:val="FootnoteReference"/>
                <w:noProof/>
              </w:rPr>
              <w:footnoteReference w:id="14"/>
            </w:r>
            <w:r>
              <w:rPr>
                <w:noProof/>
              </w:rPr>
              <w:t>: 50 mg/kg;</w:t>
            </w:r>
          </w:p>
          <w:p>
            <w:pPr>
              <w:pStyle w:val="NormalLeft"/>
              <w:rPr>
                <w:noProof/>
              </w:rPr>
            </w:pPr>
            <w:r>
              <w:rPr>
                <w:noProof/>
              </w:rPr>
              <w:t>dibenzo-p-dioxines et dibenzofurannes polychlorés: 5 mg/kg;</w:t>
            </w:r>
          </w:p>
          <w:p>
            <w:pPr>
              <w:pStyle w:val="NormalLeft"/>
              <w:rPr>
                <w:noProof/>
              </w:rPr>
            </w:pPr>
            <w:r>
              <w:rPr>
                <w:noProof/>
              </w:rPr>
              <w:t>naphtalènes polychlorés (*): 1 000 mg/kg;</w:t>
            </w:r>
          </w:p>
          <w:p>
            <w:pPr>
              <w:pStyle w:val="NormalLeft"/>
              <w:rPr>
                <w:noProof/>
              </w:rPr>
            </w:pPr>
            <w:r>
              <w:rPr>
                <w:noProof/>
              </w:rPr>
              <w:t>Somme des concentrations de tétrabromodiphényléther (C</w:t>
            </w:r>
            <w:r>
              <w:rPr>
                <w:noProof/>
                <w:vertAlign w:val="subscript"/>
              </w:rPr>
              <w:t>12</w:t>
            </w:r>
            <w:r>
              <w:rPr>
                <w:noProof/>
              </w:rPr>
              <w:t>H</w:t>
            </w:r>
            <w:r>
              <w:rPr>
                <w:noProof/>
                <w:vertAlign w:val="subscript"/>
              </w:rPr>
              <w:t>6</w:t>
            </w:r>
            <w:r>
              <w:rPr>
                <w:noProof/>
              </w:rPr>
              <w:t>Br</w:t>
            </w:r>
            <w:r>
              <w:rPr>
                <w:noProof/>
                <w:vertAlign w:val="subscript"/>
              </w:rPr>
              <w:t>4</w:t>
            </w:r>
            <w:r>
              <w:rPr>
                <w:noProof/>
              </w:rPr>
              <w:t>O), pentabromodiphényléther (C</w:t>
            </w:r>
            <w:r>
              <w:rPr>
                <w:noProof/>
                <w:vertAlign w:val="subscript"/>
              </w:rPr>
              <w:t>12</w:t>
            </w:r>
            <w:r>
              <w:rPr>
                <w:noProof/>
              </w:rPr>
              <w:t>H</w:t>
            </w:r>
            <w:r>
              <w:rPr>
                <w:noProof/>
                <w:vertAlign w:val="subscript"/>
              </w:rPr>
              <w:t>5</w:t>
            </w:r>
            <w:r>
              <w:rPr>
                <w:noProof/>
              </w:rPr>
              <w:t>Br</w:t>
            </w:r>
            <w:r>
              <w:rPr>
                <w:noProof/>
                <w:vertAlign w:val="subscript"/>
              </w:rPr>
              <w:t>5</w:t>
            </w:r>
            <w:r>
              <w:rPr>
                <w:noProof/>
              </w:rPr>
              <w:t>O), hexabromodiphényléther (C</w:t>
            </w:r>
            <w:r>
              <w:rPr>
                <w:noProof/>
                <w:vertAlign w:val="subscript"/>
              </w:rPr>
              <w:t>12</w:t>
            </w:r>
            <w:r>
              <w:rPr>
                <w:noProof/>
              </w:rPr>
              <w:t>H</w:t>
            </w:r>
            <w:r>
              <w:rPr>
                <w:noProof/>
                <w:vertAlign w:val="subscript"/>
              </w:rPr>
              <w:t>4</w:t>
            </w:r>
            <w:r>
              <w:rPr>
                <w:noProof/>
              </w:rPr>
              <w:t>Br</w:t>
            </w:r>
            <w:r>
              <w:rPr>
                <w:noProof/>
                <w:vertAlign w:val="subscript"/>
              </w:rPr>
              <w:t>6</w:t>
            </w:r>
            <w:r>
              <w:rPr>
                <w:noProof/>
              </w:rPr>
              <w:t>O) et heptabromodiphényléther (C</w:t>
            </w:r>
            <w:r>
              <w:rPr>
                <w:noProof/>
                <w:vertAlign w:val="subscript"/>
              </w:rPr>
              <w:t>12</w:t>
            </w:r>
            <w:r>
              <w:rPr>
                <w:noProof/>
              </w:rPr>
              <w:t>H</w:t>
            </w:r>
            <w:r>
              <w:rPr>
                <w:noProof/>
                <w:vertAlign w:val="subscript"/>
              </w:rPr>
              <w:t>3</w:t>
            </w:r>
            <w:r>
              <w:rPr>
                <w:noProof/>
              </w:rPr>
              <w:t>Br</w:t>
            </w:r>
            <w:r>
              <w:rPr>
                <w:noProof/>
                <w:vertAlign w:val="subscript"/>
              </w:rPr>
              <w:t>7</w:t>
            </w:r>
            <w:r>
              <w:rPr>
                <w:noProof/>
              </w:rPr>
              <w:t>O): 10 000 mg/kg;</w:t>
            </w:r>
          </w:p>
          <w:p>
            <w:pPr>
              <w:pStyle w:val="NormalLeft"/>
              <w:rPr>
                <w:noProof/>
              </w:rPr>
            </w:pPr>
            <w:r>
              <w:rPr>
                <w:noProof/>
              </w:rPr>
              <w:t>toxaphène: 5 000 mg/kg.</w:t>
            </w:r>
          </w:p>
        </w:tc>
        <w:tc>
          <w:tcPr>
            <w:tcW w:w="2879"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Le stockage permanent n'est autorisé que si toutes les conditions ci-dessous sont réunies:</w:t>
            </w:r>
          </w:p>
          <w:p>
            <w:pPr>
              <w:pStyle w:val="Point0"/>
              <w:rPr>
                <w:noProof/>
              </w:rPr>
            </w:pPr>
            <w:r>
              <w:rPr>
                <w:noProof/>
              </w:rPr>
              <w:tab/>
              <w:t>1) le stockage s'effectue dans l'un des endroits suivants:</w:t>
            </w:r>
          </w:p>
          <w:p>
            <w:pPr>
              <w:pStyle w:val="Tiret1"/>
              <w:numPr>
                <w:ilvl w:val="0"/>
                <w:numId w:val="9"/>
              </w:numPr>
              <w:autoSpaceDE w:val="0"/>
              <w:autoSpaceDN w:val="0"/>
              <w:ind w:left="1418" w:hanging="567"/>
              <w:rPr>
                <w:noProof/>
              </w:rPr>
            </w:pPr>
            <w:r>
              <w:rPr>
                <w:noProof/>
              </w:rPr>
              <w:t>des formations rocheuses souterraines, profondes et sûres,</w:t>
            </w:r>
          </w:p>
          <w:p>
            <w:pPr>
              <w:pStyle w:val="Tiret1"/>
              <w:numPr>
                <w:ilvl w:val="0"/>
                <w:numId w:val="9"/>
              </w:numPr>
              <w:autoSpaceDE w:val="0"/>
              <w:autoSpaceDN w:val="0"/>
              <w:ind w:left="1418" w:hanging="567"/>
              <w:rPr>
                <w:noProof/>
              </w:rPr>
            </w:pPr>
            <w:r>
              <w:rPr>
                <w:noProof/>
              </w:rPr>
              <w:t>des mines de sel,</w:t>
            </w:r>
          </w:p>
          <w:p>
            <w:pPr>
              <w:pStyle w:val="Tiret1"/>
              <w:numPr>
                <w:ilvl w:val="0"/>
                <w:numId w:val="9"/>
              </w:numPr>
              <w:autoSpaceDE w:val="0"/>
              <w:autoSpaceDN w:val="0"/>
              <w:ind w:left="1418" w:hanging="567"/>
              <w:rPr>
                <w:noProof/>
              </w:rPr>
            </w:pPr>
            <w:r>
              <w:rPr>
                <w:noProof/>
              </w:rPr>
              <w:t>un site de décharge pour déchets dangereux, à condition que les déchets soient solidifiés ou partiellement stabilisés, lorsque cela est techniquement possible, comme requis aux fins du classement des déchets dans le sous-chapitre 19 03 de la décision 2000/532/CE.</w:t>
            </w:r>
          </w:p>
          <w:p>
            <w:pPr>
              <w:pStyle w:val="Point0"/>
              <w:rPr>
                <w:noProof/>
              </w:rPr>
            </w:pPr>
            <w:r>
              <w:rPr>
                <w:noProof/>
              </w:rPr>
              <w:tab/>
              <w:t>2) Les dispositions de la directive 1999/31/CE du Conseil</w:t>
            </w:r>
            <w:r>
              <w:rPr>
                <w:rStyle w:val="FootnoteReference"/>
                <w:noProof/>
              </w:rPr>
              <w:footnoteReference w:id="15"/>
            </w:r>
            <w:r>
              <w:rPr>
                <w:noProof/>
              </w:rPr>
              <w:t xml:space="preserve"> et de la décision 2003/33/CE du Conseil</w:t>
            </w:r>
            <w:r>
              <w:rPr>
                <w:rStyle w:val="FootnoteReference"/>
                <w:noProof/>
              </w:rPr>
              <w:footnoteReference w:id="16"/>
            </w:r>
            <w:r>
              <w:rPr>
                <w:noProof/>
              </w:rPr>
              <w:t xml:space="preserve"> ont été respectées.</w:t>
            </w:r>
          </w:p>
          <w:p>
            <w:pPr>
              <w:pStyle w:val="Point0"/>
              <w:rPr>
                <w:noProof/>
              </w:rPr>
            </w:pPr>
            <w:r>
              <w:rPr>
                <w:noProof/>
              </w:rPr>
              <w:tab/>
              <w:t>3) Il est prouvé que l'opération retenue est préférable du point de vue écologique.</w:t>
            </w: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centrales électriques et autres installations de combustion (sauf chapitre 19)</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14 *</w:t>
            </w:r>
            <w:r>
              <w:rPr>
                <w:rStyle w:val="FootnoteReference"/>
                <w:noProof/>
              </w:rPr>
              <w:footnoteReference w:id="17"/>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Mâchefers, scories et cendres sous chaudière provenant de la coïncinération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01 16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Cendres volantes provenant de la coïncinération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l'industrie du fer et de l'acier</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02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solides provenant de l'épuration des fumées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la pyrométallurgie de l'aluminium</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Scories provenant de la production primaire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Scories salées de seconde fusion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Crasses noires de seconde fusion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19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fines et poussières (y compris fines de broyage de crasses)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03 29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du traitement des scories salées et du traitement des crasses noires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la pyrométallurgie du plomb</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Scories provenant de la production primaire et secondaire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Crasses et écumes provenant de la production primaire et secondaire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04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fines et poussières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04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solides provenant de l'épuration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la pyrométallurgie du zinc</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05 05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solides provenant de l'épuration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la pyrométallurgie du cuivre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06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solides provenant de l'épuration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 la pyrométallurgie d'autres métaux non ferreux</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08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Scories salées provenant de la production primaire et secondaire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08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fonderie de métaux ferreux</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 09 09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Poussières de filtration des fumées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NON DÉCRITS AILLEURS DANS LA LISTE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revêtement de fours et réfractaires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Revêtements de fours et réfractaires à base de carbone provenant de procédés métallurgiques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 11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revêtements de fours et réfractaires provenant de procédés métallurgiques et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CONSTRUCTION ET DE DÉMOLITION (Y COMPRIS DÉBLAIS PROVENANT DE SITES CONTAMINÉS)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Béton, briques, tuiles et céramiques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01 06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Mélanges ou fractions séparées de béton, de briques, de tuiles et de céramiques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Terres (y compris déblais provenant de sites contaminés), cailloux et boues de dragage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05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Terres et cailloux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déchets de construction et de démolition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construction et de démolition contenant des PCB, à l'exclusion des équipements contenant des PCB</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 09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Autres déchets de construction et de démolition (y compris en mélange)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PROVENANT DES INSTALLATIONS DE GESTION DES DÉCHETS, DES STATIONS D'ÉPURATION DES EAUX USÉES HORS SITE ET DE LA PRÉPARATION D'EAU DESTINÉE À LA CONSOMMATION HUMAINE ET D'EAU À USAGE INDUSTRIEL</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de l'incinération ou de la pyrolyse de déchets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07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solides provenant de l'épuration des fumées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11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Mâchefers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Cendres volantes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01 15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Cendres sous chaudière contenant des substances dangereuses</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Déchets vitrifiés et déchets provenant de la vitrification</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02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Cendres volantes et autres déchets du traitement des gaz de fumée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6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 04 03 *</w:t>
            </w:r>
          </w:p>
        </w:tc>
        <w:tc>
          <w:tcPr>
            <w:tcW w:w="1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Phase solide non vitrifiée</w:t>
            </w:r>
          </w:p>
        </w:tc>
        <w:tc>
          <w:tcPr>
            <w:tcW w:w="4271" w:type="dxa"/>
            <w:vMerge/>
            <w:tcBorders>
              <w:top w:val="single" w:sz="2" w:space="0" w:color="auto"/>
              <w:left w:val="single" w:sz="2" w:space="0" w:color="auto"/>
              <w:bottom w:val="single" w:sz="2" w:space="0" w:color="auto"/>
              <w:right w:val="single" w:sz="2" w:space="0" w:color="auto"/>
            </w:tcBorders>
          </w:tcPr>
          <w:p>
            <w:pPr>
              <w:pStyle w:val="NormalLeft"/>
              <w:rPr>
                <w:noProof/>
              </w:rPr>
            </w:pPr>
          </w:p>
        </w:tc>
        <w:tc>
          <w:tcPr>
            <w:tcW w:w="2879" w:type="dxa"/>
            <w:vMerge/>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r>
        <w:rPr>
          <w:noProof/>
        </w:rPr>
        <w:t>La limite de concentration pour les dibenzo-p-dioxines et les dibenzofurannes polychlorés (PCDD et PCDF) doit être calculée d'après les facteurs d'équivalence toxique (FET) suivants:</w:t>
      </w:r>
    </w:p>
    <w:tbl>
      <w:tblPr>
        <w:tblW w:w="0" w:type="auto"/>
        <w:tblInd w:w="3064" w:type="dxa"/>
        <w:tblLayout w:type="fixed"/>
        <w:tblLook w:val="0000" w:firstRow="0" w:lastRow="0" w:firstColumn="0" w:lastColumn="0" w:noHBand="0" w:noVBand="0"/>
      </w:tblPr>
      <w:tblGrid>
        <w:gridCol w:w="2178"/>
        <w:gridCol w:w="979"/>
      </w:tblGrid>
      <w:tr>
        <w:tc>
          <w:tcPr>
            <w:tcW w:w="217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PCDD</w:t>
            </w:r>
          </w:p>
        </w:tc>
        <w:tc>
          <w:tcPr>
            <w:tcW w:w="9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FET</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OCDD</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FET</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2,3,7,8-TeCDF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2,3,4,7,8-PeCDF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0,3</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1,2,3,7,8,9-HxCDF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2,3,4,6,7,8-HxCDF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1,2,3,4,6,7,8-HpCDF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1,2,3,4,7,8,9-HpCDF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0,01</w:t>
            </w:r>
          </w:p>
        </w:tc>
      </w:tr>
      <w:tr>
        <w:tc>
          <w:tcPr>
            <w:tcW w:w="217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OCDF</w:t>
            </w:r>
          </w:p>
        </w:tc>
        <w:tc>
          <w:tcPr>
            <w:tcW w:w="9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0,0003</w:t>
            </w:r>
          </w:p>
        </w:tc>
      </w:tr>
    </w:tbl>
    <w:p>
      <w:pPr>
        <w:jc w:val="center"/>
        <w:rPr>
          <w:noProof/>
        </w:rPr>
        <w:sectPr>
          <w:pgSz w:w="11907" w:h="16839"/>
          <w:pgMar w:top="1134" w:right="1418" w:bottom="1134" w:left="1418" w:header="709" w:footer="709" w:gutter="0"/>
          <w:cols w:space="708"/>
          <w:docGrid w:linePitch="360"/>
        </w:sectPr>
      </w:pPr>
    </w:p>
    <w:p>
      <w:pPr>
        <w:pStyle w:val="CRSeparator"/>
        <w:rPr>
          <w:rFonts w:eastAsia="Times New Roman"/>
          <w:noProof/>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ANNEXE VI</w:t>
      </w:r>
    </w:p>
    <w:p>
      <w:pPr>
        <w:jc w:val="center"/>
        <w:rPr>
          <w:b/>
          <w:noProof/>
          <w:szCs w:val="24"/>
        </w:rPr>
      </w:pPr>
      <w:bookmarkStart w:id="1" w:name="_CopyToNewDocument_"/>
      <w:bookmarkEnd w:id="1"/>
      <w:r>
        <w:rPr>
          <w:b/>
          <w:noProof/>
          <w:szCs w:val="24"/>
        </w:rPr>
        <w:t>Règlement abrogé avec la liste de ses modifications successives</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3428"/>
      </w:tblGrid>
      <w:tr>
        <w:trPr>
          <w:cantSplit/>
        </w:trPr>
        <w:tc>
          <w:tcPr>
            <w:tcW w:w="5572" w:type="dxa"/>
          </w:tcPr>
          <w:p>
            <w:pPr>
              <w:jc w:val="left"/>
              <w:rPr>
                <w:rStyle w:val="Strong"/>
                <w:noProof/>
                <w:color w:val="444444"/>
                <w:szCs w:val="24"/>
              </w:rPr>
            </w:pPr>
            <w:r>
              <w:rPr>
                <w:rStyle w:val="Strong"/>
                <w:noProof/>
                <w:color w:val="444444"/>
                <w:szCs w:val="24"/>
              </w:rPr>
              <w:t>Règlement (CE) nº 850/2004 du Parlement européen et du Conseil</w:t>
            </w:r>
            <w:r>
              <w:rPr>
                <w:noProof/>
              </w:rPr>
              <w:br/>
              <w:t>(</w:t>
            </w:r>
            <w:r>
              <w:rPr>
                <w:iCs/>
                <w:noProof/>
                <w:color w:val="444444"/>
                <w:szCs w:val="24"/>
              </w:rPr>
              <w:t>JO L 158 du 30.4.2004, p. 7</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(CE) nº 1195/2006 du Conseil</w:t>
            </w:r>
            <w:r>
              <w:rPr>
                <w:noProof/>
              </w:rPr>
              <w:br/>
              <w:t>(</w:t>
            </w:r>
            <w:r>
              <w:rPr>
                <w:iCs/>
                <w:noProof/>
                <w:color w:val="444444"/>
                <w:szCs w:val="24"/>
              </w:rPr>
              <w:t>JO L 217 du 8.8.2006, p.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(CE) nº 172/2007 du Conseil</w:t>
            </w:r>
            <w:r>
              <w:rPr>
                <w:noProof/>
              </w:rPr>
              <w:br/>
              <w:t>(</w:t>
            </w:r>
            <w:r>
              <w:rPr>
                <w:iCs/>
                <w:noProof/>
                <w:color w:val="444444"/>
                <w:szCs w:val="24"/>
              </w:rPr>
              <w:t>JO L 55 du 23.2.2007, p.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(UE) nº 323/2007 de la Commission</w:t>
            </w:r>
            <w:r>
              <w:rPr>
                <w:noProof/>
              </w:rPr>
              <w:br/>
              <w:t>(</w:t>
            </w:r>
            <w:r>
              <w:rPr>
                <w:iCs/>
                <w:noProof/>
                <w:color w:val="444444"/>
                <w:szCs w:val="24"/>
              </w:rPr>
              <w:t>JO L 85 du 27.3.2007, p. 3</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(CE) nº 219/2009 du Parlement européen et du Conseil</w:t>
            </w:r>
            <w:r>
              <w:rPr>
                <w:noProof/>
              </w:rPr>
              <w:br/>
              <w:t>(</w:t>
            </w:r>
            <w:r>
              <w:rPr>
                <w:iCs/>
                <w:noProof/>
                <w:color w:val="444444"/>
                <w:szCs w:val="24"/>
              </w:rPr>
              <w:t>JO L 87 du 31.3.2009, p. 109</w:t>
            </w:r>
            <w:r>
              <w:rPr>
                <w:noProof/>
              </w:rPr>
              <w:t>)</w:t>
            </w:r>
          </w:p>
        </w:tc>
        <w:tc>
          <w:tcPr>
            <w:tcW w:w="3428" w:type="dxa"/>
          </w:tcPr>
          <w:p>
            <w:pPr>
              <w:jc w:val="left"/>
              <w:rPr>
                <w:noProof/>
                <w:szCs w:val="24"/>
              </w:rPr>
            </w:pPr>
            <w:r>
              <w:rPr>
                <w:noProof/>
              </w:rPr>
              <w:t>Uniquement le point 3.7 de l’annexe</w:t>
            </w:r>
          </w:p>
        </w:tc>
      </w:tr>
      <w:tr>
        <w:trPr>
          <w:cantSplit/>
        </w:trPr>
        <w:tc>
          <w:tcPr>
            <w:tcW w:w="5572" w:type="dxa"/>
          </w:tcPr>
          <w:p>
            <w:pPr>
              <w:jc w:val="left"/>
              <w:rPr>
                <w:rFonts w:eastAsia="Times New Roman"/>
                <w:bCs/>
                <w:noProof/>
                <w:szCs w:val="24"/>
              </w:rPr>
            </w:pPr>
            <w:r>
              <w:rPr>
                <w:rStyle w:val="Strong"/>
                <w:noProof/>
                <w:color w:val="444444"/>
                <w:szCs w:val="24"/>
              </w:rPr>
              <w:t>Règlement (CE) nº 304/2009 de la Commission</w:t>
            </w:r>
            <w:r>
              <w:rPr>
                <w:noProof/>
              </w:rPr>
              <w:br/>
              <w:t>(</w:t>
            </w:r>
            <w:r>
              <w:rPr>
                <w:iCs/>
                <w:noProof/>
                <w:color w:val="444444"/>
                <w:szCs w:val="24"/>
              </w:rPr>
              <w:t>JO L 96 du 15.4.2009, p. 33</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Règlement (UE) nº 756/2010 de la Commission</w:t>
            </w:r>
            <w:r>
              <w:rPr>
                <w:noProof/>
              </w:rPr>
              <w:br/>
              <w:t>(</w:t>
            </w:r>
            <w:r>
              <w:rPr>
                <w:iCs/>
                <w:noProof/>
                <w:color w:val="444444"/>
                <w:szCs w:val="24"/>
              </w:rPr>
              <w:t>JO L 223 du 25.8.2010, p. 20</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Règlement (UE) nº 757/2010 de la Commission</w:t>
            </w:r>
            <w:r>
              <w:rPr>
                <w:noProof/>
              </w:rPr>
              <w:br/>
              <w:t>(</w:t>
            </w:r>
            <w:r>
              <w:rPr>
                <w:iCs/>
                <w:noProof/>
                <w:color w:val="444444"/>
                <w:szCs w:val="24"/>
              </w:rPr>
              <w:t>JO L 223 du 25.8.2010, p. 29</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Règlement (UE) nº 519/2012 de la Commission</w:t>
            </w:r>
            <w:r>
              <w:rPr>
                <w:noProof/>
              </w:rPr>
              <w:br/>
              <w:t>(</w:t>
            </w:r>
            <w:r>
              <w:rPr>
                <w:iCs/>
                <w:noProof/>
                <w:color w:val="444444"/>
                <w:szCs w:val="24"/>
              </w:rPr>
              <w:t>JO L 159 du 20.6.2012, p. 1</w:t>
            </w:r>
            <w:r>
              <w:rPr>
                <w:noProof/>
              </w:rPr>
              <w:t>)</w:t>
            </w:r>
          </w:p>
        </w:tc>
        <w:tc>
          <w:tcPr>
            <w:tcW w:w="3428" w:type="dxa"/>
          </w:tcPr>
          <w:p>
            <w:pPr>
              <w:jc w:val="left"/>
              <w:rPr>
                <w:noProof/>
                <w:szCs w:val="24"/>
                <w:lang w:eastAsia="en-GB"/>
              </w:rPr>
            </w:pPr>
          </w:p>
        </w:tc>
      </w:tr>
      <w:tr>
        <w:trPr>
          <w:cantSplit/>
        </w:trPr>
        <w:tc>
          <w:tcPr>
            <w:tcW w:w="5572" w:type="dxa"/>
          </w:tcPr>
          <w:p>
            <w:pPr>
              <w:autoSpaceDE w:val="0"/>
              <w:autoSpaceDN w:val="0"/>
              <w:spacing w:before="240" w:after="60"/>
              <w:jc w:val="left"/>
              <w:rPr>
                <w:rFonts w:eastAsia="Times New Roman"/>
                <w:bCs/>
                <w:noProof/>
                <w:szCs w:val="24"/>
              </w:rPr>
            </w:pPr>
            <w:r>
              <w:rPr>
                <w:rStyle w:val="Strong"/>
                <w:noProof/>
                <w:color w:val="444444"/>
                <w:szCs w:val="24"/>
              </w:rPr>
              <w:t>Règlement (UE) nº 1342/2014 de la Commission</w:t>
            </w:r>
            <w:r>
              <w:rPr>
                <w:noProof/>
              </w:rPr>
              <w:br/>
              <w:t>(</w:t>
            </w:r>
            <w:r>
              <w:rPr>
                <w:iCs/>
                <w:noProof/>
                <w:color w:val="444444"/>
                <w:szCs w:val="24"/>
              </w:rPr>
              <w:t>JO L 363 du 18.12.2014, p. 67</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(UE) 2015/2030 de la Commission</w:t>
            </w:r>
            <w:r>
              <w:rPr>
                <w:noProof/>
              </w:rPr>
              <w:br/>
              <w:t>(</w:t>
            </w:r>
            <w:r>
              <w:rPr>
                <w:iCs/>
                <w:noProof/>
                <w:color w:val="444444"/>
                <w:szCs w:val="24"/>
              </w:rPr>
              <w:t>JO L 298 du 14.11.2015, p. 1</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(UE) 2016/293 de la Commission</w:t>
            </w:r>
            <w:r>
              <w:rPr>
                <w:noProof/>
              </w:rPr>
              <w:br/>
              <w:t>(</w:t>
            </w:r>
            <w:r>
              <w:rPr>
                <w:iCs/>
                <w:noProof/>
                <w:color w:val="444444"/>
                <w:szCs w:val="24"/>
              </w:rPr>
              <w:t>JO L 55 du 2.3.2016, p. 4</w:t>
            </w:r>
            <w:r>
              <w:rPr>
                <w:noProof/>
              </w:rPr>
              <w:t>)</w:t>
            </w:r>
          </w:p>
        </w:tc>
        <w:tc>
          <w:tcPr>
            <w:tcW w:w="3428" w:type="dxa"/>
          </w:tcPr>
          <w:p>
            <w:pPr>
              <w:jc w:val="left"/>
              <w:rPr>
                <w:noProof/>
                <w:szCs w:val="24"/>
                <w:lang w:eastAsia="en-GB"/>
              </w:rPr>
            </w:pPr>
          </w:p>
        </w:tc>
      </w:tr>
      <w:tr>
        <w:trPr>
          <w:cantSplit/>
        </w:trPr>
        <w:tc>
          <w:tcPr>
            <w:tcW w:w="5572" w:type="dxa"/>
          </w:tcPr>
          <w:p>
            <w:pPr>
              <w:jc w:val="left"/>
              <w:rPr>
                <w:bCs/>
                <w:noProof/>
                <w:szCs w:val="24"/>
              </w:rPr>
            </w:pPr>
            <w:r>
              <w:rPr>
                <w:rStyle w:val="Strong"/>
                <w:noProof/>
                <w:color w:val="444444"/>
                <w:szCs w:val="24"/>
              </w:rPr>
              <w:t>Règlement (UE) 2016/460 de la Commission</w:t>
            </w:r>
            <w:r>
              <w:rPr>
                <w:noProof/>
              </w:rPr>
              <w:br/>
              <w:t>(</w:t>
            </w:r>
            <w:r>
              <w:rPr>
                <w:iCs/>
                <w:noProof/>
                <w:color w:val="444444"/>
                <w:szCs w:val="24"/>
              </w:rPr>
              <w:t>JO L 80 du 31.3.2016, p. 17</w:t>
            </w:r>
            <w:r>
              <w:rPr>
                <w:noProof/>
              </w:rPr>
              <w:t>)</w:t>
            </w:r>
          </w:p>
        </w:tc>
        <w:tc>
          <w:tcPr>
            <w:tcW w:w="3428" w:type="dxa"/>
          </w:tcPr>
          <w:p>
            <w:pPr>
              <w:jc w:val="left"/>
              <w:rPr>
                <w:noProof/>
                <w:szCs w:val="24"/>
                <w:lang w:eastAsia="en-GB"/>
              </w:rPr>
            </w:pPr>
          </w:p>
        </w:tc>
      </w:tr>
    </w:tbl>
    <w:p>
      <w:pPr>
        <w:jc w:val="center"/>
        <w:rPr>
          <w:noProof/>
          <w:szCs w:val="24"/>
        </w:rPr>
      </w:pPr>
      <w:r>
        <w:rPr>
          <w:noProof/>
        </w:rPr>
        <w:t>_____________</w:t>
      </w:r>
    </w:p>
    <w:p>
      <w:pPr>
        <w:rPr>
          <w:noProof/>
          <w:szCs w:val="24"/>
          <w:lang w:eastAsia="en-GB"/>
        </w:rPr>
        <w:sectPr>
          <w:pgSz w:w="11907" w:h="16839"/>
          <w:pgMar w:top="1134" w:right="1418" w:bottom="1134" w:left="1418" w:header="709" w:footer="709" w:gutter="0"/>
          <w:cols w:space="708"/>
          <w:docGrid w:linePitch="360"/>
        </w:sectPr>
      </w:pPr>
    </w:p>
    <w:p>
      <w:pPr>
        <w:pStyle w:val="Annexetitre"/>
        <w:rPr>
          <w:noProof/>
        </w:rPr>
      </w:pPr>
      <w:r>
        <w:rPr>
          <w:noProof/>
        </w:rPr>
        <w:t>ANNEXE VII</w:t>
      </w:r>
    </w:p>
    <w:p>
      <w:pPr>
        <w:keepNext/>
        <w:spacing w:before="360"/>
        <w:jc w:val="center"/>
        <w:outlineLvl w:val="0"/>
        <w:rPr>
          <w:b/>
          <w:smallCaps/>
          <w:noProof/>
          <w:szCs w:val="24"/>
        </w:rPr>
      </w:pPr>
      <w:r>
        <w:rPr>
          <w:b/>
          <w:smallCaps/>
          <w:noProof/>
          <w:szCs w:val="24"/>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Pr>
          <w:p>
            <w:pPr>
              <w:jc w:val="center"/>
              <w:rPr>
                <w:b/>
                <w:noProof/>
                <w:szCs w:val="24"/>
              </w:rPr>
            </w:pPr>
            <w:r>
              <w:rPr>
                <w:b/>
                <w:noProof/>
                <w:szCs w:val="24"/>
              </w:rPr>
              <w:t>Règlement (CE) nº 850/2004</w:t>
            </w:r>
          </w:p>
        </w:tc>
        <w:tc>
          <w:tcPr>
            <w:tcW w:w="4674" w:type="dxa"/>
          </w:tcPr>
          <w:p>
            <w:pPr>
              <w:jc w:val="center"/>
              <w:rPr>
                <w:b/>
                <w:noProof/>
                <w:szCs w:val="24"/>
              </w:rPr>
            </w:pPr>
            <w:r>
              <w:rPr>
                <w:b/>
                <w:noProof/>
                <w:szCs w:val="24"/>
              </w:rPr>
              <w:t>Présent règlement</w:t>
            </w:r>
          </w:p>
        </w:tc>
      </w:tr>
      <w:tr>
        <w:tc>
          <w:tcPr>
            <w:tcW w:w="4674" w:type="dxa"/>
          </w:tcPr>
          <w:p>
            <w:pPr>
              <w:jc w:val="left"/>
              <w:rPr>
                <w:noProof/>
                <w:szCs w:val="24"/>
              </w:rPr>
            </w:pPr>
            <w:r>
              <w:rPr>
                <w:noProof/>
              </w:rPr>
              <w:t>Article 1</w:t>
            </w:r>
            <w:r>
              <w:rPr>
                <w:noProof/>
                <w:vertAlign w:val="superscript"/>
              </w:rPr>
              <w:t>er</w:t>
            </w:r>
            <w:r>
              <w:rPr>
                <w:noProof/>
              </w:rPr>
              <w:t>, paragraphe 1</w:t>
            </w:r>
          </w:p>
        </w:tc>
        <w:tc>
          <w:tcPr>
            <w:tcW w:w="4674" w:type="dxa"/>
          </w:tcPr>
          <w:p>
            <w:pPr>
              <w:jc w:val="left"/>
              <w:rPr>
                <w:noProof/>
                <w:szCs w:val="24"/>
              </w:rPr>
            </w:pPr>
            <w:r>
              <w:rPr>
                <w:noProof/>
              </w:rPr>
              <w:t>Article 1</w:t>
            </w:r>
            <w:r>
              <w:rPr>
                <w:noProof/>
                <w:vertAlign w:val="superscript"/>
              </w:rPr>
              <w:t>er</w:t>
            </w:r>
          </w:p>
        </w:tc>
      </w:tr>
      <w:tr>
        <w:tc>
          <w:tcPr>
            <w:tcW w:w="4674" w:type="dxa"/>
          </w:tcPr>
          <w:p>
            <w:pPr>
              <w:jc w:val="left"/>
              <w:rPr>
                <w:noProof/>
                <w:szCs w:val="24"/>
              </w:rPr>
            </w:pPr>
            <w:r>
              <w:rPr>
                <w:noProof/>
              </w:rPr>
              <w:t>Article 2, termes introductifs</w:t>
            </w:r>
          </w:p>
        </w:tc>
        <w:tc>
          <w:tcPr>
            <w:tcW w:w="4674" w:type="dxa"/>
          </w:tcPr>
          <w:p>
            <w:pPr>
              <w:jc w:val="left"/>
              <w:rPr>
                <w:noProof/>
                <w:szCs w:val="24"/>
              </w:rPr>
            </w:pPr>
            <w:r>
              <w:rPr>
                <w:noProof/>
              </w:rPr>
              <w:t>Article 2, termes introductifs</w:t>
            </w:r>
          </w:p>
        </w:tc>
      </w:tr>
      <w:tr>
        <w:tc>
          <w:tcPr>
            <w:tcW w:w="4674" w:type="dxa"/>
          </w:tcPr>
          <w:p>
            <w:pPr>
              <w:jc w:val="left"/>
              <w:rPr>
                <w:noProof/>
                <w:szCs w:val="24"/>
              </w:rPr>
            </w:pPr>
            <w:r>
              <w:rPr>
                <w:noProof/>
              </w:rPr>
              <w:t>Article 2, points a) à d)</w:t>
            </w:r>
          </w:p>
        </w:tc>
        <w:tc>
          <w:tcPr>
            <w:tcW w:w="4674" w:type="dxa"/>
          </w:tcPr>
          <w:p>
            <w:pPr>
              <w:jc w:val="left"/>
              <w:rPr>
                <w:noProof/>
                <w:szCs w:val="24"/>
              </w:rPr>
            </w:pPr>
            <w:r>
              <w:rPr>
                <w:noProof/>
              </w:rPr>
              <w:t>Article 2, points a) à d)</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2, points e) et f)</w:t>
            </w:r>
          </w:p>
        </w:tc>
      </w:tr>
      <w:tr>
        <w:tc>
          <w:tcPr>
            <w:tcW w:w="4674" w:type="dxa"/>
          </w:tcPr>
          <w:p>
            <w:pPr>
              <w:jc w:val="left"/>
              <w:rPr>
                <w:noProof/>
                <w:szCs w:val="24"/>
              </w:rPr>
            </w:pPr>
            <w:r>
              <w:rPr>
                <w:noProof/>
              </w:rPr>
              <w:t>Article 2, point e)</w:t>
            </w:r>
          </w:p>
        </w:tc>
        <w:tc>
          <w:tcPr>
            <w:tcW w:w="4674" w:type="dxa"/>
          </w:tcPr>
          <w:p>
            <w:pPr>
              <w:jc w:val="left"/>
              <w:rPr>
                <w:noProof/>
                <w:szCs w:val="24"/>
              </w:rPr>
            </w:pPr>
            <w:r>
              <w:rPr>
                <w:noProof/>
              </w:rPr>
              <w:t>Article 2, point g)</w:t>
            </w:r>
          </w:p>
        </w:tc>
      </w:tr>
      <w:tr>
        <w:tc>
          <w:tcPr>
            <w:tcW w:w="4674" w:type="dxa"/>
          </w:tcPr>
          <w:p>
            <w:pPr>
              <w:jc w:val="left"/>
              <w:rPr>
                <w:noProof/>
                <w:szCs w:val="24"/>
              </w:rPr>
            </w:pPr>
            <w:r>
              <w:rPr>
                <w:noProof/>
              </w:rPr>
              <w:t>Article 2, point f)</w:t>
            </w:r>
          </w:p>
        </w:tc>
        <w:tc>
          <w:tcPr>
            <w:tcW w:w="4674" w:type="dxa"/>
          </w:tcPr>
          <w:p>
            <w:pPr>
              <w:jc w:val="left"/>
              <w:rPr>
                <w:noProof/>
                <w:szCs w:val="24"/>
              </w:rPr>
            </w:pPr>
            <w:r>
              <w:rPr>
                <w:noProof/>
              </w:rPr>
              <w:t>Article 2, point h)</w:t>
            </w:r>
          </w:p>
        </w:tc>
      </w:tr>
      <w:tr>
        <w:tc>
          <w:tcPr>
            <w:tcW w:w="4674" w:type="dxa"/>
          </w:tcPr>
          <w:p>
            <w:pPr>
              <w:jc w:val="left"/>
              <w:rPr>
                <w:noProof/>
                <w:szCs w:val="24"/>
              </w:rPr>
            </w:pPr>
            <w:r>
              <w:rPr>
                <w:noProof/>
              </w:rPr>
              <w:t>Article 2, point g)</w:t>
            </w:r>
          </w:p>
        </w:tc>
        <w:tc>
          <w:tcPr>
            <w:tcW w:w="4674" w:type="dxa"/>
          </w:tcPr>
          <w:p>
            <w:pPr>
              <w:jc w:val="left"/>
              <w:rPr>
                <w:noProof/>
                <w:szCs w:val="24"/>
              </w:rPr>
            </w:pPr>
            <w:r>
              <w:rPr>
                <w:noProof/>
              </w:rPr>
              <w:t>Article 2, point i)</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2, point j)</w:t>
            </w:r>
          </w:p>
        </w:tc>
      </w:tr>
      <w:tr>
        <w:tc>
          <w:tcPr>
            <w:tcW w:w="4674" w:type="dxa"/>
          </w:tcPr>
          <w:p>
            <w:pPr>
              <w:jc w:val="left"/>
              <w:rPr>
                <w:noProof/>
                <w:szCs w:val="24"/>
              </w:rPr>
            </w:pPr>
            <w:r>
              <w:rPr>
                <w:noProof/>
              </w:rPr>
              <w:t>Article 3</w:t>
            </w:r>
          </w:p>
        </w:tc>
        <w:tc>
          <w:tcPr>
            <w:tcW w:w="4674" w:type="dxa"/>
          </w:tcPr>
          <w:p>
            <w:pPr>
              <w:jc w:val="left"/>
              <w:rPr>
                <w:noProof/>
                <w:szCs w:val="24"/>
              </w:rPr>
            </w:pPr>
            <w:r>
              <w:rPr>
                <w:noProof/>
              </w:rPr>
              <w:t>Article 3</w:t>
            </w:r>
          </w:p>
        </w:tc>
      </w:tr>
      <w:tr>
        <w:tc>
          <w:tcPr>
            <w:tcW w:w="4674" w:type="dxa"/>
          </w:tcPr>
          <w:p>
            <w:pPr>
              <w:jc w:val="left"/>
              <w:rPr>
                <w:noProof/>
                <w:szCs w:val="24"/>
              </w:rPr>
            </w:pPr>
            <w:r>
              <w:rPr>
                <w:noProof/>
              </w:rPr>
              <w:t>Article 4, paragraphe 1, point a)</w:t>
            </w:r>
          </w:p>
        </w:tc>
        <w:tc>
          <w:tcPr>
            <w:tcW w:w="4674" w:type="dxa"/>
          </w:tcPr>
          <w:p>
            <w:pPr>
              <w:jc w:val="left"/>
              <w:rPr>
                <w:noProof/>
                <w:szCs w:val="24"/>
              </w:rPr>
            </w:pPr>
            <w:r>
              <w:rPr>
                <w:noProof/>
              </w:rPr>
              <w:t>Article 4, paragraphe 1, point a)</w:t>
            </w:r>
          </w:p>
        </w:tc>
      </w:tr>
      <w:tr>
        <w:tc>
          <w:tcPr>
            <w:tcW w:w="4674" w:type="dxa"/>
          </w:tcPr>
          <w:p>
            <w:pPr>
              <w:jc w:val="left"/>
              <w:rPr>
                <w:noProof/>
                <w:szCs w:val="24"/>
              </w:rPr>
            </w:pPr>
            <w:r>
              <w:rPr>
                <w:noProof/>
              </w:rPr>
              <w:t>Article 4, paragraphe 1, point b)</w:t>
            </w:r>
          </w:p>
        </w:tc>
        <w:tc>
          <w:tcPr>
            <w:tcW w:w="4674" w:type="dxa"/>
          </w:tcPr>
          <w:p>
            <w:pPr>
              <w:jc w:val="left"/>
              <w:rPr>
                <w:noProof/>
                <w:szCs w:val="24"/>
              </w:rPr>
            </w:pPr>
            <w:r>
              <w:rPr>
                <w:noProof/>
              </w:rPr>
              <w:t>Article 4, paragraphe 1, point b)</w:t>
            </w:r>
          </w:p>
        </w:tc>
      </w:tr>
      <w:tr>
        <w:tc>
          <w:tcPr>
            <w:tcW w:w="4674" w:type="dxa"/>
          </w:tcPr>
          <w:p>
            <w:pPr>
              <w:jc w:val="left"/>
              <w:rPr>
                <w:noProof/>
                <w:szCs w:val="24"/>
              </w:rPr>
            </w:pPr>
            <w:r>
              <w:rPr>
                <w:noProof/>
              </w:rPr>
              <w:t>Article 1</w:t>
            </w:r>
            <w:r>
              <w:rPr>
                <w:noProof/>
                <w:vertAlign w:val="superscript"/>
              </w:rPr>
              <w:t>er</w:t>
            </w:r>
            <w:r>
              <w:rPr>
                <w:noProof/>
              </w:rPr>
              <w:t>, paragraphe 2</w:t>
            </w:r>
          </w:p>
        </w:tc>
        <w:tc>
          <w:tcPr>
            <w:tcW w:w="4674" w:type="dxa"/>
          </w:tcPr>
          <w:p>
            <w:pPr>
              <w:jc w:val="left"/>
              <w:rPr>
                <w:noProof/>
                <w:szCs w:val="24"/>
              </w:rPr>
            </w:pPr>
            <w:r>
              <w:rPr>
                <w:noProof/>
              </w:rPr>
              <w:t>Article 4, paragraphe 1, point c)</w:t>
            </w:r>
          </w:p>
        </w:tc>
      </w:tr>
      <w:tr>
        <w:tc>
          <w:tcPr>
            <w:tcW w:w="4674" w:type="dxa"/>
          </w:tcPr>
          <w:p>
            <w:pPr>
              <w:jc w:val="left"/>
              <w:rPr>
                <w:noProof/>
                <w:szCs w:val="24"/>
              </w:rPr>
            </w:pPr>
            <w:r>
              <w:rPr>
                <w:noProof/>
              </w:rPr>
              <w:t>Article 4, paragraphe 2</w:t>
            </w:r>
          </w:p>
        </w:tc>
        <w:tc>
          <w:tcPr>
            <w:tcW w:w="4674" w:type="dxa"/>
          </w:tcPr>
          <w:p>
            <w:pPr>
              <w:jc w:val="left"/>
              <w:rPr>
                <w:noProof/>
                <w:szCs w:val="24"/>
              </w:rPr>
            </w:pPr>
            <w:r>
              <w:rPr>
                <w:noProof/>
              </w:rPr>
              <w:t>Article 4, paragraphe 2</w:t>
            </w:r>
          </w:p>
        </w:tc>
      </w:tr>
      <w:tr>
        <w:tc>
          <w:tcPr>
            <w:tcW w:w="4674" w:type="dxa"/>
          </w:tcPr>
          <w:p>
            <w:pPr>
              <w:jc w:val="left"/>
              <w:rPr>
                <w:noProof/>
                <w:szCs w:val="24"/>
              </w:rPr>
            </w:pPr>
            <w:r>
              <w:rPr>
                <w:noProof/>
              </w:rPr>
              <w:t>Article 4, paragraphe 3, point a)</w:t>
            </w:r>
          </w:p>
        </w:tc>
        <w:tc>
          <w:tcPr>
            <w:tcW w:w="4674" w:type="dxa"/>
          </w:tcPr>
          <w:p>
            <w:pPr>
              <w:jc w:val="left"/>
              <w:rPr>
                <w:noProof/>
                <w:szCs w:val="24"/>
              </w:rPr>
            </w:pPr>
            <w:r>
              <w:rPr>
                <w:noProof/>
              </w:rPr>
              <w:t>Article 4, paragraphe 3, point a)</w:t>
            </w:r>
          </w:p>
        </w:tc>
      </w:tr>
      <w:tr>
        <w:tc>
          <w:tcPr>
            <w:tcW w:w="4674" w:type="dxa"/>
          </w:tcPr>
          <w:p>
            <w:pPr>
              <w:jc w:val="left"/>
              <w:rPr>
                <w:noProof/>
                <w:szCs w:val="24"/>
              </w:rPr>
            </w:pPr>
            <w:r>
              <w:rPr>
                <w:noProof/>
              </w:rPr>
              <w:t>Article 4, paragraphe 3, point b)</w:t>
            </w:r>
          </w:p>
        </w:tc>
        <w:tc>
          <w:tcPr>
            <w:tcW w:w="4674" w:type="dxa"/>
          </w:tcPr>
          <w:p>
            <w:pPr>
              <w:jc w:val="left"/>
              <w:rPr>
                <w:noProof/>
                <w:szCs w:val="24"/>
              </w:rPr>
            </w:pPr>
            <w:r>
              <w:rPr>
                <w:noProof/>
              </w:rPr>
              <w:t>Article 4, paragraphe 3, point b)</w:t>
            </w:r>
          </w:p>
        </w:tc>
      </w:tr>
      <w:tr>
        <w:tc>
          <w:tcPr>
            <w:tcW w:w="4674" w:type="dxa"/>
          </w:tcPr>
          <w:p>
            <w:pPr>
              <w:jc w:val="left"/>
              <w:rPr>
                <w:noProof/>
                <w:szCs w:val="24"/>
              </w:rPr>
            </w:pPr>
            <w:r>
              <w:rPr>
                <w:noProof/>
              </w:rPr>
              <w:t>_</w:t>
            </w:r>
          </w:p>
        </w:tc>
        <w:tc>
          <w:tcPr>
            <w:tcW w:w="4674" w:type="dxa"/>
          </w:tcPr>
          <w:p>
            <w:pPr>
              <w:jc w:val="left"/>
              <w:rPr>
                <w:noProof/>
                <w:szCs w:val="24"/>
              </w:rPr>
            </w:pPr>
            <w:r>
              <w:rPr>
                <w:noProof/>
              </w:rPr>
              <w:t xml:space="preserve">Article 4, paragraphe 3, point c) </w:t>
            </w:r>
          </w:p>
        </w:tc>
      </w:tr>
      <w:tr>
        <w:tc>
          <w:tcPr>
            <w:tcW w:w="4674" w:type="dxa"/>
          </w:tcPr>
          <w:p>
            <w:pPr>
              <w:jc w:val="left"/>
              <w:rPr>
                <w:noProof/>
                <w:szCs w:val="24"/>
              </w:rPr>
            </w:pPr>
            <w:r>
              <w:rPr>
                <w:noProof/>
              </w:rPr>
              <w:t>Article 1</w:t>
            </w:r>
            <w:r>
              <w:rPr>
                <w:noProof/>
                <w:vertAlign w:val="superscript"/>
              </w:rPr>
              <w:t>er</w:t>
            </w:r>
            <w:r>
              <w:rPr>
                <w:noProof/>
              </w:rPr>
              <w:t>, paragraphe 2</w:t>
            </w:r>
          </w:p>
        </w:tc>
        <w:tc>
          <w:tcPr>
            <w:tcW w:w="4674" w:type="dxa"/>
          </w:tcPr>
          <w:p>
            <w:pPr>
              <w:jc w:val="left"/>
              <w:rPr>
                <w:noProof/>
                <w:szCs w:val="24"/>
              </w:rPr>
            </w:pPr>
            <w:r>
              <w:rPr>
                <w:noProof/>
              </w:rPr>
              <w:t>Article 4, paragraphe 4</w:t>
            </w:r>
          </w:p>
        </w:tc>
      </w:tr>
      <w:tr>
        <w:tc>
          <w:tcPr>
            <w:tcW w:w="4674" w:type="dxa"/>
          </w:tcPr>
          <w:p>
            <w:pPr>
              <w:jc w:val="left"/>
              <w:rPr>
                <w:noProof/>
                <w:szCs w:val="24"/>
              </w:rPr>
            </w:pPr>
            <w:r>
              <w:rPr>
                <w:noProof/>
              </w:rPr>
              <w:t>Article 5</w:t>
            </w:r>
          </w:p>
        </w:tc>
        <w:tc>
          <w:tcPr>
            <w:tcW w:w="4674" w:type="dxa"/>
          </w:tcPr>
          <w:p>
            <w:pPr>
              <w:jc w:val="left"/>
              <w:rPr>
                <w:noProof/>
                <w:szCs w:val="24"/>
              </w:rPr>
            </w:pPr>
            <w:r>
              <w:rPr>
                <w:noProof/>
              </w:rPr>
              <w:t>Article 5</w:t>
            </w:r>
          </w:p>
        </w:tc>
      </w:tr>
      <w:tr>
        <w:tc>
          <w:tcPr>
            <w:tcW w:w="4674" w:type="dxa"/>
          </w:tcPr>
          <w:p>
            <w:pPr>
              <w:jc w:val="left"/>
              <w:rPr>
                <w:noProof/>
                <w:szCs w:val="24"/>
              </w:rPr>
            </w:pPr>
            <w:r>
              <w:rPr>
                <w:noProof/>
              </w:rPr>
              <w:t>Article 6</w:t>
            </w:r>
          </w:p>
        </w:tc>
        <w:tc>
          <w:tcPr>
            <w:tcW w:w="4674" w:type="dxa"/>
          </w:tcPr>
          <w:p>
            <w:pPr>
              <w:jc w:val="left"/>
              <w:rPr>
                <w:noProof/>
                <w:szCs w:val="24"/>
              </w:rPr>
            </w:pPr>
            <w:r>
              <w:rPr>
                <w:noProof/>
              </w:rPr>
              <w:t>Article 6</w:t>
            </w:r>
          </w:p>
        </w:tc>
      </w:tr>
      <w:tr>
        <w:tc>
          <w:tcPr>
            <w:tcW w:w="4674" w:type="dxa"/>
          </w:tcPr>
          <w:p>
            <w:pPr>
              <w:jc w:val="left"/>
              <w:rPr>
                <w:noProof/>
                <w:szCs w:val="24"/>
              </w:rPr>
            </w:pPr>
            <w:r>
              <w:rPr>
                <w:noProof/>
              </w:rPr>
              <w:t>Article 7, paragraphe 1</w:t>
            </w:r>
          </w:p>
        </w:tc>
        <w:tc>
          <w:tcPr>
            <w:tcW w:w="4674" w:type="dxa"/>
          </w:tcPr>
          <w:p>
            <w:pPr>
              <w:jc w:val="left"/>
              <w:rPr>
                <w:noProof/>
                <w:szCs w:val="24"/>
              </w:rPr>
            </w:pPr>
            <w:r>
              <w:rPr>
                <w:noProof/>
              </w:rPr>
              <w:t>Article 7, paragraphe 1</w:t>
            </w:r>
          </w:p>
        </w:tc>
      </w:tr>
      <w:tr>
        <w:tc>
          <w:tcPr>
            <w:tcW w:w="4674" w:type="dxa"/>
          </w:tcPr>
          <w:p>
            <w:pPr>
              <w:jc w:val="left"/>
              <w:rPr>
                <w:noProof/>
                <w:szCs w:val="24"/>
              </w:rPr>
            </w:pPr>
            <w:r>
              <w:rPr>
                <w:noProof/>
              </w:rPr>
              <w:t>Article 7, paragraphe 2</w:t>
            </w:r>
          </w:p>
        </w:tc>
        <w:tc>
          <w:tcPr>
            <w:tcW w:w="4674" w:type="dxa"/>
          </w:tcPr>
          <w:p>
            <w:pPr>
              <w:jc w:val="left"/>
              <w:rPr>
                <w:noProof/>
                <w:szCs w:val="24"/>
              </w:rPr>
            </w:pPr>
            <w:r>
              <w:rPr>
                <w:noProof/>
              </w:rPr>
              <w:t>Article 7, paragraphe 2</w:t>
            </w:r>
          </w:p>
        </w:tc>
      </w:tr>
      <w:tr>
        <w:tc>
          <w:tcPr>
            <w:tcW w:w="4674" w:type="dxa"/>
          </w:tcPr>
          <w:p>
            <w:pPr>
              <w:jc w:val="left"/>
              <w:rPr>
                <w:noProof/>
                <w:szCs w:val="24"/>
              </w:rPr>
            </w:pPr>
            <w:r>
              <w:rPr>
                <w:noProof/>
              </w:rPr>
              <w:t>Article 7, paragraphe 3</w:t>
            </w:r>
          </w:p>
        </w:tc>
        <w:tc>
          <w:tcPr>
            <w:tcW w:w="4674" w:type="dxa"/>
          </w:tcPr>
          <w:p>
            <w:pPr>
              <w:jc w:val="left"/>
              <w:rPr>
                <w:noProof/>
                <w:szCs w:val="24"/>
              </w:rPr>
            </w:pPr>
            <w:r>
              <w:rPr>
                <w:noProof/>
              </w:rPr>
              <w:t>Article 7, paragraphe 3</w:t>
            </w:r>
          </w:p>
        </w:tc>
      </w:tr>
      <w:tr>
        <w:tc>
          <w:tcPr>
            <w:tcW w:w="4674" w:type="dxa"/>
          </w:tcPr>
          <w:p>
            <w:pPr>
              <w:jc w:val="left"/>
              <w:rPr>
                <w:noProof/>
                <w:szCs w:val="24"/>
              </w:rPr>
            </w:pPr>
            <w:r>
              <w:rPr>
                <w:noProof/>
              </w:rPr>
              <w:t>Article 7, paragraphe 4</w:t>
            </w:r>
          </w:p>
        </w:tc>
        <w:tc>
          <w:tcPr>
            <w:tcW w:w="4674" w:type="dxa"/>
          </w:tcPr>
          <w:p>
            <w:pPr>
              <w:jc w:val="left"/>
              <w:rPr>
                <w:noProof/>
                <w:szCs w:val="24"/>
              </w:rPr>
            </w:pPr>
            <w:r>
              <w:rPr>
                <w:noProof/>
              </w:rPr>
              <w:t>Article 7, paragraphe 4</w:t>
            </w:r>
          </w:p>
        </w:tc>
      </w:tr>
      <w:tr>
        <w:tc>
          <w:tcPr>
            <w:tcW w:w="4674" w:type="dxa"/>
          </w:tcPr>
          <w:p>
            <w:pPr>
              <w:jc w:val="left"/>
              <w:rPr>
                <w:noProof/>
                <w:szCs w:val="24"/>
              </w:rPr>
            </w:pPr>
            <w:r>
              <w:rPr>
                <w:noProof/>
              </w:rPr>
              <w:t>Article 7, paragraphe 5</w:t>
            </w:r>
          </w:p>
        </w:tc>
        <w:tc>
          <w:tcPr>
            <w:tcW w:w="4674" w:type="dxa"/>
          </w:tcPr>
          <w:p>
            <w:pPr>
              <w:jc w:val="left"/>
              <w:rPr>
                <w:noProof/>
                <w:szCs w:val="24"/>
              </w:rPr>
            </w:pPr>
            <w:r>
              <w:rPr>
                <w:noProof/>
              </w:rPr>
              <w:t>Article 7, paragraphe 5</w:t>
            </w:r>
          </w:p>
        </w:tc>
      </w:tr>
      <w:tr>
        <w:tc>
          <w:tcPr>
            <w:tcW w:w="4674" w:type="dxa"/>
          </w:tcPr>
          <w:p>
            <w:pPr>
              <w:jc w:val="left"/>
              <w:rPr>
                <w:noProof/>
                <w:szCs w:val="24"/>
              </w:rPr>
            </w:pPr>
            <w:r>
              <w:rPr>
                <w:noProof/>
              </w:rPr>
              <w:t>Article 7, paragraphe 6</w:t>
            </w:r>
          </w:p>
        </w:tc>
        <w:tc>
          <w:tcPr>
            <w:tcW w:w="4674" w:type="dxa"/>
          </w:tcPr>
          <w:p>
            <w:pPr>
              <w:jc w:val="left"/>
              <w:rPr>
                <w:noProof/>
                <w:szCs w:val="24"/>
              </w:rPr>
            </w:pPr>
            <w:r>
              <w:rPr>
                <w:noProof/>
              </w:rPr>
              <w:t>Article 7, paragraphe 6</w:t>
            </w:r>
          </w:p>
        </w:tc>
      </w:tr>
      <w:tr>
        <w:tc>
          <w:tcPr>
            <w:tcW w:w="4674" w:type="dxa"/>
          </w:tcPr>
          <w:p>
            <w:pPr>
              <w:jc w:val="left"/>
              <w:rPr>
                <w:noProof/>
                <w:szCs w:val="24"/>
              </w:rPr>
            </w:pPr>
            <w:r>
              <w:rPr>
                <w:noProof/>
              </w:rPr>
              <w:t>Article 7, paragraphe 7</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8</w:t>
            </w:r>
          </w:p>
        </w:tc>
      </w:tr>
      <w:tr>
        <w:tc>
          <w:tcPr>
            <w:tcW w:w="4674" w:type="dxa"/>
          </w:tcPr>
          <w:p>
            <w:pPr>
              <w:jc w:val="left"/>
              <w:rPr>
                <w:noProof/>
                <w:szCs w:val="24"/>
              </w:rPr>
            </w:pPr>
            <w:r>
              <w:rPr>
                <w:noProof/>
              </w:rPr>
              <w:t>Article 8</w:t>
            </w:r>
          </w:p>
        </w:tc>
        <w:tc>
          <w:tcPr>
            <w:tcW w:w="4674" w:type="dxa"/>
          </w:tcPr>
          <w:p>
            <w:pPr>
              <w:jc w:val="left"/>
              <w:rPr>
                <w:noProof/>
                <w:szCs w:val="24"/>
              </w:rPr>
            </w:pPr>
            <w:r>
              <w:rPr>
                <w:noProof/>
              </w:rPr>
              <w:t>Article 9</w:t>
            </w:r>
          </w:p>
        </w:tc>
      </w:tr>
      <w:tr>
        <w:tc>
          <w:tcPr>
            <w:tcW w:w="4674" w:type="dxa"/>
          </w:tcPr>
          <w:p>
            <w:pPr>
              <w:jc w:val="left"/>
              <w:rPr>
                <w:noProof/>
                <w:szCs w:val="24"/>
              </w:rPr>
            </w:pPr>
            <w:r>
              <w:rPr>
                <w:noProof/>
              </w:rPr>
              <w:t>Article 9</w:t>
            </w:r>
          </w:p>
        </w:tc>
        <w:tc>
          <w:tcPr>
            <w:tcW w:w="4674" w:type="dxa"/>
          </w:tcPr>
          <w:p>
            <w:pPr>
              <w:jc w:val="left"/>
              <w:rPr>
                <w:noProof/>
                <w:szCs w:val="24"/>
              </w:rPr>
            </w:pPr>
            <w:r>
              <w:rPr>
                <w:noProof/>
              </w:rPr>
              <w:t>Article 10</w:t>
            </w:r>
          </w:p>
        </w:tc>
      </w:tr>
      <w:tr>
        <w:tc>
          <w:tcPr>
            <w:tcW w:w="4674" w:type="dxa"/>
          </w:tcPr>
          <w:p>
            <w:pPr>
              <w:jc w:val="left"/>
              <w:rPr>
                <w:noProof/>
                <w:szCs w:val="24"/>
              </w:rPr>
            </w:pPr>
            <w:r>
              <w:rPr>
                <w:noProof/>
              </w:rPr>
              <w:t>Article 10</w:t>
            </w:r>
          </w:p>
        </w:tc>
        <w:tc>
          <w:tcPr>
            <w:tcW w:w="4674" w:type="dxa"/>
          </w:tcPr>
          <w:p>
            <w:pPr>
              <w:jc w:val="left"/>
              <w:rPr>
                <w:noProof/>
                <w:szCs w:val="24"/>
              </w:rPr>
            </w:pPr>
            <w:r>
              <w:rPr>
                <w:noProof/>
              </w:rPr>
              <w:t>Article 11</w:t>
            </w:r>
          </w:p>
        </w:tc>
      </w:tr>
      <w:tr>
        <w:tc>
          <w:tcPr>
            <w:tcW w:w="4674" w:type="dxa"/>
          </w:tcPr>
          <w:p>
            <w:pPr>
              <w:jc w:val="left"/>
              <w:rPr>
                <w:noProof/>
                <w:szCs w:val="24"/>
              </w:rPr>
            </w:pPr>
            <w:r>
              <w:rPr>
                <w:noProof/>
              </w:rPr>
              <w:t>Article 11</w:t>
            </w:r>
          </w:p>
        </w:tc>
        <w:tc>
          <w:tcPr>
            <w:tcW w:w="4674" w:type="dxa"/>
          </w:tcPr>
          <w:p>
            <w:pPr>
              <w:jc w:val="left"/>
              <w:rPr>
                <w:noProof/>
                <w:szCs w:val="24"/>
              </w:rPr>
            </w:pPr>
            <w:r>
              <w:rPr>
                <w:noProof/>
              </w:rPr>
              <w:t>Article 12</w:t>
            </w:r>
          </w:p>
        </w:tc>
      </w:tr>
      <w:tr>
        <w:tc>
          <w:tcPr>
            <w:tcW w:w="4674" w:type="dxa"/>
          </w:tcPr>
          <w:p>
            <w:pPr>
              <w:jc w:val="left"/>
              <w:rPr>
                <w:noProof/>
                <w:szCs w:val="24"/>
              </w:rPr>
            </w:pPr>
            <w:r>
              <w:rPr>
                <w:noProof/>
              </w:rPr>
              <w:t>Article 12, paragraphe 1</w:t>
            </w:r>
          </w:p>
        </w:tc>
        <w:tc>
          <w:tcPr>
            <w:tcW w:w="4674" w:type="dxa"/>
          </w:tcPr>
          <w:p>
            <w:pPr>
              <w:jc w:val="left"/>
              <w:rPr>
                <w:noProof/>
                <w:szCs w:val="24"/>
              </w:rPr>
            </w:pPr>
            <w:r>
              <w:rPr>
                <w:noProof/>
              </w:rPr>
              <w:t>Article 13, paragraphe 1, point a)</w:t>
            </w:r>
          </w:p>
        </w:tc>
      </w:tr>
      <w:tr>
        <w:tc>
          <w:tcPr>
            <w:tcW w:w="4674" w:type="dxa"/>
          </w:tcPr>
          <w:p>
            <w:pPr>
              <w:jc w:val="left"/>
              <w:rPr>
                <w:noProof/>
                <w:szCs w:val="24"/>
              </w:rPr>
            </w:pPr>
            <w:r>
              <w:rPr>
                <w:noProof/>
              </w:rPr>
              <w:t>Article 12, paragraphe 3, point a)</w:t>
            </w:r>
          </w:p>
        </w:tc>
        <w:tc>
          <w:tcPr>
            <w:tcW w:w="4674" w:type="dxa"/>
          </w:tcPr>
          <w:p>
            <w:pPr>
              <w:jc w:val="left"/>
              <w:rPr>
                <w:noProof/>
                <w:szCs w:val="24"/>
              </w:rPr>
            </w:pPr>
            <w:r>
              <w:rPr>
                <w:noProof/>
              </w:rPr>
              <w:t>Article 13, paragraphe 1, point b)</w:t>
            </w:r>
          </w:p>
        </w:tc>
      </w:tr>
      <w:tr>
        <w:tc>
          <w:tcPr>
            <w:tcW w:w="4674" w:type="dxa"/>
          </w:tcPr>
          <w:p>
            <w:pPr>
              <w:jc w:val="left"/>
              <w:rPr>
                <w:noProof/>
                <w:szCs w:val="24"/>
              </w:rPr>
            </w:pPr>
            <w:r>
              <w:rPr>
                <w:noProof/>
              </w:rPr>
              <w:t>Article 12, paragraphe 3, point b)</w:t>
            </w:r>
          </w:p>
        </w:tc>
        <w:tc>
          <w:tcPr>
            <w:tcW w:w="4674" w:type="dxa"/>
          </w:tcPr>
          <w:p>
            <w:pPr>
              <w:jc w:val="left"/>
              <w:rPr>
                <w:noProof/>
                <w:szCs w:val="24"/>
              </w:rPr>
            </w:pPr>
            <w:r>
              <w:rPr>
                <w:noProof/>
              </w:rPr>
              <w:t>Article 13, paragraphe 1, point c)</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13, paragraphe 1, point d)</w:t>
            </w:r>
          </w:p>
        </w:tc>
      </w:tr>
      <w:tr>
        <w:tc>
          <w:tcPr>
            <w:tcW w:w="4674" w:type="dxa"/>
          </w:tcPr>
          <w:p>
            <w:pPr>
              <w:jc w:val="left"/>
              <w:rPr>
                <w:noProof/>
                <w:szCs w:val="24"/>
              </w:rPr>
            </w:pPr>
            <w:r>
              <w:rPr>
                <w:noProof/>
              </w:rPr>
              <w:t>Article 12, paragraphe 3, point c)</w:t>
            </w:r>
          </w:p>
        </w:tc>
        <w:tc>
          <w:tcPr>
            <w:tcW w:w="4674" w:type="dxa"/>
          </w:tcPr>
          <w:p>
            <w:pPr>
              <w:jc w:val="left"/>
              <w:rPr>
                <w:noProof/>
                <w:szCs w:val="24"/>
              </w:rPr>
            </w:pPr>
            <w:r>
              <w:rPr>
                <w:noProof/>
              </w:rPr>
              <w:t>Article 13, paragraphe 1, point e)</w:t>
            </w:r>
          </w:p>
        </w:tc>
      </w:tr>
      <w:tr>
        <w:tc>
          <w:tcPr>
            <w:tcW w:w="4674" w:type="dxa"/>
          </w:tcPr>
          <w:p>
            <w:pPr>
              <w:jc w:val="left"/>
              <w:rPr>
                <w:noProof/>
                <w:szCs w:val="24"/>
              </w:rPr>
            </w:pPr>
            <w:r>
              <w:rPr>
                <w:noProof/>
              </w:rPr>
              <w:t>Article 12, paragraphe 2</w:t>
            </w:r>
          </w:p>
        </w:tc>
        <w:tc>
          <w:tcPr>
            <w:tcW w:w="4674" w:type="dxa"/>
          </w:tcPr>
          <w:p>
            <w:pPr>
              <w:jc w:val="left"/>
              <w:rPr>
                <w:noProof/>
                <w:szCs w:val="24"/>
              </w:rPr>
            </w:pPr>
            <w:r>
              <w:rPr>
                <w:noProof/>
              </w:rPr>
              <w:t>Article 13, paragraphe 1, point f)</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13, paragraphe 2</w:t>
            </w:r>
          </w:p>
        </w:tc>
      </w:tr>
      <w:tr>
        <w:tc>
          <w:tcPr>
            <w:tcW w:w="4674" w:type="dxa"/>
          </w:tcPr>
          <w:p>
            <w:pPr>
              <w:jc w:val="left"/>
              <w:rPr>
                <w:noProof/>
                <w:szCs w:val="24"/>
              </w:rPr>
            </w:pPr>
            <w:r>
              <w:rPr>
                <w:noProof/>
              </w:rPr>
              <w:t>Article 12, paragraphe 4</w:t>
            </w:r>
          </w:p>
        </w:tc>
        <w:tc>
          <w:tcPr>
            <w:tcW w:w="4674" w:type="dxa"/>
          </w:tcPr>
          <w:p>
            <w:pPr>
              <w:jc w:val="left"/>
              <w:rPr>
                <w:noProof/>
                <w:szCs w:val="24"/>
              </w:rPr>
            </w:pPr>
            <w:r>
              <w:rPr>
                <w:noProof/>
              </w:rPr>
              <w:t>_</w:t>
            </w:r>
          </w:p>
        </w:tc>
      </w:tr>
      <w:tr>
        <w:tc>
          <w:tcPr>
            <w:tcW w:w="4674" w:type="dxa"/>
          </w:tcPr>
          <w:p>
            <w:pPr>
              <w:jc w:val="left"/>
              <w:rPr>
                <w:noProof/>
                <w:szCs w:val="24"/>
              </w:rPr>
            </w:pPr>
            <w:r>
              <w:rPr>
                <w:noProof/>
              </w:rPr>
              <w:t>Article 12, paragraphe 5</w:t>
            </w:r>
          </w:p>
        </w:tc>
        <w:tc>
          <w:tcPr>
            <w:tcW w:w="4674" w:type="dxa"/>
          </w:tcPr>
          <w:p>
            <w:pPr>
              <w:jc w:val="left"/>
              <w:rPr>
                <w:noProof/>
                <w:szCs w:val="24"/>
              </w:rPr>
            </w:pPr>
            <w:r>
              <w:rPr>
                <w:noProof/>
              </w:rPr>
              <w:t>Article 13, paragraphe 3</w:t>
            </w:r>
          </w:p>
        </w:tc>
      </w:tr>
      <w:tr>
        <w:tc>
          <w:tcPr>
            <w:tcW w:w="4674" w:type="dxa"/>
          </w:tcPr>
          <w:p>
            <w:pPr>
              <w:jc w:val="left"/>
              <w:rPr>
                <w:noProof/>
                <w:szCs w:val="24"/>
              </w:rPr>
            </w:pPr>
            <w:r>
              <w:rPr>
                <w:noProof/>
              </w:rPr>
              <w:t>Article 12, paragraphe 6</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13, paragraphe 4</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13, paragraphe 5</w:t>
            </w:r>
          </w:p>
        </w:tc>
      </w:tr>
      <w:tr>
        <w:tc>
          <w:tcPr>
            <w:tcW w:w="4674" w:type="dxa"/>
          </w:tcPr>
          <w:p>
            <w:pPr>
              <w:jc w:val="left"/>
              <w:rPr>
                <w:noProof/>
                <w:szCs w:val="24"/>
              </w:rPr>
            </w:pPr>
            <w:r>
              <w:rPr>
                <w:noProof/>
              </w:rPr>
              <w:t>Article 13</w:t>
            </w:r>
          </w:p>
        </w:tc>
        <w:tc>
          <w:tcPr>
            <w:tcW w:w="4674" w:type="dxa"/>
          </w:tcPr>
          <w:p>
            <w:pPr>
              <w:jc w:val="left"/>
              <w:rPr>
                <w:noProof/>
                <w:szCs w:val="24"/>
              </w:rPr>
            </w:pPr>
            <w:r>
              <w:rPr>
                <w:noProof/>
              </w:rPr>
              <w:t>Article 14</w:t>
            </w:r>
          </w:p>
        </w:tc>
      </w:tr>
      <w:tr>
        <w:tc>
          <w:tcPr>
            <w:tcW w:w="4674" w:type="dxa"/>
          </w:tcPr>
          <w:p>
            <w:pPr>
              <w:jc w:val="left"/>
              <w:rPr>
                <w:noProof/>
                <w:szCs w:val="24"/>
              </w:rPr>
            </w:pPr>
            <w:r>
              <w:rPr>
                <w:noProof/>
              </w:rPr>
              <w:t>Article 14</w:t>
            </w:r>
          </w:p>
        </w:tc>
        <w:tc>
          <w:tcPr>
            <w:tcW w:w="4674" w:type="dxa"/>
          </w:tcPr>
          <w:p>
            <w:pPr>
              <w:jc w:val="left"/>
              <w:rPr>
                <w:noProof/>
                <w:szCs w:val="24"/>
              </w:rPr>
            </w:pPr>
            <w:r>
              <w:rPr>
                <w:noProof/>
              </w:rPr>
              <w:t>Article 15</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16</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17</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18</w:t>
            </w:r>
          </w:p>
        </w:tc>
      </w:tr>
      <w:tr>
        <w:tc>
          <w:tcPr>
            <w:tcW w:w="4674" w:type="dxa"/>
          </w:tcPr>
          <w:p>
            <w:pPr>
              <w:jc w:val="left"/>
              <w:rPr>
                <w:noProof/>
                <w:szCs w:val="24"/>
              </w:rPr>
            </w:pPr>
            <w:r>
              <w:rPr>
                <w:noProof/>
              </w:rPr>
              <w:t>Article 15</w:t>
            </w:r>
          </w:p>
        </w:tc>
        <w:tc>
          <w:tcPr>
            <w:tcW w:w="4674" w:type="dxa"/>
          </w:tcPr>
          <w:p>
            <w:pPr>
              <w:jc w:val="left"/>
              <w:rPr>
                <w:noProof/>
                <w:szCs w:val="24"/>
              </w:rPr>
            </w:pPr>
            <w:r>
              <w:rPr>
                <w:noProof/>
              </w:rPr>
              <w:t>Article 19</w:t>
            </w:r>
          </w:p>
        </w:tc>
      </w:tr>
      <w:tr>
        <w:tc>
          <w:tcPr>
            <w:tcW w:w="4674" w:type="dxa"/>
          </w:tcPr>
          <w:p>
            <w:pPr>
              <w:jc w:val="left"/>
              <w:rPr>
                <w:noProof/>
                <w:szCs w:val="24"/>
              </w:rPr>
            </w:pPr>
            <w:r>
              <w:rPr>
                <w:noProof/>
              </w:rPr>
              <w:t>Article 16</w:t>
            </w:r>
          </w:p>
        </w:tc>
        <w:tc>
          <w:tcPr>
            <w:tcW w:w="4674" w:type="dxa"/>
          </w:tcPr>
          <w:p>
            <w:pPr>
              <w:jc w:val="left"/>
              <w:rPr>
                <w:noProof/>
                <w:szCs w:val="24"/>
              </w:rPr>
            </w:pPr>
            <w:r>
              <w:rPr>
                <w:noProof/>
              </w:rPr>
              <w:t>Article 20</w:t>
            </w:r>
          </w:p>
        </w:tc>
      </w:tr>
      <w:tr>
        <w:tc>
          <w:tcPr>
            <w:tcW w:w="4674" w:type="dxa"/>
          </w:tcPr>
          <w:p>
            <w:pPr>
              <w:jc w:val="left"/>
              <w:rPr>
                <w:noProof/>
                <w:szCs w:val="24"/>
              </w:rPr>
            </w:pPr>
            <w:r>
              <w:rPr>
                <w:noProof/>
              </w:rPr>
              <w:t>Article 17</w:t>
            </w:r>
          </w:p>
        </w:tc>
        <w:tc>
          <w:tcPr>
            <w:tcW w:w="4674" w:type="dxa"/>
          </w:tcPr>
          <w:p>
            <w:pPr>
              <w:jc w:val="left"/>
              <w:rPr>
                <w:noProof/>
                <w:szCs w:val="24"/>
              </w:rPr>
            </w:pPr>
            <w:r>
              <w:rPr>
                <w:noProof/>
              </w:rPr>
              <w:t>_</w:t>
            </w:r>
          </w:p>
        </w:tc>
      </w:tr>
      <w:tr>
        <w:tc>
          <w:tcPr>
            <w:tcW w:w="4674" w:type="dxa"/>
          </w:tcPr>
          <w:p>
            <w:pPr>
              <w:jc w:val="left"/>
              <w:rPr>
                <w:noProof/>
                <w:szCs w:val="24"/>
              </w:rPr>
            </w:pPr>
            <w:r>
              <w:rPr>
                <w:noProof/>
              </w:rPr>
              <w:t>Article 18</w:t>
            </w:r>
          </w:p>
        </w:tc>
        <w:tc>
          <w:tcPr>
            <w:tcW w:w="4674" w:type="dxa"/>
          </w:tcPr>
          <w:p>
            <w:pPr>
              <w:jc w:val="left"/>
              <w:rPr>
                <w:noProof/>
                <w:szCs w:val="24"/>
              </w:rPr>
            </w:pPr>
            <w:r>
              <w:rPr>
                <w:noProof/>
              </w:rPr>
              <w:t>_</w:t>
            </w:r>
          </w:p>
        </w:tc>
      </w:tr>
      <w:tr>
        <w:tc>
          <w:tcPr>
            <w:tcW w:w="4674" w:type="dxa"/>
          </w:tcPr>
          <w:p>
            <w:pPr>
              <w:jc w:val="left"/>
              <w:rPr>
                <w:noProof/>
                <w:szCs w:val="24"/>
              </w:rPr>
            </w:pPr>
            <w:r>
              <w:rPr>
                <w:noProof/>
              </w:rPr>
              <w:t>_</w:t>
            </w:r>
          </w:p>
        </w:tc>
        <w:tc>
          <w:tcPr>
            <w:tcW w:w="4674" w:type="dxa"/>
          </w:tcPr>
          <w:p>
            <w:pPr>
              <w:jc w:val="left"/>
              <w:rPr>
                <w:noProof/>
                <w:szCs w:val="24"/>
              </w:rPr>
            </w:pPr>
            <w:r>
              <w:rPr>
                <w:noProof/>
              </w:rPr>
              <w:t>Article 21</w:t>
            </w:r>
          </w:p>
        </w:tc>
      </w:tr>
      <w:tr>
        <w:tc>
          <w:tcPr>
            <w:tcW w:w="4674" w:type="dxa"/>
          </w:tcPr>
          <w:p>
            <w:pPr>
              <w:jc w:val="left"/>
              <w:rPr>
                <w:noProof/>
                <w:szCs w:val="24"/>
              </w:rPr>
            </w:pPr>
            <w:r>
              <w:rPr>
                <w:noProof/>
              </w:rPr>
              <w:t>Article 19</w:t>
            </w:r>
          </w:p>
        </w:tc>
        <w:tc>
          <w:tcPr>
            <w:tcW w:w="4674" w:type="dxa"/>
          </w:tcPr>
          <w:p>
            <w:pPr>
              <w:jc w:val="left"/>
              <w:rPr>
                <w:noProof/>
                <w:szCs w:val="24"/>
              </w:rPr>
            </w:pPr>
            <w:r>
              <w:rPr>
                <w:noProof/>
              </w:rPr>
              <w:t>Article 22</w:t>
            </w:r>
          </w:p>
        </w:tc>
      </w:tr>
      <w:tr>
        <w:tc>
          <w:tcPr>
            <w:tcW w:w="4674" w:type="dxa"/>
          </w:tcPr>
          <w:p>
            <w:pPr>
              <w:jc w:val="left"/>
              <w:rPr>
                <w:noProof/>
                <w:szCs w:val="24"/>
              </w:rPr>
            </w:pPr>
            <w:r>
              <w:rPr>
                <w:noProof/>
              </w:rPr>
              <w:t>Annexes I à V</w:t>
            </w:r>
          </w:p>
        </w:tc>
        <w:tc>
          <w:tcPr>
            <w:tcW w:w="4674" w:type="dxa"/>
          </w:tcPr>
          <w:p>
            <w:pPr>
              <w:jc w:val="left"/>
              <w:rPr>
                <w:noProof/>
                <w:szCs w:val="24"/>
              </w:rPr>
            </w:pPr>
            <w:r>
              <w:rPr>
                <w:noProof/>
              </w:rPr>
              <w:t>Annexes I à V</w:t>
            </w:r>
          </w:p>
        </w:tc>
      </w:tr>
      <w:tr>
        <w:tc>
          <w:tcPr>
            <w:tcW w:w="4674" w:type="dxa"/>
          </w:tcPr>
          <w:p>
            <w:pPr>
              <w:jc w:val="left"/>
              <w:rPr>
                <w:noProof/>
                <w:szCs w:val="24"/>
              </w:rPr>
            </w:pPr>
            <w:r>
              <w:rPr>
                <w:noProof/>
              </w:rPr>
              <w:t>–</w:t>
            </w:r>
          </w:p>
        </w:tc>
        <w:tc>
          <w:tcPr>
            <w:tcW w:w="4674" w:type="dxa"/>
          </w:tcPr>
          <w:p>
            <w:pPr>
              <w:jc w:val="left"/>
              <w:rPr>
                <w:noProof/>
                <w:szCs w:val="24"/>
              </w:rPr>
            </w:pPr>
            <w:r>
              <w:rPr>
                <w:noProof/>
              </w:rPr>
              <w:t>Annexe VI</w:t>
            </w:r>
          </w:p>
        </w:tc>
      </w:tr>
      <w:tr>
        <w:tc>
          <w:tcPr>
            <w:tcW w:w="4674" w:type="dxa"/>
          </w:tcPr>
          <w:p>
            <w:pPr>
              <w:jc w:val="left"/>
              <w:rPr>
                <w:noProof/>
                <w:szCs w:val="24"/>
              </w:rPr>
            </w:pPr>
            <w:r>
              <w:rPr>
                <w:noProof/>
              </w:rPr>
              <w:t>–</w:t>
            </w:r>
          </w:p>
        </w:tc>
        <w:tc>
          <w:tcPr>
            <w:tcW w:w="4674" w:type="dxa"/>
          </w:tcPr>
          <w:p>
            <w:pPr>
              <w:jc w:val="left"/>
              <w:rPr>
                <w:noProof/>
                <w:szCs w:val="24"/>
              </w:rPr>
            </w:pPr>
            <w:r>
              <w:rPr>
                <w:noProof/>
              </w:rPr>
              <w:t>Annexe VII</w:t>
            </w:r>
          </w:p>
        </w:tc>
      </w:tr>
    </w:tbl>
    <w:p>
      <w:pPr>
        <w:jc w:val="center"/>
        <w:rPr>
          <w:noProof/>
          <w:szCs w:val="24"/>
        </w:rPr>
      </w:pPr>
      <w:r>
        <w:rPr>
          <w:noProof/>
        </w:rPr>
        <w:t>_____________</w:t>
      </w:r>
    </w:p>
    <w:sectPr>
      <w:pgSz w:w="11906" w:h="16838"/>
      <w:pgMar w:top="1134" w:right="1418" w:bottom="1134" w:left="1418" w:header="709" w:footer="709" w:gutter="0"/>
      <w:pgNumType w:start="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lang w:val="en-US"/>
        </w:rPr>
        <w:footnoteRef/>
      </w:r>
      <w:r>
        <w:rPr>
          <w:lang w:val="fr-BE"/>
        </w:rPr>
        <w:tab/>
        <w:t>JO L 37 du 13.2.2003, p. 19.</w:t>
      </w:r>
    </w:p>
  </w:footnote>
  <w:footnote w:id="2">
    <w:p>
      <w:pPr>
        <w:pStyle w:val="FootnoteText"/>
        <w:rPr>
          <w:lang w:val="fr-BE"/>
        </w:rPr>
      </w:pPr>
      <w:r>
        <w:rPr>
          <w:rStyle w:val="FootnoteReference"/>
          <w:lang w:val="en-US"/>
        </w:rPr>
        <w:footnoteRef/>
      </w:r>
      <w:r>
        <w:rPr>
          <w:lang w:val="fr-BE"/>
        </w:rPr>
        <w:tab/>
        <w:t>JO L 24 du 29.1.2008, p. 8.</w:t>
      </w:r>
    </w:p>
  </w:footnote>
  <w:footnote w:id="3">
    <w:p>
      <w:pPr>
        <w:pStyle w:val="FootnoteText"/>
        <w:rPr>
          <w:lang w:val="fr-BE"/>
        </w:rPr>
      </w:pPr>
      <w:r>
        <w:rPr>
          <w:rStyle w:val="FootnoteReference"/>
          <w:lang w:val="en-US"/>
        </w:rPr>
        <w:footnoteRef/>
      </w:r>
      <w:r>
        <w:rPr>
          <w:lang w:val="fr-BE"/>
        </w:rPr>
        <w:tab/>
      </w:r>
      <w:r>
        <w:fldChar w:fldCharType="begin"/>
      </w:r>
      <w:r>
        <w:rPr>
          <w:lang w:val="fr-BE"/>
        </w:rPr>
        <w:instrText xml:space="preserve"> QUOTE "</w:instrText>
      </w:r>
      <w:r>
        <w:rPr>
          <w:rStyle w:val="CRMarker"/>
          <w:lang w:val="fr-BE"/>
        </w:rPr>
        <w:instrText>è</w:instrText>
      </w:r>
      <w:r>
        <w:rPr>
          <w:lang w:val="fr-BE"/>
        </w:rPr>
        <w:instrText xml:space="preserve">" </w:instrText>
      </w:r>
      <w:r>
        <w:fldChar w:fldCharType="separate"/>
      </w:r>
      <w:r>
        <w:rPr>
          <w:rStyle w:val="CRMarker"/>
          <w:lang w:val="fr-BE"/>
        </w:rPr>
        <w:t>è</w:t>
      </w:r>
      <w:r>
        <w:fldChar w:fldCharType="end"/>
      </w:r>
      <w:r>
        <w:rPr>
          <w:rStyle w:val="CRRefNum"/>
          <w:lang w:val="fr-BE"/>
        </w:rPr>
        <w:t>1</w:t>
      </w:r>
      <w:r>
        <w:rPr>
          <w:lang w:val="fr-BE"/>
        </w:rPr>
        <w:t>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 </w:t>
      </w:r>
      <w:r>
        <w:fldChar w:fldCharType="begin"/>
      </w:r>
      <w:r>
        <w:rPr>
          <w:lang w:val="fr-BE"/>
        </w:rPr>
        <w:instrText xml:space="preserve"> QUOTE "</w:instrText>
      </w:r>
      <w:r>
        <w:rPr>
          <w:rStyle w:val="CRMarker"/>
          <w:lang w:val="fr-BE"/>
        </w:rPr>
        <w:instrText>ç</w:instrText>
      </w:r>
      <w:r>
        <w:rPr>
          <w:lang w:val="fr-BE"/>
        </w:rPr>
        <w:instrText xml:space="preserve">" </w:instrText>
      </w:r>
      <w:r>
        <w:fldChar w:fldCharType="separate"/>
      </w:r>
      <w:r>
        <w:rPr>
          <w:rStyle w:val="CRMarker"/>
          <w:lang w:val="fr-BE"/>
        </w:rPr>
        <w:t>ç</w:t>
      </w:r>
      <w:r>
        <w:fldChar w:fldCharType="end"/>
      </w:r>
    </w:p>
  </w:footnote>
  <w:footnote w:id="4">
    <w:p>
      <w:pPr>
        <w:pStyle w:val="FootnoteText"/>
        <w:rPr>
          <w:highlight w:val="lightGray"/>
          <w:lang w:val="fr-BE"/>
        </w:rPr>
      </w:pPr>
      <w:r>
        <w:rPr>
          <w:rStyle w:val="FootnoteReference"/>
          <w:highlight w:val="lightGray"/>
          <w:lang w:val="en-US"/>
        </w:rPr>
        <w:footnoteRef/>
      </w:r>
      <w:r>
        <w:rPr>
          <w:highlight w:val="lightGray"/>
          <w:lang w:val="fr-BE"/>
        </w:rPr>
        <w:tab/>
      </w:r>
      <w:r>
        <w:rPr>
          <w:highlight w:val="lightGray"/>
        </w:rPr>
        <w:fldChar w:fldCharType="begin"/>
      </w:r>
      <w:r>
        <w:rPr>
          <w:highlight w:val="lightGray"/>
          <w:lang w:val="fr-BE"/>
        </w:rPr>
        <w:instrText xml:space="preserve"> QUOTE "</w:instrText>
      </w:r>
      <w:r>
        <w:rPr>
          <w:rStyle w:val="CRMarker"/>
          <w:highlight w:val="lightGray"/>
          <w:lang w:val="fr-BE"/>
        </w:rPr>
        <w:instrText>è</w:instrText>
      </w:r>
      <w:r>
        <w:rPr>
          <w:highlight w:val="lightGray"/>
          <w:lang w:val="fr-BE"/>
        </w:rPr>
        <w:instrText xml:space="preserve">" </w:instrText>
      </w:r>
      <w:r>
        <w:rPr>
          <w:highlight w:val="lightGray"/>
        </w:rPr>
        <w:fldChar w:fldCharType="separate"/>
      </w:r>
      <w:r>
        <w:rPr>
          <w:rStyle w:val="CRMarker"/>
          <w:highlight w:val="lightGray"/>
          <w:lang w:val="fr-BE"/>
        </w:rPr>
        <w:t>è</w:t>
      </w:r>
      <w:r>
        <w:rPr>
          <w:highlight w:val="lightGray"/>
        </w:rPr>
        <w:fldChar w:fldCharType="end"/>
      </w:r>
      <w:r>
        <w:rPr>
          <w:rStyle w:val="CRRefNum"/>
          <w:highlight w:val="lightGray"/>
          <w:lang w:val="fr-BE"/>
        </w:rPr>
        <w:t>4</w:t>
      </w:r>
      <w:r>
        <w:rPr>
          <w:highlight w:val="lightGray"/>
          <w:lang w:val="fr-BE"/>
        </w:rPr>
        <w:t> Les naphthalènes polychlorés désignent des composés chimiques dont la structure de base est le cycle naphtalénique, dans lequel un ou plusieurs atomes d'hydrogène ont été remplacés par des atomes de chlore. </w:t>
      </w:r>
      <w:r>
        <w:rPr>
          <w:highlight w:val="lightGray"/>
        </w:rPr>
        <w:fldChar w:fldCharType="begin"/>
      </w:r>
      <w:r>
        <w:rPr>
          <w:highlight w:val="lightGray"/>
          <w:lang w:val="fr-BE"/>
        </w:rPr>
        <w:instrText xml:space="preserve"> QUOTE "</w:instrText>
      </w:r>
      <w:r>
        <w:rPr>
          <w:rStyle w:val="CRMarker"/>
          <w:highlight w:val="lightGray"/>
          <w:lang w:val="fr-BE"/>
        </w:rPr>
        <w:instrText>ç</w:instrText>
      </w:r>
      <w:r>
        <w:rPr>
          <w:highlight w:val="lightGray"/>
          <w:lang w:val="fr-BE"/>
        </w:rPr>
        <w:instrText xml:space="preserve">" </w:instrText>
      </w:r>
      <w:r>
        <w:rPr>
          <w:highlight w:val="lightGray"/>
        </w:rPr>
        <w:fldChar w:fldCharType="separate"/>
      </w:r>
      <w:r>
        <w:rPr>
          <w:rStyle w:val="CRMarker"/>
          <w:highlight w:val="lightGray"/>
          <w:lang w:val="fr-BE"/>
        </w:rPr>
        <w:t>ç</w:t>
      </w:r>
      <w:r>
        <w:rPr>
          <w:highlight w:val="lightGray"/>
        </w:rPr>
        <w:fldChar w:fldCharType="end"/>
      </w:r>
    </w:p>
  </w:footnote>
  <w:footnote w:id="5">
    <w:p>
      <w:pPr>
        <w:pStyle w:val="FootnoteText"/>
        <w:rPr>
          <w:lang w:val="fr-BE"/>
        </w:rPr>
      </w:pPr>
      <w:r>
        <w:rPr>
          <w:rStyle w:val="FootnoteReference"/>
          <w:lang w:val="en-US"/>
        </w:rPr>
        <w:footnoteRef/>
      </w:r>
      <w:r>
        <w:rPr>
          <w:lang w:val="fr-BE"/>
        </w:rPr>
        <w:tab/>
        <w:t xml:space="preserve">Aux fins de l'établissement d'inventaires </w:t>
      </w:r>
      <w:r>
        <w:rPr>
          <w:rStyle w:val="CRDeleted"/>
        </w:rPr>
        <w:t xml:space="preserve">d'émissions </w:t>
      </w:r>
      <w:r>
        <w:rPr>
          <w:rStyle w:val="CRMinorChangeAdded"/>
        </w:rPr>
        <w:t>des rejets</w:t>
      </w:r>
      <w:r>
        <w:rPr>
          <w:lang w:val="fr-BE"/>
        </w:rPr>
        <w:t>, les quatre indicateurs composés suivants sont utilisés: benzo(a)pyrène, benzo(b)fluoranthène, benzo(k)fluoranthène et indeno(1,2,3-cd)pyrène.</w:t>
      </w:r>
    </w:p>
  </w:footnote>
  <w:footnote w:id="6">
    <w:p>
      <w:pPr>
        <w:pStyle w:val="FootnoteText"/>
        <w:rPr>
          <w:lang w:val="fr-BE"/>
        </w:rPr>
      </w:pPr>
      <w:r>
        <w:rPr>
          <w:rStyle w:val="FootnoteReference"/>
          <w:lang w:val="en-US"/>
        </w:rPr>
        <w:footnoteRef/>
      </w:r>
      <w:r>
        <w:rPr>
          <w:lang w:val="fr-BE"/>
        </w:rPr>
        <w:tab/>
        <w:t>Les naphthalènes polychlorés désignent des composés chimiques dont la structure de base est le cycle naphtalénique, dans lequel un ou plusieurs atomes d'hydrogène ont été remplacés par des atomes de chlore.</w:t>
      </w:r>
    </w:p>
  </w:footnote>
  <w:footnote w:id="7">
    <w:p>
      <w:pPr>
        <w:adjustRightInd w:val="0"/>
        <w:spacing w:before="0" w:after="0"/>
        <w:jc w:val="left"/>
        <w:rPr>
          <w:lang w:val="fr-BE"/>
        </w:rPr>
      </w:pPr>
      <w:r>
        <w:rPr>
          <w:rStyle w:val="FootnoteReference"/>
          <w:lang w:val="en-US"/>
        </w:rPr>
        <w:footnoteRef/>
      </w:r>
      <w:r>
        <w:rPr>
          <w:lang w:val="fr-BE"/>
        </w:rPr>
        <w:tab/>
        <w:t>La limite est calculée en PCDD et en PCDF, selon les facteurs d’équivalence toxique (FET) suivants:</w:t>
      </w:r>
    </w:p>
    <w:tbl>
      <w:tblPr>
        <w:tblW w:w="0" w:type="auto"/>
        <w:tblLayout w:type="fixed"/>
        <w:tblLook w:val="0000" w:firstRow="0" w:lastRow="0" w:firstColumn="0" w:lastColumn="0" w:noHBand="0" w:noVBand="0"/>
      </w:tblPr>
      <w:tblGrid>
        <w:gridCol w:w="6407"/>
        <w:gridCol w:w="2879"/>
      </w:tblGrid>
      <w:tr>
        <w:tc>
          <w:tcPr>
            <w:tcW w:w="6407" w:type="dxa"/>
            <w:tcBorders>
              <w:top w:val="single" w:sz="2" w:space="0" w:color="auto"/>
              <w:left w:val="single" w:sz="2" w:space="0" w:color="auto"/>
              <w:bottom w:val="single" w:sz="2" w:space="0" w:color="auto"/>
              <w:right w:val="single" w:sz="2" w:space="0" w:color="auto"/>
            </w:tcBorders>
          </w:tcPr>
          <w:p>
            <w:pPr>
              <w:pStyle w:val="NormalCentered"/>
            </w:pPr>
            <w:r>
              <w:t>PCDD</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FET</w:t>
            </w:r>
          </w:p>
        </w:tc>
      </w:tr>
      <w:tr>
        <w:tc>
          <w:tcPr>
            <w:tcW w:w="6407" w:type="dxa"/>
            <w:tcBorders>
              <w:top w:val="single" w:sz="2" w:space="0" w:color="auto"/>
              <w:left w:val="single" w:sz="2" w:space="0" w:color="auto"/>
              <w:bottom w:val="single" w:sz="2" w:space="0" w:color="auto"/>
              <w:right w:val="single" w:sz="2" w:space="0" w:color="auto"/>
            </w:tcBorders>
          </w:tcPr>
          <w:p>
            <w:pPr>
              <w:pStyle w:val="NormalCentered"/>
            </w:pPr>
            <w:r>
              <w:t>PCDF</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FET</w:t>
            </w:r>
          </w:p>
        </w:tc>
      </w:tr>
      <w:tr>
        <w:tc>
          <w:tcPr>
            <w:tcW w:w="6407" w:type="dxa"/>
            <w:tcBorders>
              <w:top w:val="single" w:sz="2" w:space="0" w:color="auto"/>
              <w:left w:val="single" w:sz="2" w:space="0" w:color="auto"/>
              <w:bottom w:val="single" w:sz="2" w:space="0" w:color="auto"/>
              <w:right w:val="single" w:sz="2" w:space="0" w:color="auto"/>
            </w:tcBorders>
          </w:tcPr>
          <w:p>
            <w:pPr>
              <w:pStyle w:val="NormalCentered"/>
            </w:pPr>
            <w:r>
              <w:t>PCDD</w:t>
            </w:r>
          </w:p>
        </w:tc>
        <w:tc>
          <w:tcPr>
            <w:tcW w:w="2879" w:type="dxa"/>
            <w:tcBorders>
              <w:top w:val="single" w:sz="2" w:space="0" w:color="auto"/>
              <w:left w:val="single" w:sz="2" w:space="0" w:color="auto"/>
              <w:bottom w:val="single" w:sz="2" w:space="0" w:color="auto"/>
              <w:right w:val="single" w:sz="2" w:space="0" w:color="auto"/>
            </w:tcBorders>
          </w:tcPr>
          <w:p>
            <w:pPr>
              <w:pStyle w:val="NormalCentered"/>
            </w:pPr>
            <w:r>
              <w:t>FET</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2,3,7,8-TeCDD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1,2,3,7,8-PeCDD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1,2,3,6,7,8-HxCDD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1,2,3,7,8,9-HxCDD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1,2,3,4,6,7,8-HpCDD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OCDD</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0,0003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2,3,7,8-TeCDF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1,2,3,7,8-PeCDF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2,3,4,7,8-PeCDF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0,3</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1,2,3,6,7,8-HxCDF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1,2,3,7,8,9-HxCDF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2,3,4,6,7,8-HxCDF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1,2,3,4,6,7,8-HpCDF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1,2,3,4,7,8,9-HpCDF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0,01</w:t>
            </w:r>
          </w:p>
        </w:tc>
      </w:tr>
      <w:tr>
        <w:tc>
          <w:tcPr>
            <w:tcW w:w="6407" w:type="dxa"/>
            <w:tcBorders>
              <w:top w:val="single" w:sz="2" w:space="0" w:color="auto"/>
              <w:left w:val="single" w:sz="2" w:space="0" w:color="auto"/>
              <w:bottom w:val="single" w:sz="2" w:space="0" w:color="auto"/>
              <w:right w:val="single" w:sz="2" w:space="0" w:color="auto"/>
            </w:tcBorders>
          </w:tcPr>
          <w:p>
            <w:pPr>
              <w:pStyle w:val="NormalLeft"/>
            </w:pPr>
            <w:r>
              <w:t>OCDF</w:t>
            </w:r>
          </w:p>
        </w:tc>
        <w:tc>
          <w:tcPr>
            <w:tcW w:w="2879" w:type="dxa"/>
            <w:tcBorders>
              <w:top w:val="single" w:sz="2" w:space="0" w:color="auto"/>
              <w:left w:val="single" w:sz="2" w:space="0" w:color="auto"/>
              <w:bottom w:val="single" w:sz="2" w:space="0" w:color="auto"/>
              <w:right w:val="single" w:sz="2" w:space="0" w:color="auto"/>
            </w:tcBorders>
          </w:tcPr>
          <w:p>
            <w:pPr>
              <w:pStyle w:val="NormalLeft"/>
            </w:pPr>
            <w:r>
              <w:t>0,0003</w:t>
            </w:r>
          </w:p>
        </w:tc>
      </w:tr>
    </w:tbl>
    <w:p>
      <w:pPr>
        <w:spacing w:before="0" w:after="200" w:line="276" w:lineRule="auto"/>
        <w:jc w:val="left"/>
      </w:pPr>
    </w:p>
  </w:footnote>
  <w:footnote w:id="8">
    <w:p>
      <w:pPr>
        <w:pStyle w:val="FootnoteText"/>
        <w:rPr>
          <w:lang w:val="fr-BE"/>
        </w:rPr>
      </w:pPr>
      <w:r>
        <w:rPr>
          <w:rStyle w:val="FootnoteReference"/>
          <w:lang w:val="en-US"/>
        </w:rPr>
        <w:footnoteRef/>
      </w:r>
      <w:r>
        <w:rPr>
          <w:lang w:val="fr-BE"/>
        </w:rPr>
        <w:tab/>
        <w:t>Le cas échéant, la méthode de calcul prescrite dans les normes européennes EN 12766-1 et EN 12766-2 s'applique.</w:t>
      </w:r>
    </w:p>
  </w:footnote>
  <w:footnote w:id="9">
    <w:p>
      <w:pPr>
        <w:pStyle w:val="FootnoteText"/>
        <w:rPr>
          <w:lang w:val="fr-BE"/>
        </w:rPr>
      </w:pPr>
      <w:r>
        <w:rPr>
          <w:rStyle w:val="FootnoteReference"/>
          <w:lang w:val="en-US"/>
        </w:rPr>
        <w:footnoteRef/>
      </w:r>
      <w:r>
        <w:rPr>
          <w:lang w:val="fr-BE"/>
        </w:rPr>
        <w:tab/>
      </w:r>
      <w:r>
        <w:fldChar w:fldCharType="begin"/>
      </w:r>
      <w:r>
        <w:rPr>
          <w:lang w:val="fr-BE"/>
        </w:rPr>
        <w:instrText xml:space="preserve"> QUOTE "</w:instrText>
      </w:r>
      <w:r>
        <w:rPr>
          <w:rStyle w:val="CRMarker"/>
          <w:lang w:val="fr-BE"/>
        </w:rPr>
        <w:instrText>è</w:instrText>
      </w:r>
      <w:r>
        <w:rPr>
          <w:lang w:val="fr-BE"/>
        </w:rPr>
        <w:instrText xml:space="preserve">" </w:instrText>
      </w:r>
      <w:r>
        <w:fldChar w:fldCharType="separate"/>
      </w:r>
      <w:r>
        <w:rPr>
          <w:rStyle w:val="CRMarker"/>
          <w:lang w:val="fr-BE"/>
        </w:rPr>
        <w:t>è</w:t>
      </w:r>
      <w:r>
        <w:fldChar w:fldCharType="end"/>
      </w:r>
      <w:r>
        <w:rPr>
          <w:rStyle w:val="CRRefNum"/>
          <w:lang w:val="fr-BE"/>
        </w:rPr>
        <w:t>1</w:t>
      </w:r>
      <w:r>
        <w:rPr>
          <w:lang w:val="fr-BE"/>
        </w:rPr>
        <w:t>Par «hexabromocyclododécane», on entend l'hexabromocyclododécane, le 1,2,5,6,9,10-hexabromocyclododécane et ses principaux diastéréoisomères: l'alpha-hexabromocyclododécane, le bêta-hexabromocyclododécane et le gamma-hexabromocyclododécane. </w:t>
      </w:r>
      <w:r>
        <w:fldChar w:fldCharType="begin"/>
      </w:r>
      <w:r>
        <w:rPr>
          <w:lang w:val="fr-BE"/>
        </w:rPr>
        <w:instrText xml:space="preserve"> QUOTE "</w:instrText>
      </w:r>
      <w:r>
        <w:rPr>
          <w:rStyle w:val="CRMarker"/>
          <w:lang w:val="fr-BE"/>
        </w:rPr>
        <w:instrText>ç</w:instrText>
      </w:r>
      <w:r>
        <w:rPr>
          <w:lang w:val="fr-BE"/>
        </w:rPr>
        <w:instrText xml:space="preserve">" </w:instrText>
      </w:r>
      <w:r>
        <w:fldChar w:fldCharType="separate"/>
      </w:r>
      <w:r>
        <w:rPr>
          <w:rStyle w:val="CRMarker"/>
          <w:lang w:val="fr-BE"/>
        </w:rPr>
        <w:t>ç</w:t>
      </w:r>
      <w:r>
        <w:fldChar w:fldCharType="end"/>
      </w:r>
    </w:p>
  </w:footnote>
  <w:footnote w:id="10">
    <w:p>
      <w:pPr>
        <w:pStyle w:val="FootnoteText"/>
        <w:rPr>
          <w:lang w:val="fr-BE"/>
        </w:rPr>
      </w:pPr>
      <w:r>
        <w:rPr>
          <w:rStyle w:val="FootnoteReference"/>
          <w:lang w:val="en-US"/>
        </w:rPr>
        <w:footnoteRef/>
      </w:r>
      <w:r>
        <w:rPr>
          <w:lang w:val="fr-BE"/>
        </w:rPr>
        <w:tab/>
        <w:t>Directive 2010/75/UE du Parlement européen et du Conseil du 24 novembre 2010 relative aux émissions industrielles (prévention et réduction intégrées de la pollution) (JO L 334 du 17.12.2010, p. 17).</w:t>
      </w:r>
    </w:p>
  </w:footnote>
  <w:footnote w:id="11">
    <w:p>
      <w:pPr>
        <w:pStyle w:val="FootnoteText"/>
        <w:rPr>
          <w:lang w:val="fr-BE"/>
        </w:rPr>
      </w:pPr>
      <w:r>
        <w:rPr>
          <w:rStyle w:val="FootnoteReference"/>
          <w:lang w:val="en-US"/>
        </w:rPr>
        <w:footnoteRef/>
      </w:r>
      <w:r>
        <w:rPr>
          <w:lang w:val="fr-BE"/>
        </w:rPr>
        <w:tab/>
        <w:t>Décision 2000/532/CE de la Commission du 3 mai 2000 remplaçant la décision 94/3/CE établissant une liste de déchets en application de l'article 1</w:t>
      </w:r>
      <w:r>
        <w:rPr>
          <w:vertAlign w:val="superscript"/>
          <w:lang w:val="fr-BE"/>
        </w:rPr>
        <w:t>er</w:t>
      </w:r>
      <w:r>
        <w:rPr>
          <w:lang w:val="fr-BE"/>
        </w:rPr>
        <w:t>, point a), de la directive 75/442/CEE du Conseil relative aux déchets et la décision 94/904/CE du Conseil établissant une liste de déchets dangereux en application de l'article 1</w:t>
      </w:r>
      <w:r>
        <w:rPr>
          <w:vertAlign w:val="superscript"/>
          <w:lang w:val="fr-BE"/>
        </w:rPr>
        <w:t>er</w:t>
      </w:r>
      <w:r>
        <w:rPr>
          <w:lang w:val="fr-BE"/>
        </w:rPr>
        <w:t>, paragraphe 4, de la directive 91/689/CEE du Conseil relative aux déchets dangereux (JO L 226 du 6.9.2000, p. 3). Décision modifiée en dernier lieu par la décision 2014/955/UE de la Commission du 18 décembre 2014 (JO L 370 du 30.12.2014).</w:t>
      </w:r>
    </w:p>
  </w:footnote>
  <w:footnote w:id="12">
    <w:p>
      <w:pPr>
        <w:pStyle w:val="FootnoteText"/>
        <w:rPr>
          <w:lang w:val="fr-BE"/>
        </w:rPr>
      </w:pPr>
      <w:r>
        <w:rPr>
          <w:rStyle w:val="FootnoteReference"/>
          <w:lang w:val="en-US"/>
        </w:rPr>
        <w:footnoteRef/>
      </w:r>
      <w:r>
        <w:rPr>
          <w:lang w:val="fr-BE"/>
        </w:rPr>
        <w:tab/>
        <w:t>Ces limites s'appliquent exclusivement aux décharges de déchets dangereux et ne s'appliquent pas aux installations souterraines de stockage permanent de déchets dangereux, y compris les mines de sel.</w:t>
      </w:r>
    </w:p>
  </w:footnote>
  <w:footnote w:id="13">
    <w:p>
      <w:pPr>
        <w:pStyle w:val="FootnoteText"/>
        <w:rPr>
          <w:lang w:val="fr-BE"/>
        </w:rPr>
      </w:pPr>
      <w:r>
        <w:rPr>
          <w:rStyle w:val="FootnoteReference"/>
          <w:lang w:val="en-US"/>
        </w:rPr>
        <w:footnoteRef/>
      </w:r>
      <w:r>
        <w:rPr>
          <w:lang w:val="fr-BE"/>
        </w:rPr>
        <w:tab/>
        <w:t>Par «hexabromocyclododécane», on entend l'hexabromocyclododécane, le 1,2,5,6,9,10-hexabromocyclododécane et ses principaux diastéréoisomères: l'alpha-hexabromocyclododécane, le bêta-hexabromocyclododécane et le gamma-hexabromocyclododécane.</w:t>
      </w:r>
    </w:p>
  </w:footnote>
  <w:footnote w:id="14">
    <w:p>
      <w:pPr>
        <w:pStyle w:val="FootnoteText"/>
        <w:rPr>
          <w:lang w:val="fr-BE"/>
        </w:rPr>
      </w:pPr>
      <w:r>
        <w:rPr>
          <w:rStyle w:val="FootnoteReference"/>
          <w:lang w:val="en-US"/>
        </w:rPr>
        <w:footnoteRef/>
      </w:r>
      <w:r>
        <w:rPr>
          <w:lang w:val="fr-BE"/>
        </w:rPr>
        <w:tab/>
        <w:t>La méthode de calcul à appliquer est celle définie dans les normes européennes EN 12766-1 et EN 12766-2.</w:t>
      </w:r>
    </w:p>
  </w:footnote>
  <w:footnote w:id="15">
    <w:p>
      <w:pPr>
        <w:pStyle w:val="FootnoteText"/>
        <w:rPr>
          <w:lang w:val="fr-BE"/>
        </w:rPr>
      </w:pPr>
      <w:r>
        <w:rPr>
          <w:rStyle w:val="FootnoteReference"/>
          <w:lang w:val="en-US"/>
        </w:rPr>
        <w:footnoteRef/>
      </w:r>
      <w:r>
        <w:rPr>
          <w:lang w:val="fr-BE"/>
        </w:rPr>
        <w:tab/>
        <w:t>Directive 1999/31/CE du Conseil du 26 avril 1999 concernant la mise en décharge des déchets (JO L 182 du 16.7.1999, p. 1).</w:t>
      </w:r>
    </w:p>
  </w:footnote>
  <w:footnote w:id="16">
    <w:p>
      <w:pPr>
        <w:pStyle w:val="FootnoteText"/>
        <w:rPr>
          <w:lang w:val="fr-BE"/>
        </w:rPr>
      </w:pPr>
      <w:r>
        <w:rPr>
          <w:rStyle w:val="FootnoteReference"/>
          <w:lang w:val="en-US"/>
        </w:rPr>
        <w:footnoteRef/>
      </w:r>
      <w:r>
        <w:rPr>
          <w:lang w:val="fr-BE"/>
        </w:rPr>
        <w:tab/>
        <w:t>Décision 2003/33/CE du Conseil du 19 décembre 2002 établissant des critères et des procédures d'admission des déchets dans les décharges, conformément à l'article 16 et à l'annexe II de la directive 1999/31/CE (JO L 11 du 16.1.2003. p. 27).</w:t>
      </w:r>
    </w:p>
  </w:footnote>
  <w:footnote w:id="17">
    <w:p>
      <w:pPr>
        <w:pStyle w:val="FootnoteText"/>
        <w:rPr>
          <w:lang w:val="fr-BE"/>
        </w:rPr>
      </w:pPr>
      <w:r>
        <w:rPr>
          <w:rStyle w:val="FootnoteReference"/>
          <w:lang w:val="en-US"/>
        </w:rPr>
        <w:footnoteRef/>
      </w:r>
      <w:r>
        <w:rPr>
          <w:lang w:val="fr-BE"/>
        </w:rPr>
        <w:tab/>
        <w:t>Tout déchet repéré par un astérisque «*» est considéré comme un déchet dangereux en vertu de la directive 2008/98/CE et est soumis aux dispositions de cette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C08CE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B4E96C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AFDADF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AE47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3681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F44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4EE706"/>
    <w:lvl w:ilvl="0">
      <w:start w:val="1"/>
      <w:numFmt w:val="decimal"/>
      <w:pStyle w:val="ListNumber"/>
      <w:lvlText w:val="%1."/>
      <w:lvlJc w:val="left"/>
      <w:pPr>
        <w:tabs>
          <w:tab w:val="num" w:pos="360"/>
        </w:tabs>
        <w:ind w:left="360" w:hanging="360"/>
      </w:pPr>
    </w:lvl>
  </w:abstractNum>
  <w:abstractNum w:abstractNumId="7">
    <w:nsid w:val="FFFFFF89"/>
    <w:multiLevelType w:val="singleLevel"/>
    <w:tmpl w:val="3B187E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2"/>
    <w:lvlOverride w:ilvl="0">
      <w:lvl w:ilvl="0">
        <w:start w:val="1"/>
        <w:numFmt w:val="bullet"/>
        <w:pStyle w:val="Tiret1"/>
        <w:lvlText w:val="–"/>
        <w:legacy w:legacy="1" w:legacySpace="0" w:legacyIndent="283"/>
        <w:lvlJc w:val="left"/>
        <w:pPr>
          <w:ind w:left="283" w:hanging="283"/>
        </w:pPr>
        <w:rPr>
          <w:rFonts w:ascii="Times New Roman" w:hAnsi="Times New Roman" w:hint="default"/>
        </w:rPr>
      </w:lvl>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Count" w:val="1"/>
    <w:docVar w:name="CR_RefLast" w:val="0"/>
    <w:docVar w:name="DQCDateTime" w:val="2018-03-15 08:2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5"/>
    <w:docVar w:name="DQCResult_StructureCheck" w:val="0;0"/>
    <w:docVar w:name="DQCResult_SuperfluousWhitespace" w:val="0;11"/>
    <w:docVar w:name="DQCResult_UnknownFonts" w:val="0;0"/>
    <w:docVar w:name="DQCResult_UnknownStyles" w:val="0;61"/>
    <w:docVar w:name="DQCStatus" w:val="Green"/>
    <w:docVar w:name="DQCVersion" w:val="3"/>
    <w:docVar w:name="DQCWithWarnings" w:val="0"/>
    <w:docVar w:name="FigNum" w:val="1"/>
    <w:docVar w:name="LW_ACCOMPAGNANT" w:val="de la"/>
    <w:docVar w:name="LW_ACCOMPAGNANT.CP" w:val="de la"/>
    <w:docVar w:name="LW_ANNEX_NBR_FIRST" w:val="1"/>
    <w:docVar w:name="LW_ANNEX_NBR_LAST" w:val="7"/>
    <w:docVar w:name="LW_ANNEX_UNIQUE" w:val="0"/>
    <w:docVar w:name="LW_CORRIGENDUM" w:val="&lt;UNUSED&gt;"/>
    <w:docVar w:name="LW_COVERPAGE_EXISTS" w:val="True"/>
    <w:docVar w:name="LW_COVERPAGE_GUID" w:val="34E6520F-60AC-4F3E-A9E6-5D71092BC022"/>
    <w:docVar w:name="LW_COVERPAGE_TYPE" w:val="1"/>
    <w:docVar w:name="LW_CROSSREFERENCE" w:val="&lt;UNUSED&gt;"/>
    <w:docVar w:name="LW_DocType" w:val="ANNEX"/>
    <w:docVar w:name="LW_EMISSION" w:val="22.3.2018"/>
    <w:docVar w:name="LW_EMISSION_ISODATE" w:val="2018-03-22"/>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es polluants organiques persistants (refonte)"/>
    <w:docVar w:name="LW_OBJETACTEPRINCIPAL.CP" w:val="concernant les polluants organiques persistants (refonte)"/>
    <w:docVar w:name="LW_PART_NBR" w:val="&lt;UNUSED&gt;"/>
    <w:docVar w:name="LW_PART_NBR_TOTAL" w:val="&lt;UNUSED&gt;"/>
    <w:docVar w:name="LW_REF.INST.NEW" w:val="COM"/>
    <w:docVar w:name="LW_REF.INST.NEW_ADOPTED" w:val="final"/>
    <w:docVar w:name="LW_REF.INST.NEW_TEXT" w:val="(2018)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dstrike/>
      <w:u w:val="double"/>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orderablesearchcontainer">
    <w:name w:val="orderablesearchcontainer"/>
    <w:basedOn w:val="DefaultParagraphFont"/>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MinorChangeAdded">
    <w:name w:val="CR Minor Change Added"/>
    <w:basedOn w:val="DefaultParagraphFont"/>
    <w:rPr>
      <w:u w:val="double"/>
      <w:lang w:eastAsia="en-US"/>
    </w:rPr>
  </w:style>
  <w:style w:type="character" w:customStyle="1" w:styleId="CRMinorChangeDeleted">
    <w:name w:val="CR Minor Change Deleted"/>
    <w:basedOn w:val="DefaultParagraphFont"/>
    <w:rPr>
      <w:dstrike/>
      <w:u w:val="double"/>
      <w:lang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DF10-8A41-4017-9DC5-881D1538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14</Pages>
  <Words>5778</Words>
  <Characters>31954</Characters>
  <Application>Microsoft Office Word</Application>
  <DocSecurity>0</DocSecurity>
  <Lines>2662</Lines>
  <Paragraphs>877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QUIRKE</dc:creator>
  <cp:lastModifiedBy>DIGIT/A3</cp:lastModifiedBy>
  <cp:revision>7</cp:revision>
  <dcterms:created xsi:type="dcterms:W3CDTF">2018-03-13T14:42:00Z</dcterms:created>
  <dcterms:modified xsi:type="dcterms:W3CDTF">2018-03-15T07:25:00Z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7</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LWCR IsRefonte">
    <vt:lpwstr>True</vt:lpwstr>
  </property>
  <property fmtid="{D5CDD505-2E9C-101B-9397-08002B2CF9AE}" pid="13" name="Unique annex">
    <vt:lpwstr>0</vt:lpwstr>
  </property>
  <property fmtid="{D5CDD505-2E9C-101B-9397-08002B2CF9AE}" pid="14" name="DQCStatus">
    <vt:lpwstr>Green (DQC version 03)</vt:lpwstr>
  </property>
</Properties>
</file>