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ECFE8BE-75B5-4200-B342-853CE0C4B5AD" style="width:450.75pt;height:320.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w:t>
      </w:r>
    </w:p>
    <w:p>
      <w:pPr>
        <w:spacing w:after="0"/>
        <w:jc w:val="center"/>
        <w:rPr>
          <w:rFonts w:ascii="Times New Roman" w:hAnsi="Times New Roman" w:cs="Times New Roman"/>
          <w:b/>
          <w:noProof/>
          <w:sz w:val="24"/>
          <w:szCs w:val="24"/>
        </w:rPr>
      </w:pPr>
      <w:r>
        <w:rPr>
          <w:rFonts w:ascii="Times New Roman" w:hAnsi="Times New Roman"/>
          <w:b/>
          <w:noProof/>
          <w:sz w:val="24"/>
        </w:rPr>
        <w:t>ДО СЪВЕТА И ЕВРОПЕЙСКИЯ ПАРЛАМЕНТ</w:t>
      </w:r>
    </w:p>
    <w:p>
      <w:pPr>
        <w:jc w:val="center"/>
        <w:rPr>
          <w:rFonts w:ascii="Times New Roman" w:hAnsi="Times New Roman" w:cs="Times New Roman"/>
          <w:b/>
          <w:noProof/>
          <w:sz w:val="24"/>
          <w:szCs w:val="24"/>
        </w:rPr>
      </w:pPr>
      <w:r>
        <w:rPr>
          <w:rFonts w:ascii="Times New Roman" w:hAnsi="Times New Roman"/>
          <w:b/>
          <w:noProof/>
          <w:sz w:val="24"/>
        </w:rPr>
        <w:t>относно упражняването на правомощието за приемане на делегирани актове, предоставено на Комисията съгласно Регламент (ЕС) № 1257/2013 относно рециклирането на кораби</w:t>
      </w:r>
    </w:p>
    <w:p>
      <w:pPr>
        <w:spacing w:before="480" w:after="120"/>
        <w:jc w:val="both"/>
        <w:rPr>
          <w:rFonts w:ascii="Times New Roman" w:hAnsi="Times New Roman" w:cs="Times New Roman"/>
          <w:b/>
          <w:noProof/>
          <w:sz w:val="24"/>
          <w:szCs w:val="24"/>
        </w:rPr>
      </w:pPr>
    </w:p>
    <w:p>
      <w:pPr>
        <w:spacing w:before="480" w:after="120"/>
        <w:jc w:val="both"/>
        <w:rPr>
          <w:rFonts w:ascii="Times New Roman" w:hAnsi="Times New Roman" w:cs="Times New Roman"/>
          <w:b/>
          <w:noProof/>
          <w:sz w:val="24"/>
          <w:szCs w:val="24"/>
        </w:rPr>
      </w:pPr>
      <w:r>
        <w:rPr>
          <w:rFonts w:ascii="Times New Roman" w:hAnsi="Times New Roman"/>
          <w:b/>
          <w:noProof/>
          <w:sz w:val="24"/>
        </w:rPr>
        <w:t>1. ВЪВЕДЕНИЕ</w:t>
      </w:r>
    </w:p>
    <w:p>
      <w:pPr>
        <w:spacing w:after="120" w:line="252" w:lineRule="auto"/>
        <w:jc w:val="both"/>
        <w:rPr>
          <w:rFonts w:ascii="Times New Roman" w:hAnsi="Times New Roman" w:cs="Times New Roman"/>
          <w:noProof/>
          <w:sz w:val="24"/>
          <w:szCs w:val="24"/>
        </w:rPr>
      </w:pPr>
      <w:r>
        <w:rPr>
          <w:rFonts w:ascii="Times New Roman" w:hAnsi="Times New Roman"/>
          <w:noProof/>
          <w:sz w:val="24"/>
        </w:rPr>
        <w:t>С Регламент (ЕС) № 1257/2013 на Европейския парламент и на Съвета от 20 ноември 2013 г. относно рециклирането на кораби (</w:t>
      </w:r>
      <w:r>
        <w:rPr>
          <w:rStyle w:val="FootnoteReference"/>
          <w:rFonts w:ascii="Times New Roman" w:hAnsi="Times New Roman"/>
          <w:noProof/>
          <w:sz w:val="24"/>
        </w:rPr>
        <w:footnoteReference w:id="1"/>
      </w:r>
      <w:r>
        <w:rPr>
          <w:rFonts w:ascii="Times New Roman" w:hAnsi="Times New Roman"/>
          <w:noProof/>
          <w:sz w:val="24"/>
        </w:rPr>
        <w:t>) („Регламента относно рециклирането на кораби“) се установяват правила за предотвратяването, намаляването, свеждането до минимум и доколкото е практически възможно, премахването на произшествията, нараняванията и другите неблагоприятни въздействия върху човешкото здраве и околната среда, причинени от рециклирането на кораби. За целта с Регламента относно рециклирането на кораби се изисква по-конкретно от корабите да разполагат на борда си с инвентарен опис на опасните материали, като това изискване се прилага от различни дати, определени в член 32 от Регламента, и в зависимост от статута на кораба.</w:t>
      </w:r>
    </w:p>
    <w:p>
      <w:pPr>
        <w:spacing w:after="0" w:line="252" w:lineRule="auto"/>
        <w:jc w:val="both"/>
        <w:rPr>
          <w:rFonts w:ascii="Times New Roman" w:hAnsi="Times New Roman" w:cs="Times New Roman"/>
          <w:noProof/>
          <w:sz w:val="24"/>
          <w:szCs w:val="24"/>
        </w:rPr>
      </w:pPr>
      <w:r>
        <w:rPr>
          <w:rFonts w:ascii="Times New Roman" w:hAnsi="Times New Roman"/>
          <w:noProof/>
          <w:sz w:val="24"/>
        </w:rPr>
        <w:t>С Регламента относно рециклирането на кораби се предоставя на Комисията правомощието да приема делегирани актове в съответствие с член 5, параграф 8 във връзка с „актуализирането на списъка с позиции за инвентарния опис на опасните материали в приложения I и II, за да се гарантира, че в списъка са включени най-малко веществата, изброени в Допълнения I и II към Конвенцията от Хонг Конг“. Също така в член 5, параграф 8 се предвижда „Комисията приема отделен делегиран акт за всяко вещество, което се включва или заличава от приложения I или II“.</w:t>
      </w:r>
    </w:p>
    <w:p>
      <w:pPr>
        <w:spacing w:before="480" w:after="120"/>
        <w:jc w:val="both"/>
        <w:rPr>
          <w:rFonts w:ascii="Times New Roman" w:hAnsi="Times New Roman" w:cs="Times New Roman"/>
          <w:b/>
          <w:noProof/>
          <w:sz w:val="24"/>
          <w:szCs w:val="24"/>
        </w:rPr>
      </w:pPr>
      <w:r>
        <w:rPr>
          <w:rFonts w:ascii="Times New Roman" w:hAnsi="Times New Roman"/>
          <w:b/>
          <w:noProof/>
          <w:sz w:val="24"/>
        </w:rPr>
        <w:t>2. ПРАВНО ОСНОВАНИЕ</w:t>
      </w:r>
    </w:p>
    <w:p>
      <w:pPr>
        <w:spacing w:after="120" w:line="252" w:lineRule="auto"/>
        <w:jc w:val="both"/>
        <w:rPr>
          <w:rFonts w:ascii="Times New Roman" w:hAnsi="Times New Roman" w:cs="Times New Roman"/>
          <w:noProof/>
          <w:sz w:val="24"/>
          <w:szCs w:val="24"/>
        </w:rPr>
      </w:pPr>
      <w:r>
        <w:rPr>
          <w:rFonts w:ascii="Times New Roman" w:hAnsi="Times New Roman"/>
          <w:noProof/>
          <w:sz w:val="24"/>
        </w:rPr>
        <w:t>Настоящият доклад се изисква съгласно член 24, параграф 2 от Регламента относно рециклирането на кораби. По силата на посочения член Комисията има правомощието да приема делегирани актове за срок от пет години, считано от 30 декември 2013 г. От Комисията се изисква също така да изготви доклад относно делегираните правомощия най-късно 9 месеца преди изтичането на петгодишния срок. В съответствие с член 24, параграф 2 делегирането на правомощия се подновява мълчаливо за срокове със същата продължителност, освен ако Европейският парламент или Съветът не възразят срещу подобно подновяване не по-късно от три месеца преди изтичането на всеки срок.</w:t>
      </w:r>
    </w:p>
    <w:p>
      <w:pPr>
        <w:spacing w:after="120" w:line="252" w:lineRule="auto"/>
        <w:jc w:val="both"/>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b/>
          <w:noProof/>
          <w:sz w:val="24"/>
        </w:rPr>
        <w:t>3. УПРАЖНЯВАНЕ НА ДЕЛЕГИРАНЕТО</w:t>
      </w:r>
    </w:p>
    <w:p>
      <w:pPr>
        <w:spacing w:after="120" w:line="252" w:lineRule="auto"/>
        <w:jc w:val="both"/>
        <w:rPr>
          <w:rFonts w:ascii="Times New Roman" w:hAnsi="Times New Roman" w:cs="Times New Roman"/>
          <w:noProof/>
          <w:sz w:val="24"/>
          <w:szCs w:val="24"/>
        </w:rPr>
      </w:pPr>
      <w:r>
        <w:rPr>
          <w:rFonts w:ascii="Times New Roman" w:hAnsi="Times New Roman"/>
          <w:noProof/>
          <w:sz w:val="24"/>
        </w:rPr>
        <w:t>През периода, който обхваща настоящият доклад, Комисията не е използвала делегираното правомощие по член 5, параграф 8. Това се дължи на факта, че макар и приета, Конвенцията от Хонг Конг все още не е влязла в сила. Поради тази причина съдържанието ѝ не може все още да се преразглежда и не могат да се добавят други вещества в допълненията към нея. Тъй като понастоящем в приложенията към Регламента относно рециклирането на кораби се включват всички вещества, посочени в допълненията към Конвенцията от Хонг Конг, не е необходимо да се приемат делегирани актове.</w:t>
      </w: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963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Style w:val="Emphasis"/>
          <w:sz w:val="18"/>
        </w:rPr>
        <w:t>OB L 330, 10.12.2013 г., стр. 1 —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ECFE8BE-75B5-4200-B342-853CE0C4B5AD"/>
    <w:docVar w:name="LW_COVERPAGE_TYPE" w:val="1"/>
    <w:docVar w:name="LW_CROSSREFERENCE" w:val="&lt;UNUSED&gt;"/>
    <w:docVar w:name="LW_DocType" w:val="NORMAL"/>
    <w:docVar w:name="LW_EMISSION" w:val="22.3.2018"/>
    <w:docVar w:name="LW_EMISSION_ISODATE" w:val="2018-03-22"/>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56?\u1077?\u1075?\u1083?\u1072?\u1084?\u1077?\u1085?\u1090? (\u1045?\u1057?) \u8470? 1257/2013 \u1086?\u1090?\u1085?\u1086?\u1089?\u1085?\u1086? \u1088?\u1077?\u1094?\u1080?\u1082?\u1083?\u1080?\u1088?\u1072?\u1085?\u1077?\u1090?\u1086? \u1085?\u1072? \u1082?\u1086?\u1088?\u1072?\u1073?\u1080?&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uiPriority w:val="20"/>
    <w:qFormat/>
    <w:rPr>
      <w:rFonts w:ascii="Times New Roman" w:hAnsi="Times New Roman" w:cs="Times New Roman" w:hint="default"/>
      <w:i/>
      <w:i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9296">
      <w:bodyDiv w:val="1"/>
      <w:marLeft w:val="0"/>
      <w:marRight w:val="0"/>
      <w:marTop w:val="0"/>
      <w:marBottom w:val="0"/>
      <w:divBdr>
        <w:top w:val="none" w:sz="0" w:space="0" w:color="auto"/>
        <w:left w:val="none" w:sz="0" w:space="0" w:color="auto"/>
        <w:bottom w:val="none" w:sz="0" w:space="0" w:color="auto"/>
        <w:right w:val="none" w:sz="0" w:space="0" w:color="auto"/>
      </w:divBdr>
    </w:div>
    <w:div w:id="157531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422</Words>
  <Characters>2360</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2018-02-08T15:07:00Z</dcterms:created>
  <dcterms:modified xsi:type="dcterms:W3CDTF">2018-03-21T11:08:00Z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