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0E442EE-3870-42FA-AD9A-E4F98297567F" style="width:451.35pt;height:410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spacing w:line="360" w:lineRule="auto"/>
        <w:jc w:val="left"/>
        <w:rPr>
          <w:b/>
          <w:noProof/>
          <w:u w:val="single"/>
        </w:rPr>
      </w:pPr>
      <w:r>
        <w:rPr>
          <w:b/>
          <w:noProof/>
          <w:u w:val="single"/>
        </w:rPr>
        <w:t>Указания за водене на преговори</w:t>
      </w:r>
    </w:p>
    <w:p>
      <w:pPr>
        <w:rPr>
          <w:noProof/>
        </w:rPr>
      </w:pPr>
      <w:r>
        <w:rPr>
          <w:noProof/>
        </w:rPr>
        <w:t>Целта на преговорите е изменението на Споразумението за партньорство в областта на рибарството между Европейските общности и Кралство Мароко и сключването на протокол към това споразумение в съответствие с Регламент (ЕС) № 1380/2013 относно общата политика в областта на рибарството и със заключенията на Съвета от 19 март 2012 г. във връзка със Съобщението на Комисията от 13 юли 2011 г. относно външното измерение на общата политика в областта на рибарството.</w:t>
      </w:r>
    </w:p>
    <w:p>
      <w:pPr>
        <w:rPr>
          <w:noProof/>
        </w:rPr>
      </w:pPr>
      <w:r>
        <w:rPr>
          <w:noProof/>
        </w:rPr>
        <w:t>За да насърчи устойчивия и отговорен риболов, както и да допринесе за строгото спазване на международното законодателство, като в същото време гарантира взаимните ползи за ЕС и Кралство Мароко, произтичащи от новия протокол, по време на преговорите Комисията ще се ръководи от следните цели:</w:t>
      </w:r>
    </w:p>
    <w:p>
      <w:pPr>
        <w:pStyle w:val="Bullet0"/>
        <w:numPr>
          <w:ilvl w:val="0"/>
          <w:numId w:val="1"/>
        </w:numPr>
        <w:rPr>
          <w:noProof/>
        </w:rPr>
      </w:pPr>
      <w:r>
        <w:rPr>
          <w:noProof/>
        </w:rPr>
        <w:t xml:space="preserve">да се осигури достъп до водите, </w:t>
      </w:r>
      <w:r>
        <w:rPr>
          <w:rFonts w:asciiTheme="majorBidi" w:hAnsiTheme="majorBidi" w:cstheme="majorBidi"/>
          <w:noProof/>
        </w:rPr>
        <w:t>обхванати от настоящото споразумение и протокол,</w:t>
      </w:r>
      <w:r>
        <w:rPr>
          <w:noProof/>
        </w:rPr>
        <w:t xml:space="preserve"> и водите около несамоуправляващата се територия Западна Сахара, както и необходимите разрешения за риболов за кораби от флота на ЕС, извършващи улов на малки пелагични видове, дънни видове и далекомигриращи видове в тези води, като по този начин, наред с другото, се поддържа мрежата от споразумения за партньорство в областта на устойчивото рибарство, с които разполагат операторите от ЕС;</w:t>
      </w:r>
    </w:p>
    <w:p>
      <w:pPr>
        <w:pStyle w:val="Bullet0"/>
        <w:numPr>
          <w:ilvl w:val="0"/>
          <w:numId w:val="1"/>
        </w:numPr>
        <w:rPr>
          <w:noProof/>
        </w:rPr>
      </w:pPr>
      <w:r>
        <w:rPr>
          <w:noProof/>
        </w:rPr>
        <w:t>да се подпомогнат усилията на генералния секретар на ООН да намери разрешение, осигуряващо самоопределение на народа на Западна Сахара в съответствие с принципите и целите на Устава на Организацията на обединените нации;</w:t>
      </w:r>
    </w:p>
    <w:p>
      <w:pPr>
        <w:pStyle w:val="Bullet0"/>
        <w:rPr>
          <w:noProof/>
        </w:rPr>
      </w:pPr>
      <w:r>
        <w:rPr>
          <w:noProof/>
        </w:rPr>
        <w:t>да бъдат взети под внимание най-добрите налични научни становища и съответните планове за управление, приети от съответните регионални организации за управление на рибарството, за да се гарантира екологичната устойчивост на риболовните дейности и да се насърчи управлението на океаните на международно равнище. Риболовните дейности следва да бъдат насочени изключително към наличните ресурси, като се вземе предвид риболовният капацитет на местния флот и същевременно се отдели специално внимание на трансгранично преминаващия или далекомигриращия характер на съответните запаси;</w:t>
      </w:r>
    </w:p>
    <w:p>
      <w:pPr>
        <w:pStyle w:val="Bullet0"/>
        <w:rPr>
          <w:noProof/>
        </w:rPr>
      </w:pPr>
      <w:r>
        <w:rPr>
          <w:noProof/>
        </w:rPr>
        <w:t>да се осигури подходящ дял от излишъците от рибни ресурси, който да е изцяло съобразен с интересите на флотовете на ЕС, когато тези ресурси представляват интерес и за флотовете на други държави, както и прилагането на едни и същи технически условия спрямо всички чуждестранни флотове;</w:t>
      </w:r>
    </w:p>
    <w:p>
      <w:pPr>
        <w:pStyle w:val="Bullet0"/>
        <w:rPr>
          <w:noProof/>
        </w:rPr>
      </w:pPr>
      <w:r>
        <w:rPr>
          <w:noProof/>
        </w:rPr>
        <w:t>да се гарантира, че достъпът до рибните ресурси се основава на дейността на флота на ЕС в региона с оглед на най-добрите и най-актуални налични научни становища;</w:t>
      </w:r>
    </w:p>
    <w:p>
      <w:pPr>
        <w:pStyle w:val="Bullet0"/>
        <w:rPr>
          <w:noProof/>
        </w:rPr>
      </w:pPr>
      <w:r>
        <w:rPr>
          <w:noProof/>
        </w:rPr>
        <w:t>да бъде установен диалог за укрепване на секторната политика, за да се насърчи провеждането на отговорна политика в областта на рибарството във връзка с целите за развитие на държавата, по-специално по отношение на управлението на рибарството, борбата с незаконния, недеклариран и нерегулиран риболов, както и контрола, мониторинга и наблюдението на риболовните дейности, предоставянето на научни становища и създаването на работни места, което, наред с другото, ще допринесе за отстраняване на причините за емиграцията;</w:t>
      </w:r>
    </w:p>
    <w:p>
      <w:pPr>
        <w:pStyle w:val="Bullet0"/>
        <w:rPr>
          <w:noProof/>
        </w:rPr>
      </w:pPr>
      <w:r>
        <w:rPr>
          <w:noProof/>
        </w:rPr>
        <w:t>да бъде включена клауза относно последиците в случай на нарушаване на правата на човека и на демократичните принципи;</w:t>
      </w:r>
    </w:p>
    <w:p>
      <w:pPr>
        <w:pStyle w:val="Bullet0"/>
        <w:rPr>
          <w:noProof/>
        </w:rPr>
      </w:pPr>
      <w:r>
        <w:rPr>
          <w:noProof/>
        </w:rPr>
        <w:t>да бъде включена клауза за преференциален достъп на флота на ЕС до наличните излишъци от ресурси и за прилагането на едни и същи технически условия спрямо всички чуждестранни флотове;</w:t>
      </w:r>
    </w:p>
    <w:p>
      <w:pPr>
        <w:pStyle w:val="Bullet0"/>
        <w:rPr>
          <w:noProof/>
        </w:rPr>
      </w:pPr>
      <w:r>
        <w:rPr>
          <w:noProof/>
        </w:rPr>
        <w:t>да бъдат включени подходящи механизми, които да гарантират, че Комисията е достатъчно добре информирана и ангажирана в географското и социалното разпределение на социално-икономическите ползи в рамките на споразумението и протокола, за да може да гарантира, че и двата документа са от полза за засегнатите лица;</w:t>
      </w:r>
    </w:p>
    <w:p>
      <w:pPr>
        <w:pStyle w:val="Bullet0"/>
        <w:rPr>
          <w:noProof/>
        </w:rPr>
      </w:pPr>
      <w:r>
        <w:rPr>
          <w:noProof/>
        </w:rPr>
        <w:t>да бъде включена клауза за преразглеждане, която позволява да се вземе предвид взаимно приемливо политическо решение, което да създаде условия за самоопределение на народа на Западна Сахара в съответствие с принципите и целите на Устава на Организацията на обединените нации.</w:t>
      </w:r>
    </w:p>
    <w:p>
      <w:pPr>
        <w:spacing w:line="360" w:lineRule="auto"/>
        <w:jc w:val="left"/>
        <w:rPr>
          <w:noProof/>
        </w:rPr>
      </w:pPr>
      <w:bookmarkStart w:id="1" w:name="ControlPages"/>
      <w:bookmarkEnd w:id="1"/>
      <w:r>
        <w:rPr>
          <w:noProof/>
        </w:rPr>
        <w:t>Освен това:</w:t>
      </w:r>
    </w:p>
    <w:p>
      <w:pPr>
        <w:pStyle w:val="Bullet0"/>
        <w:rPr>
          <w:noProof/>
        </w:rPr>
      </w:pPr>
      <w:r>
        <w:rPr>
          <w:noProof/>
        </w:rPr>
        <w:t>при подписването Комисията ще оцени потенциалните последици от прилагането на Споразумението за партньорство в областта на устойчивото рибарство и протокола към него за устойчивото развитие, по-специално по отношение на ползите за засегнатите лица и експлоатирането на природните ресурси на съответните територии;</w:t>
      </w:r>
    </w:p>
    <w:p>
      <w:pPr>
        <w:pStyle w:val="Bullet0"/>
        <w:rPr>
          <w:noProof/>
        </w:rPr>
      </w:pPr>
      <w:r>
        <w:rPr>
          <w:noProof/>
        </w:rPr>
        <w:t>Комисията следва да гарантира, че към момента, в който споразумението се предлага за подписване и сключване, засегнатото от него население е включено по подходящ начин.</w:t>
      </w:r>
    </w:p>
    <w:p>
      <w:pPr>
        <w:pStyle w:val="Bullet0"/>
        <w:rPr>
          <w:noProof/>
        </w:rPr>
      </w:pPr>
      <w:r>
        <w:rPr>
          <w:noProof/>
        </w:rPr>
        <w:t>С цел да се избегне прекъсването на риболовните дейности, в новия протокол следва да се включи клауза за временно прилагане.</w:t>
      </w:r>
    </w:p>
    <w:p>
      <w:pPr>
        <w:tabs>
          <w:tab w:val="num" w:pos="850"/>
        </w:tabs>
        <w:spacing w:line="360" w:lineRule="auto"/>
        <w:jc w:val="left"/>
        <w:rPr>
          <w:noProof/>
        </w:rPr>
      </w:pPr>
      <w:r>
        <w:rPr>
          <w:noProof/>
        </w:rPr>
        <w:t>По-конкретно в протокола следва да се определят:</w:t>
      </w:r>
    </w:p>
    <w:p>
      <w:pPr>
        <w:pStyle w:val="Bullet0"/>
        <w:rPr>
          <w:noProof/>
        </w:rPr>
      </w:pPr>
      <w:r>
        <w:rPr>
          <w:noProof/>
        </w:rPr>
        <w:t>възможностите за риболов (посочени по категории), които ще бъдат предоставени на корабите на Европейския съюз,</w:t>
      </w:r>
    </w:p>
    <w:p>
      <w:pPr>
        <w:pStyle w:val="Bullet0"/>
        <w:rPr>
          <w:noProof/>
        </w:rPr>
      </w:pPr>
      <w:r>
        <w:rPr>
          <w:noProof/>
        </w:rPr>
        <w:t>финансовата компенсация и условията за нейното изплащане, както и</w:t>
      </w:r>
    </w:p>
    <w:p>
      <w:pPr>
        <w:pStyle w:val="Bullet0"/>
        <w:rPr>
          <w:noProof/>
        </w:rPr>
      </w:pPr>
      <w:r>
        <w:rPr>
          <w:noProof/>
        </w:rPr>
        <w:t>механизмите за ефективно прилагане на секторната подкрепа и за неговото редовно наблюдение.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0C4CE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BD4E5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F32EC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E32EF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83EE9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7C2D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EFA33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AEE5E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4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20 17:22:1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0E442EE-3870-42FA-AD9A-E4F98297567F"/>
    <w:docVar w:name="LW_COVERPAGE_TYPE" w:val="1"/>
    <w:docVar w:name="LW_CROSSREFERENCE" w:val="&lt;UNUSED&gt;"/>
    <w:docVar w:name="LW_DocType" w:val="ANNEX"/>
    <w:docVar w:name="LW_EMISSION" w:val="21.3.2018"/>
    <w:docVar w:name="LW_EMISSION_ISODATE" w:val="2018-03-21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7?\u1096?\u1077?\u1085?\u1080?\u1077? \u1085?\u1072? \u1057?\u1098?\u1074?\u1077?\u1090?\u1072?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0?\u1079?\u1084?\u1077?\u1085?\u1077?\u1085?\u1080?\u1077? \u1085?\u1072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9? \u1050?\u1088?\u1072?\u1083?\u1089?\u1090?\u1074?\u1086? \u1052?\u1072?\u1088?\u1086?\u1082?\u1086? \u1080? \u1079?\u1072? \u1089?\u1082?\u1083?\u1102?\u1095?\u1074?\u1072?\u1085?\u1077? \u1085?\u1072? \u1087?\u1088?\u1086?\u1090?\u1086?\u1082?\u1086?\u1083? \u1089? \u1050?\u1088?\u1072?\u1083?\u1089?\u1090?\u1074?\u1086? \u1052?\u1072?\u1088?\u1086?\u1082?\u1086?"/>
    <w:docVar w:name="LW_OBJETACTEPRINCIPAL.CP" w:val="\u1079?\u1072? \u1088?\u1077?\u1096?\u1077?\u1085?\u1080?\u1077? \u1085?\u1072? \u1057?\u1098?\u1074?\u1077?\u1090?\u1072?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0?\u1079?\u1084?\u1077?\u1085?\u1077?\u1085?\u1080?\u1077? \u1085?\u1072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88?\u1080?\u1073?\u1072?\u1088?\u1089?\u1090?\u1074?\u1086?\u1090?\u1086? \u1089? \u1050?\u1088?\u1072?\u1083?\u1089?\u1090?\u1074?\u1086? \u1052?\u1072?\u1088?\u1086?\u1082?\u1086? \u1080? \u1079?\u1072? \u1089?\u1082?\u1083?\u1102?\u1095?\u1074?\u1072?\u1085?\u1077? \u1085?\u1072? \u1087?\u1088?\u1086?\u1090?\u1086?\u1082?\u1086?\u1083? \u1089? \u1050?\u1088?\u1072?\u1083?\u1089?\u1090?\u1074?\u1086? \u1052?\u1072?\u1088?\u1086?\u1082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8) 15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"/>
    <w:docVar w:name="LW_TYPEACTEPRINCIPAL.CP" w:val="\u1055?\u1088?\u1077?\u1087?\u1086?\u1088?\u1098?\u1082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B10FD7-F471-4885-9947-AE701DED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706</Words>
  <Characters>4163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ALELUIA Lucia Maria (JUST)</dc:creator>
  <cp:lastModifiedBy>DIGIT/A3</cp:lastModifiedBy>
  <cp:revision>7</cp:revision>
  <cp:lastPrinted>2018-03-13T16:22:00Z</cp:lastPrinted>
  <dcterms:created xsi:type="dcterms:W3CDTF">2018-03-19T16:38:00Z</dcterms:created>
  <dcterms:modified xsi:type="dcterms:W3CDTF">2018-03-20T16:22:00Z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