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D6" w:rsidRDefault="00587BA3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625DA8C-59A2-4E35-96BF-3373073E8259" style="width:450pt;height:352.5pt">
            <v:imagedata r:id="rId9" o:title=""/>
          </v:shape>
        </w:pict>
      </w:r>
    </w:p>
    <w:p w:rsidR="00D71FD6" w:rsidRDefault="00D71FD6">
      <w:pPr>
        <w:rPr>
          <w:noProof/>
        </w:rPr>
        <w:sectPr w:rsidR="00D71F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71FD6" w:rsidRDefault="00587BA3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D71FD6" w:rsidRDefault="00587BA3">
      <w:pPr>
        <w:pStyle w:val="ManualHeading1"/>
        <w:rPr>
          <w:noProof/>
        </w:rPr>
      </w:pPr>
      <w:r>
        <w:rPr>
          <w:noProof/>
        </w:rPr>
        <w:t>КОНТЕКСТ НА ПРЕДЛОЖЕНИЕТО</w:t>
      </w:r>
    </w:p>
    <w:p w:rsidR="00D71FD6" w:rsidRDefault="00587BA3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 xml:space="preserve">Приложимите правила за предоставяне на финансово участие от Европейския фонд за приспособяване </w:t>
      </w:r>
      <w:r>
        <w:rPr>
          <w:noProof/>
        </w:rPr>
        <w:t>към глобализацията (ЕФПГ) са определени в Регламент (ЕС) № 1309/2013 на Европейския парламент и на Съвета от 17 декември 2013 г. относно Европейския фонд за приспособяване към глобализацията (2014—2020 г.) и за отмяна на Регламент (ЕО) № 1927/2006</w:t>
      </w:r>
      <w:r>
        <w:rPr>
          <w:rStyle w:val="FootnoteReference"/>
          <w:noProof/>
          <w:spacing w:val="-4"/>
        </w:rPr>
        <w:footnoteReference w:id="1"/>
      </w:r>
      <w:r>
        <w:rPr>
          <w:noProof/>
        </w:rPr>
        <w:t xml:space="preserve"> („Регла</w:t>
      </w:r>
      <w:r>
        <w:rPr>
          <w:noProof/>
        </w:rPr>
        <w:t>мента за ЕФПГ“).</w:t>
      </w:r>
    </w:p>
    <w:p w:rsidR="00D71FD6" w:rsidRDefault="00587BA3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На 18 декември 2017 г. Белгия подаде заявление EGF/2017/010 BE/Caterpillar за предоставяне на финансово участие от ЕФПГ във връзка с извършени съкращения</w:t>
      </w:r>
      <w:r>
        <w:rPr>
          <w:rStyle w:val="FootnoteReference"/>
          <w:noProof/>
          <w:spacing w:val="-4"/>
        </w:rPr>
        <w:footnoteReference w:id="2"/>
      </w:r>
      <w:r>
        <w:rPr>
          <w:noProof/>
        </w:rPr>
        <w:t xml:space="preserve"> в Caterpillar и при </w:t>
      </w:r>
      <w:r>
        <w:rPr>
          <w:noProof/>
          <w:color w:val="000000" w:themeColor="text1"/>
        </w:rPr>
        <w:t>5</w:t>
      </w:r>
      <w:r>
        <w:rPr>
          <w:noProof/>
        </w:rPr>
        <w:t xml:space="preserve"> доставчици (наричани по-долу „съкращенията“). </w:t>
      </w:r>
    </w:p>
    <w:p w:rsidR="00D71FD6" w:rsidRDefault="00587BA3"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След оцен</w:t>
      </w:r>
      <w:r>
        <w:rPr>
          <w:noProof/>
        </w:rPr>
        <w:t xml:space="preserve">ка на заявлението Комисията заключи, в съответствие с всички приложими разпоредби на Регламента за ЕФПГ, че условията за предоставяне на финансово участие от ЕФПГ са изпълнени. </w:t>
      </w:r>
    </w:p>
    <w:p w:rsidR="00D71FD6" w:rsidRDefault="00587BA3">
      <w:pPr>
        <w:pStyle w:val="ManualHeading1"/>
        <w:rPr>
          <w:noProof/>
        </w:rPr>
      </w:pPr>
      <w:r>
        <w:rPr>
          <w:noProof/>
        </w:rPr>
        <w:t>ОБОБЩЕНИ ДАННИ ЗА ЗАЯВЛЕНИЕТО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9"/>
      </w:tblGrid>
      <w:tr w:rsidR="00D71FD6">
        <w:tc>
          <w:tcPr>
            <w:tcW w:w="4908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Заявление по ЕФПГ</w:t>
            </w:r>
          </w:p>
        </w:tc>
        <w:tc>
          <w:tcPr>
            <w:tcW w:w="4379" w:type="dxa"/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EGF/2017/010 BE/Caterpillar </w:t>
            </w:r>
          </w:p>
        </w:tc>
      </w:tr>
      <w:tr w:rsidR="00D71FD6">
        <w:tc>
          <w:tcPr>
            <w:tcW w:w="4908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4379" w:type="dxa"/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Белгия</w:t>
            </w:r>
          </w:p>
        </w:tc>
      </w:tr>
      <w:tr w:rsidR="00D71FD6"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Засегнат(и) регион(и) (ниво 2 по NUTS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>)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Провинция Hainaut (BE32)</w:t>
            </w:r>
          </w:p>
        </w:tc>
      </w:tr>
      <w:tr w:rsidR="00D71FD6"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подаване на заявлението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18 декември 2017 г.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потвърждението за получаване на заявлението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18 декември 2017 г.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Дата на искането за допълнителна </w:t>
            </w:r>
            <w:r>
              <w:rPr>
                <w:noProof/>
                <w:spacing w:val="-6"/>
              </w:rPr>
              <w:t>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24 декември 2017 г.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предоставяне на допълнителната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  4 февруари 2018 г. 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приключване на оценката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29 април 2018 г.</w:t>
            </w:r>
          </w:p>
        </w:tc>
      </w:tr>
      <w:tr w:rsidR="00D71FD6">
        <w:tc>
          <w:tcPr>
            <w:tcW w:w="4908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Критерий за намеса</w:t>
            </w:r>
          </w:p>
        </w:tc>
        <w:tc>
          <w:tcPr>
            <w:tcW w:w="4379" w:type="dxa"/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Член 4, параграф 1, буква а) от Регламента за ЕФПГ</w:t>
            </w:r>
          </w:p>
        </w:tc>
      </w:tr>
      <w:tr w:rsidR="00D71FD6"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Основно предприятие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Caterpillar — Solar Gosselies</w:t>
            </w:r>
          </w:p>
        </w:tc>
      </w:tr>
      <w:tr w:rsidR="00D71FD6"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Брой на засегнатите предприятия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</w:tr>
      <w:tr w:rsidR="00D71FD6">
        <w:tc>
          <w:tcPr>
            <w:tcW w:w="4908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Сектор(и) на икономическа дейност</w:t>
            </w:r>
          </w:p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(разделение по NACE Rev. 2)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4379" w:type="dxa"/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28 (Производство на машини и оборудване, с общо и специално предназначение)</w:t>
            </w:r>
          </w:p>
        </w:tc>
      </w:tr>
      <w:tr w:rsidR="00D71FD6">
        <w:tc>
          <w:tcPr>
            <w:tcW w:w="4908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lastRenderedPageBreak/>
              <w:br w:type="page"/>
              <w:t xml:space="preserve">Брой дъщерни предприятия, доставчици и </w:t>
            </w:r>
            <w:r>
              <w:rPr>
                <w:noProof/>
              </w:rPr>
              <w:t>производители надолу по веригата</w:t>
            </w:r>
          </w:p>
        </w:tc>
        <w:tc>
          <w:tcPr>
            <w:tcW w:w="4379" w:type="dxa"/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  <w:color w:val="000000" w:themeColor="text1"/>
              </w:rPr>
              <w:t>5</w:t>
            </w:r>
            <w:r>
              <w:rPr>
                <w:rStyle w:val="FootnoteReference"/>
                <w:noProof/>
                <w:color w:val="000000" w:themeColor="text1"/>
              </w:rPr>
              <w:footnoteReference w:id="5"/>
            </w:r>
          </w:p>
        </w:tc>
      </w:tr>
      <w:tr w:rsidR="00D71FD6"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Референтен период (четири месеца):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8"/>
              </w:rPr>
            </w:pPr>
            <w:r>
              <w:rPr>
                <w:noProof/>
                <w:spacing w:val="-8"/>
              </w:rPr>
              <w:t xml:space="preserve">31 май 2017 г. — 30 септември 2017 г. </w:t>
            </w:r>
          </w:p>
        </w:tc>
      </w:tr>
      <w:tr w:rsidR="00D71FD6"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Брой на съкращенията по време на референтния период (</w:t>
            </w:r>
            <w:r>
              <w:rPr>
                <w:i/>
                <w:noProof/>
              </w:rPr>
              <w:t>а</w:t>
            </w:r>
            <w:r>
              <w:rPr>
                <w:noProof/>
              </w:rPr>
              <w:t>)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1 364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Брой на съкращенията преди или след референтния период (</w:t>
            </w:r>
            <w:r>
              <w:rPr>
                <w:i/>
                <w:noProof/>
              </w:rPr>
              <w:t>б</w:t>
            </w:r>
            <w:r>
              <w:rPr>
                <w:noProof/>
              </w:rPr>
              <w:t>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   921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Общ брой на съкращенията </w:t>
            </w:r>
          </w:p>
        </w:tc>
        <w:tc>
          <w:tcPr>
            <w:tcW w:w="4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2 287</w:t>
            </w:r>
          </w:p>
        </w:tc>
      </w:tr>
      <w:tr w:rsidR="00D71FD6"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Общ брой на бенефициерите, отговарящи на критериите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2 287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Общ брой на бенефициерите от целевата група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2 287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Брой на младите хора от целевата група, незаети с работа, учене или обучение (NEET)</w:t>
            </w:r>
          </w:p>
        </w:tc>
        <w:tc>
          <w:tcPr>
            <w:tcW w:w="4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   300</w:t>
            </w:r>
          </w:p>
        </w:tc>
      </w:tr>
      <w:tr w:rsidR="00D71FD6"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Бюджет за </w:t>
            </w:r>
            <w:r>
              <w:rPr>
                <w:noProof/>
              </w:rPr>
              <w:t>персонализирани услуги (EUR)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  <w:color w:val="222222"/>
              </w:rPr>
              <w:t>7 </w:t>
            </w:r>
            <w:r>
              <w:rPr>
                <w:noProof/>
              </w:rPr>
              <w:t>575 294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Бюджет за прилагането на ЕФПГ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 xml:space="preserve"> (EUR)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   127 400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Общ бюджет (EUR)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  <w:color w:val="222222"/>
              </w:rPr>
              <w:t>7 702 694</w:t>
            </w:r>
          </w:p>
        </w:tc>
      </w:tr>
      <w:tr w:rsidR="00D71FD6"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Финансово участие от ЕФПГ (60 %) (EUR)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hd w:val="clear" w:color="auto" w:fill="FFFFFF"/>
              <w:spacing w:before="0" w:after="0" w:line="270" w:lineRule="atLeast"/>
              <w:jc w:val="left"/>
              <w:textAlignment w:val="top"/>
              <w:rPr>
                <w:rFonts w:eastAsia="Times New Roman"/>
                <w:noProof/>
                <w:color w:val="222222"/>
                <w:szCs w:val="24"/>
              </w:rPr>
            </w:pPr>
            <w:r>
              <w:rPr>
                <w:noProof/>
                <w:color w:val="222222"/>
              </w:rPr>
              <w:t>4 621 616</w:t>
            </w:r>
          </w:p>
        </w:tc>
      </w:tr>
    </w:tbl>
    <w:p w:rsidR="00D71FD6" w:rsidRDefault="00587BA3">
      <w:pPr>
        <w:pStyle w:val="ManualHeading1"/>
        <w:rPr>
          <w:noProof/>
        </w:rPr>
      </w:pPr>
      <w:r>
        <w:rPr>
          <w:noProof/>
        </w:rPr>
        <w:t>ОЦЕНКА НА ЗАЯВЛЕНИЕТО</w:t>
      </w:r>
    </w:p>
    <w:p w:rsidR="00D71FD6" w:rsidRDefault="00587BA3">
      <w:pPr>
        <w:pStyle w:val="ManualHeading2"/>
        <w:rPr>
          <w:noProof/>
        </w:rPr>
      </w:pPr>
      <w:r>
        <w:rPr>
          <w:noProof/>
        </w:rPr>
        <w:t>Процедура</w:t>
      </w:r>
    </w:p>
    <w:p w:rsidR="00D71FD6" w:rsidRDefault="00587BA3"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Белгия подаде заявление EGF/2017/010 BE/Caterpillar на</w:t>
      </w:r>
      <w:r>
        <w:rPr>
          <w:noProof/>
        </w:rPr>
        <w:t xml:space="preserve"> 18 декември 2017 г., в рамките на 12 седмици от датата, на която са били изпълнени критериите за намеса, определени в член 4 от Регламента за ЕФПГ. Комисията потвърди в същия ден получаването на заявлението, а на 24 декември 2017 г. поиска допълнителна ин</w:t>
      </w:r>
      <w:r>
        <w:rPr>
          <w:noProof/>
        </w:rPr>
        <w:t>формация от Белгия. Такава допълнителната информация бе предоставена в шестседмичен срок от датата на искането. Предвиденият 12-седмичен срок от датата на получаване на пълното заявление, в който Комисията следва да приключи оценката си за това дали то отг</w:t>
      </w:r>
      <w:r>
        <w:rPr>
          <w:noProof/>
        </w:rPr>
        <w:t>оваря на условията за предоставяне на финансово участие, ще изтече на 29 април 2018 г.</w:t>
      </w:r>
    </w:p>
    <w:p w:rsidR="00D71FD6" w:rsidRDefault="00587BA3">
      <w:pPr>
        <w:pStyle w:val="ManualHeading2"/>
        <w:rPr>
          <w:noProof/>
        </w:rPr>
      </w:pPr>
      <w:r>
        <w:rPr>
          <w:noProof/>
        </w:rPr>
        <w:t>Допустимост на заявлението</w:t>
      </w:r>
    </w:p>
    <w:p w:rsidR="00D71FD6" w:rsidRDefault="00587BA3">
      <w:pPr>
        <w:pStyle w:val="ManualHeading3"/>
        <w:rPr>
          <w:noProof/>
        </w:rPr>
      </w:pPr>
      <w:r>
        <w:rPr>
          <w:noProof/>
        </w:rPr>
        <w:t>Засегнати предприятия и бенефициери</w:t>
      </w:r>
    </w:p>
    <w:p w:rsidR="00D71FD6" w:rsidRDefault="00587BA3">
      <w:pPr>
        <w:pStyle w:val="ManualNumPar1"/>
        <w:rPr>
          <w:noProof/>
        </w:rPr>
      </w:pPr>
      <w:r>
        <w:t>5.</w:t>
      </w:r>
      <w:r>
        <w:tab/>
      </w:r>
      <w:r>
        <w:rPr>
          <w:noProof/>
        </w:rPr>
        <w:t xml:space="preserve">Заявлението се отнася до </w:t>
      </w:r>
      <w:r>
        <w:rPr>
          <w:noProof/>
          <w:color w:val="000000" w:themeColor="text1"/>
        </w:rPr>
        <w:t>2 287</w:t>
      </w:r>
      <w:r>
        <w:rPr>
          <w:noProof/>
        </w:rPr>
        <w:t xml:space="preserve"> работници, съкратени в Caterpillar Solar Gosselies (Caterpillar) и петим</w:t>
      </w:r>
      <w:r>
        <w:rPr>
          <w:noProof/>
        </w:rPr>
        <w:t xml:space="preserve">а </w:t>
      </w:r>
      <w:r>
        <w:rPr>
          <w:noProof/>
          <w:color w:val="000000" w:themeColor="text1"/>
        </w:rPr>
        <w:t>доставчици.</w:t>
      </w:r>
      <w:r>
        <w:rPr>
          <w:noProof/>
        </w:rPr>
        <w:t xml:space="preserve"> Caterpillar извършва дейност в икономическия отрасъл от разделение 28 по NACE Rev. 2 (Производство на машини и оборудване). Съкращенията, извършени от засегнатите предприятия, са съсредоточени в региона на ниво 2 по NUTS Hainaut (BE32).</w:t>
      </w:r>
    </w:p>
    <w:tbl>
      <w:tblPr>
        <w:tblpPr w:leftFromText="180" w:rightFromText="180" w:vertAnchor="text" w:horzAnchor="margin" w:tblpXSpec="right" w:tblpY="19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455"/>
        <w:gridCol w:w="1525"/>
      </w:tblGrid>
      <w:tr w:rsidR="00D71FD6">
        <w:trPr>
          <w:trHeight w:val="284"/>
          <w:tblHeader/>
        </w:trPr>
        <w:tc>
          <w:tcPr>
            <w:tcW w:w="8916" w:type="dxa"/>
            <w:gridSpan w:val="3"/>
            <w:shd w:val="clear" w:color="auto" w:fill="D9D9D9" w:themeFill="background1" w:themeFillShade="D9"/>
          </w:tcPr>
          <w:p w:rsidR="00D71FD6" w:rsidRDefault="00587BA3"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</w:rPr>
              <w:t xml:space="preserve">Предприятия и брой на съкратените лица </w:t>
            </w:r>
          </w:p>
        </w:tc>
      </w:tr>
      <w:tr w:rsidR="00D71FD6">
        <w:tc>
          <w:tcPr>
            <w:tcW w:w="3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Caterpillar </w:t>
            </w:r>
          </w:p>
        </w:tc>
        <w:tc>
          <w:tcPr>
            <w:tcW w:w="4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</w:rPr>
              <w:t>1 997</w:t>
            </w:r>
          </w:p>
        </w:tc>
      </w:tr>
      <w:tr w:rsidR="00D71FD6">
        <w:tc>
          <w:tcPr>
            <w:tcW w:w="3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Cediwal</w:t>
            </w:r>
          </w:p>
        </w:tc>
        <w:tc>
          <w:tcPr>
            <w:tcW w:w="4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</w:t>
            </w:r>
          </w:p>
        </w:tc>
      </w:tr>
      <w:tr w:rsidR="00D71FD6">
        <w:tc>
          <w:tcPr>
            <w:tcW w:w="3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Eutraco</w:t>
            </w:r>
          </w:p>
        </w:tc>
        <w:tc>
          <w:tcPr>
            <w:tcW w:w="4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</w:t>
            </w:r>
          </w:p>
        </w:tc>
      </w:tr>
      <w:tr w:rsidR="00D71FD6">
        <w:tc>
          <w:tcPr>
            <w:tcW w:w="3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Yusen</w:t>
            </w:r>
          </w:p>
        </w:tc>
        <w:tc>
          <w:tcPr>
            <w:tcW w:w="4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D71FD6"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Attecam</w:t>
            </w:r>
          </w:p>
        </w:tc>
        <w:tc>
          <w:tcPr>
            <w:tcW w:w="49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</w:t>
            </w:r>
          </w:p>
        </w:tc>
      </w:tr>
      <w:tr w:rsidR="00D71FD6"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MHP</w:t>
            </w:r>
          </w:p>
        </w:tc>
        <w:tc>
          <w:tcPr>
            <w:tcW w:w="49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</w:t>
            </w:r>
          </w:p>
        </w:tc>
      </w:tr>
      <w:tr w:rsidR="00D71FD6">
        <w:tc>
          <w:tcPr>
            <w:tcW w:w="3936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D71FD6" w:rsidRDefault="00587BA3">
            <w:pPr>
              <w:tabs>
                <w:tab w:val="left" w:pos="3144"/>
              </w:tabs>
              <w:spacing w:before="0" w:after="0"/>
              <w:ind w:right="252"/>
              <w:jc w:val="left"/>
              <w:rPr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Общ брой на предприятията:</w:t>
            </w:r>
            <w:r>
              <w:rPr>
                <w:b/>
                <w:noProof/>
                <w:sz w:val="22"/>
              </w:rPr>
              <w:t xml:space="preserve"> 6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pct10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Общ брой на съкратените лица:</w:t>
            </w:r>
            <w:r>
              <w:rPr>
                <w:b/>
                <w:noProof/>
                <w:sz w:val="22"/>
              </w:rPr>
              <w:t xml:space="preserve"> 2 287</w:t>
            </w:r>
          </w:p>
        </w:tc>
      </w:tr>
      <w:tr w:rsidR="00D71FD6">
        <w:tc>
          <w:tcPr>
            <w:tcW w:w="7391" w:type="dxa"/>
            <w:gridSpan w:val="2"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D71FD6" w:rsidRDefault="00587BA3">
            <w:pPr>
              <w:tabs>
                <w:tab w:val="left" w:pos="6599"/>
              </w:tabs>
              <w:spacing w:before="0" w:after="0"/>
              <w:ind w:right="-205"/>
              <w:jc w:val="left"/>
              <w:rPr>
                <w:rFonts w:eastAsia="Calibri"/>
                <w:b/>
                <w:noProof/>
                <w:spacing w:val="-6"/>
                <w:szCs w:val="24"/>
              </w:rPr>
            </w:pPr>
            <w:r>
              <w:rPr>
                <w:b/>
                <w:noProof/>
                <w:spacing w:val="-6"/>
              </w:rPr>
              <w:t>Общ брой на самостоятелно заетите лица, чиято дейност е прекратена:</w:t>
            </w:r>
            <w:r>
              <w:rPr>
                <w:noProof/>
                <w:spacing w:val="-6"/>
              </w:rPr>
              <w:t xml:space="preserve"> </w:t>
            </w:r>
          </w:p>
        </w:tc>
        <w:tc>
          <w:tcPr>
            <w:tcW w:w="1525" w:type="dxa"/>
            <w:tcBorders>
              <w:left w:val="nil"/>
              <w:bottom w:val="nil"/>
            </w:tcBorders>
            <w:shd w:val="pct10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0</w:t>
            </w:r>
          </w:p>
        </w:tc>
      </w:tr>
      <w:tr w:rsidR="00D71FD6">
        <w:tc>
          <w:tcPr>
            <w:tcW w:w="7391" w:type="dxa"/>
            <w:gridSpan w:val="2"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D71FD6" w:rsidRDefault="00587BA3">
            <w:pPr>
              <w:spacing w:before="0" w:after="0"/>
              <w:ind w:right="252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Общ брой на отговарящите на критериите работници и самостоятелно заети лица:          </w:t>
            </w:r>
          </w:p>
        </w:tc>
        <w:tc>
          <w:tcPr>
            <w:tcW w:w="1525" w:type="dxa"/>
            <w:tcBorders>
              <w:left w:val="nil"/>
              <w:bottom w:val="nil"/>
            </w:tcBorders>
            <w:shd w:val="pct10" w:color="auto" w:fill="auto"/>
            <w:vAlign w:val="center"/>
          </w:tcPr>
          <w:p w:rsidR="00D71FD6" w:rsidRDefault="00587BA3">
            <w:pPr>
              <w:spacing w:before="0" w:after="0"/>
              <w:ind w:left="-828"/>
              <w:jc w:val="righ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2 287</w:t>
            </w:r>
          </w:p>
        </w:tc>
      </w:tr>
    </w:tbl>
    <w:p w:rsidR="00D71FD6" w:rsidRDefault="00587BA3">
      <w:pPr>
        <w:pStyle w:val="ManualHeading3"/>
        <w:rPr>
          <w:noProof/>
        </w:rPr>
      </w:pPr>
      <w:r>
        <w:rPr>
          <w:noProof/>
        </w:rPr>
        <w:t>Критерии за намеса</w:t>
      </w:r>
    </w:p>
    <w:p w:rsidR="00D71FD6" w:rsidRDefault="00587BA3"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Белгия е подала заявлението в съответствие с критериите за намеса по член 4, параграф 1, буква а)</w:t>
      </w:r>
      <w:r>
        <w:rPr>
          <w:noProof/>
          <w:color w:val="FFFFFF" w:themeColor="background1"/>
        </w:rPr>
        <w:t xml:space="preserve"> </w:t>
      </w:r>
      <w:r>
        <w:rPr>
          <w:noProof/>
        </w:rPr>
        <w:t xml:space="preserve">от Регламента за ЕФПГ, съгласно които в </w:t>
      </w:r>
      <w:r>
        <w:rPr>
          <w:noProof/>
        </w:rPr>
        <w:t>дадена държава членка за референтен период от четири месеца следва да са били съкратени най-малко 500 работници, включително работници, съкратени от доставчици и производители надолу по веригата</w:t>
      </w:r>
      <w:bookmarkStart w:id="1" w:name="_Ref372189348"/>
      <w:r>
        <w:rPr>
          <w:noProof/>
          <w:color w:val="FFFFFF" w:themeColor="background1"/>
        </w:rPr>
        <w:t xml:space="preserve">. </w:t>
      </w:r>
    </w:p>
    <w:p w:rsidR="00D71FD6" w:rsidRDefault="00587BA3"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Четиримесечният референтен период за заявлението започва</w:t>
      </w:r>
      <w:r>
        <w:rPr>
          <w:noProof/>
        </w:rPr>
        <w:t xml:space="preserve"> на 31 май 2017 г. и приключва на 30 септември 2017 г. </w:t>
      </w:r>
      <w:bookmarkEnd w:id="1"/>
    </w:p>
    <w:p w:rsidR="00D71FD6" w:rsidRDefault="00587BA3"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Съкращенията по време на референтния период са следните:</w:t>
      </w:r>
    </w:p>
    <w:p w:rsidR="00D71FD6" w:rsidRDefault="00587BA3">
      <w:pPr>
        <w:pStyle w:val="Tiret1"/>
        <w:numPr>
          <w:ilvl w:val="0"/>
          <w:numId w:val="11"/>
        </w:numPr>
        <w:rPr>
          <w:noProof/>
        </w:rPr>
      </w:pPr>
      <w:r>
        <w:rPr>
          <w:noProof/>
        </w:rPr>
        <w:t xml:space="preserve">1 161 съкратени работници в Caterpillar </w:t>
      </w:r>
    </w:p>
    <w:p w:rsidR="00D71FD6" w:rsidRDefault="00587BA3">
      <w:pPr>
        <w:pStyle w:val="Tiret1"/>
        <w:numPr>
          <w:ilvl w:val="0"/>
          <w:numId w:val="11"/>
        </w:numPr>
        <w:rPr>
          <w:noProof/>
        </w:rPr>
      </w:pPr>
      <w:r>
        <w:rPr>
          <w:noProof/>
        </w:rPr>
        <w:t>  203 съкратени работници в четирима доставчици на Caterpillar.</w:t>
      </w:r>
    </w:p>
    <w:p w:rsidR="00D71FD6" w:rsidRDefault="00587BA3">
      <w:pPr>
        <w:pStyle w:val="ManualHeading3"/>
        <w:rPr>
          <w:noProof/>
        </w:rPr>
      </w:pPr>
      <w:r>
        <w:rPr>
          <w:noProof/>
        </w:rPr>
        <w:t>Изчисляване на броя на съкращенията</w:t>
      </w:r>
      <w:r>
        <w:rPr>
          <w:noProof/>
        </w:rPr>
        <w:t xml:space="preserve"> и на случаите на прекратяване на дейност</w:t>
      </w:r>
    </w:p>
    <w:p w:rsidR="00D71FD6" w:rsidRDefault="00587BA3">
      <w:pPr>
        <w:pStyle w:val="ManualNumPar1"/>
        <w:rPr>
          <w:noProof/>
        </w:rPr>
      </w:pPr>
      <w:r>
        <w:t>9.</w:t>
      </w:r>
      <w:r>
        <w:tab/>
      </w:r>
      <w:r>
        <w:rPr>
          <w:noProof/>
        </w:rPr>
        <w:t>Всички 1 364 съкращения по време на референтния период са изчислени от датата на действителното приключване на трудовия договор или на изтичането на срока му.</w:t>
      </w:r>
    </w:p>
    <w:p w:rsidR="00D71FD6" w:rsidRDefault="00587BA3">
      <w:pPr>
        <w:pStyle w:val="ManualHeading3"/>
        <w:ind w:left="0" w:firstLine="0"/>
        <w:rPr>
          <w:noProof/>
        </w:rPr>
      </w:pPr>
      <w:r>
        <w:rPr>
          <w:noProof/>
        </w:rPr>
        <w:t>Бенефициери, отговарящи на критериите</w:t>
      </w:r>
    </w:p>
    <w:p w:rsidR="00D71FD6" w:rsidRDefault="00587BA3">
      <w:pPr>
        <w:pStyle w:val="ManualNumPar1"/>
        <w:rPr>
          <w:noProof/>
        </w:rPr>
      </w:pPr>
      <w:r>
        <w:t>10.</w:t>
      </w:r>
      <w:r>
        <w:tab/>
      </w:r>
      <w:r>
        <w:rPr>
          <w:noProof/>
        </w:rPr>
        <w:t>Освен горе</w:t>
      </w:r>
      <w:r>
        <w:rPr>
          <w:noProof/>
        </w:rPr>
        <w:t>посочените работници към бенефициерите, отговарящи на критериите, спадат 923 работници, съкратени преди или след четиримесечния референтен период. Поради тази причина общият брой на отговарящите на критериите бенефициери възлиза на 2 287. Няма припокриване</w:t>
      </w:r>
      <w:r>
        <w:rPr>
          <w:noProof/>
        </w:rPr>
        <w:t xml:space="preserve"> между работниците, подпомагани по заявлението EGF/2014/011 BE/Caterpillar, и тези, включени в настоящето заявление.</w:t>
      </w:r>
    </w:p>
    <w:p w:rsidR="00D71FD6" w:rsidRDefault="00587BA3">
      <w:pPr>
        <w:pStyle w:val="ManualHeading2"/>
        <w:rPr>
          <w:noProof/>
        </w:rPr>
      </w:pPr>
      <w:r>
        <w:rPr>
          <w:noProof/>
        </w:rPr>
        <w:t>Връзка между съкращенията и големите структурни промени в моделите на световната търговия, произтичащи от глобализацията</w:t>
      </w:r>
    </w:p>
    <w:p w:rsidR="00D71FD6" w:rsidRDefault="00587BA3">
      <w:pPr>
        <w:pStyle w:val="ManualNumPar1"/>
        <w:rPr>
          <w:noProof/>
        </w:rPr>
      </w:pPr>
      <w:r>
        <w:t>11.</w:t>
      </w:r>
      <w:r>
        <w:tab/>
      </w:r>
      <w:r>
        <w:rPr>
          <w:noProof/>
        </w:rPr>
        <w:t>С цел да се ус</w:t>
      </w:r>
      <w:r>
        <w:rPr>
          <w:noProof/>
        </w:rPr>
        <w:t xml:space="preserve">танови връзката между съкращенията и големите структурни промени в моделите на световната търговия, произтичащи от глобализацията, Белгия посочва, че основната причина за съкращенията на работна ръка е световната конкуренция в сектора на производството на </w:t>
      </w:r>
      <w:r>
        <w:rPr>
          <w:noProof/>
        </w:rPr>
        <w:t>машини за строителството и минното дело и произтичащата от нея загуба на пазарен дял от Caterpillar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 w:rsidR="00D71FD6" w:rsidRDefault="00587BA3">
      <w:pPr>
        <w:pStyle w:val="ManualNumPar1"/>
        <w:rPr>
          <w:noProof/>
        </w:rPr>
      </w:pPr>
      <w:r>
        <w:t>12.</w:t>
      </w:r>
      <w:r>
        <w:tab/>
      </w:r>
      <w:r>
        <w:rPr>
          <w:noProof/>
        </w:rPr>
        <w:t>В Европа производството в минния сектор намаля от 234 милиона евро през 2012 г. на 180 милиона евро през 2015 г.</w:t>
      </w:r>
      <w:r>
        <w:rPr>
          <w:rStyle w:val="FootnoteReference"/>
          <w:noProof/>
        </w:rPr>
        <w:footnoteReference w:id="8"/>
      </w:r>
      <w:r>
        <w:rPr>
          <w:noProof/>
        </w:rPr>
        <w:t>, а износът на ЕС-28 намалява силно о</w:t>
      </w:r>
      <w:r>
        <w:rPr>
          <w:noProof/>
        </w:rPr>
        <w:t>т 2014 г. насам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</w:t>
      </w:r>
    </w:p>
    <w:p w:rsidR="00D71FD6" w:rsidRDefault="00587BA3">
      <w:pPr>
        <w:pStyle w:val="ManualNumPar1"/>
        <w:rPr>
          <w:noProof/>
        </w:rPr>
      </w:pPr>
      <w:r>
        <w:t>13.</w:t>
      </w:r>
      <w:r>
        <w:tab/>
      </w:r>
      <w:r>
        <w:rPr>
          <w:noProof/>
        </w:rPr>
        <w:t>Според информацията, посочена от белгийските органи, производствените обекти на Caterpillar са разположени в близост до техните пазари, което обяснява връзката между развитието на европейския и на световния пазар и редуцирането на ра</w:t>
      </w:r>
      <w:r>
        <w:rPr>
          <w:noProof/>
        </w:rPr>
        <w:t>ботната сила в обекта в Госли. По-специално делът на продажбите на Caterpillar в Азия се е увеличил почти двойно между 2003 и 2013 г.</w:t>
      </w:r>
      <w:r>
        <w:rPr>
          <w:rStyle w:val="FootnoteReference"/>
          <w:noProof/>
          <w:spacing w:val="-2"/>
        </w:rPr>
        <w:footnoteReference w:id="10"/>
      </w:r>
      <w:r>
        <w:rPr>
          <w:noProof/>
        </w:rPr>
        <w:t>.</w:t>
      </w:r>
    </w:p>
    <w:p w:rsidR="00D71FD6" w:rsidRDefault="00587BA3">
      <w:pPr>
        <w:pStyle w:val="ManualNumPar1"/>
        <w:rPr>
          <w:noProof/>
        </w:rPr>
      </w:pPr>
      <w:r>
        <w:t>14.</w:t>
      </w:r>
      <w:r>
        <w:tab/>
      </w:r>
      <w:r>
        <w:rPr>
          <w:noProof/>
        </w:rPr>
        <w:t>През 2008 г. европейската цена на стоманата се е увеличила рязко, докато китайската е намаляла и понастоящем продълж</w:t>
      </w:r>
      <w:r>
        <w:rPr>
          <w:noProof/>
        </w:rPr>
        <w:t>ава да е по-ниска от европейската</w:t>
      </w:r>
      <w:r>
        <w:rPr>
          <w:rStyle w:val="FootnoteReference"/>
          <w:noProof/>
        </w:rPr>
        <w:footnoteReference w:id="11"/>
      </w:r>
      <w:r>
        <w:rPr>
          <w:noProof/>
        </w:rPr>
        <w:t>. Поради тази причина производствените разходи за една машина в Госли са с 21 % по-високи от тези в Китай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</w:p>
    <w:p w:rsidR="00D71FD6" w:rsidRDefault="00587BA3">
      <w:pPr>
        <w:pStyle w:val="ManualHeading3"/>
        <w:rPr>
          <w:noProof/>
        </w:rPr>
      </w:pPr>
      <w:r>
        <w:rPr>
          <w:noProof/>
        </w:rPr>
        <w:t>Събития, довели до съкращенията и до прекратяването на дейността</w:t>
      </w:r>
    </w:p>
    <w:p w:rsidR="00D71FD6" w:rsidRDefault="00587BA3">
      <w:pPr>
        <w:pStyle w:val="ManualNumPar1"/>
        <w:rPr>
          <w:noProof/>
        </w:rPr>
      </w:pPr>
      <w:r>
        <w:t>15.</w:t>
      </w:r>
      <w:r>
        <w:tab/>
      </w:r>
      <w:r>
        <w:rPr>
          <w:noProof/>
        </w:rPr>
        <w:t xml:space="preserve">Основното събитие, довело до съкращенията, е </w:t>
      </w:r>
      <w:r>
        <w:rPr>
          <w:noProof/>
        </w:rPr>
        <w:t xml:space="preserve">обявеното от Caterpillar Belgium S.A. на 2 септември 2016 г. начало на процедура за колективни съкращения в производствения му обект, разположен в Госли. </w:t>
      </w:r>
    </w:p>
    <w:p w:rsidR="00D71FD6" w:rsidRDefault="00587BA3">
      <w:pPr>
        <w:pStyle w:val="ManualNumPar1"/>
        <w:rPr>
          <w:noProof/>
        </w:rPr>
      </w:pPr>
      <w:r>
        <w:t>16.</w:t>
      </w:r>
      <w:r>
        <w:tab/>
      </w:r>
      <w:r>
        <w:rPr>
          <w:noProof/>
        </w:rPr>
        <w:t>Това е второто заявление на Белгия по ЕФПГ във връзка с Caterpillar. През 2014 г. 1 399 работници</w:t>
      </w:r>
      <w:r>
        <w:rPr>
          <w:noProof/>
        </w:rPr>
        <w:t xml:space="preserve"> бяха обект на първото заявление по ЕФПГ, което се отнася до съкращения в предприятието. Настоящото предложение включва останалите 1 997 работници на обекта. </w:t>
      </w:r>
    </w:p>
    <w:p w:rsidR="00D71FD6" w:rsidRDefault="00587BA3">
      <w:pPr>
        <w:pStyle w:val="ManualNumPar1"/>
        <w:rPr>
          <w:noProof/>
        </w:rPr>
      </w:pPr>
      <w:r>
        <w:t>17.</w:t>
      </w:r>
      <w:r>
        <w:tab/>
      </w:r>
      <w:r>
        <w:rPr>
          <w:noProof/>
        </w:rPr>
        <w:t>През 2015 г. Caterpillar инвестира в нова поточна линия, за да подобри позицията си на пазара</w:t>
      </w:r>
      <w:r>
        <w:rPr>
          <w:noProof/>
        </w:rPr>
        <w:t xml:space="preserve">. Обратно на очакванията обаче икономическият растеж в Европа бе много бавен и вследствие на това икономическото положение на предприятието не се възстанови според очакваното. </w:t>
      </w:r>
    </w:p>
    <w:p w:rsidR="00D71FD6" w:rsidRDefault="00587BA3">
      <w:pPr>
        <w:pStyle w:val="ManualNumPar1"/>
        <w:rPr>
          <w:noProof/>
        </w:rPr>
      </w:pPr>
      <w:r>
        <w:t>18.</w:t>
      </w:r>
      <w:r>
        <w:tab/>
      </w:r>
      <w:r>
        <w:rPr>
          <w:noProof/>
        </w:rPr>
        <w:t>В сравнение с други заводи този в Госли, Белгия, вече не е конкурентен. Пор</w:t>
      </w:r>
      <w:r>
        <w:rPr>
          <w:noProof/>
        </w:rPr>
        <w:t>ади това Caterpillar премества производството в държави с бързо развиващи се икономики в Азия и Латинска Америка, като Китай и Южна Корея, заради бързо развиващите се нови пазари и ниските производствени разходи, свързани с по-малко ограничителните разпоре</w:t>
      </w:r>
      <w:r>
        <w:rPr>
          <w:noProof/>
        </w:rPr>
        <w:t>дби по отношение на опазването на околната среда и по-ниските почасови разходи за труд.</w:t>
      </w:r>
      <w:r>
        <w:rPr>
          <w:b/>
          <w:noProof/>
        </w:rPr>
        <w:t xml:space="preserve"> </w:t>
      </w:r>
      <w:r>
        <w:rPr>
          <w:noProof/>
        </w:rPr>
        <w:t xml:space="preserve">Понастоящем предприятието спира дейността си в Белгия. </w:t>
      </w:r>
    </w:p>
    <w:p w:rsidR="00D71FD6" w:rsidRDefault="00587BA3"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Предполагаемо въздействие на съкращенията върху местната, регионалната или националната икономика и заетост</w:t>
      </w:r>
    </w:p>
    <w:p w:rsidR="00D71FD6" w:rsidRDefault="00587BA3">
      <w:pPr>
        <w:pStyle w:val="ManualNumPar1"/>
        <w:rPr>
          <w:noProof/>
        </w:rPr>
      </w:pPr>
      <w:r>
        <w:t>19.</w:t>
      </w:r>
      <w:r>
        <w:tab/>
      </w:r>
      <w:r>
        <w:rPr>
          <w:noProof/>
        </w:rPr>
        <w:t>Според публичната служба по заетостта на Валония (FOREM) се очаква равнището на безработицата в региона Hainaut да се увеличи с 6,1 %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.  </w:t>
      </w:r>
    </w:p>
    <w:p w:rsidR="00D71FD6" w:rsidRDefault="00587BA3">
      <w:pPr>
        <w:pStyle w:val="ManualNumPar1"/>
        <w:rPr>
          <w:noProof/>
        </w:rPr>
      </w:pPr>
      <w:r>
        <w:t>20.</w:t>
      </w:r>
      <w:r>
        <w:tab/>
      </w:r>
      <w:r>
        <w:rPr>
          <w:noProof/>
        </w:rPr>
        <w:t>Затварянето на завода на Caterpillar доведе до уволнението на 288 работници сред доставчиците.</w:t>
      </w:r>
    </w:p>
    <w:p w:rsidR="00D71FD6" w:rsidRDefault="00587BA3">
      <w:pPr>
        <w:pStyle w:val="ManualNumPar1"/>
        <w:rPr>
          <w:noProof/>
        </w:rPr>
      </w:pPr>
      <w:r>
        <w:t>21.</w:t>
      </w:r>
      <w:r>
        <w:tab/>
      </w:r>
      <w:r>
        <w:rPr>
          <w:noProof/>
        </w:rPr>
        <w:t>Над 11 % от цел</w:t>
      </w:r>
      <w:r>
        <w:rPr>
          <w:noProof/>
        </w:rPr>
        <w:t xml:space="preserve">евите работници са на възраст над 55 години. </w:t>
      </w:r>
    </w:p>
    <w:p w:rsidR="00D71FD6" w:rsidRDefault="00587BA3">
      <w:pPr>
        <w:pStyle w:val="ManualNumPar1"/>
        <w:rPr>
          <w:noProof/>
        </w:rPr>
      </w:pPr>
      <w:r>
        <w:t>22.</w:t>
      </w:r>
      <w:r>
        <w:tab/>
      </w:r>
      <w:r>
        <w:rPr>
          <w:noProof/>
        </w:rPr>
        <w:t>Търсещите работа в Шарлероа са най-вече нискоквалифицирани лица (50,6 % не са завършили гимназиално образование), а 40 % са дългосрочно безработни (повече от 24 месеца). Процентът на безработицата в Шарлеро</w:t>
      </w:r>
      <w:r>
        <w:rPr>
          <w:noProof/>
        </w:rPr>
        <w:t>а е едва 52,2 %, което е почти 5 процентни пункта по-малко от средната стойност за региона Валония (57,1 %) (източник: FOREM)</w:t>
      </w:r>
      <w:r>
        <w:rPr>
          <w:rStyle w:val="FootnoteReference"/>
          <w:noProof/>
        </w:rPr>
        <w:footnoteReference w:id="14"/>
      </w:r>
      <w:r>
        <w:rPr>
          <w:noProof/>
        </w:rPr>
        <w:t>.</w:t>
      </w:r>
    </w:p>
    <w:p w:rsidR="00D71FD6" w:rsidRDefault="00587BA3">
      <w:pPr>
        <w:pStyle w:val="ManualHeading2"/>
        <w:rPr>
          <w:noProof/>
        </w:rPr>
      </w:pPr>
      <w:r>
        <w:rPr>
          <w:noProof/>
        </w:rPr>
        <w:t>Бенефициери от целевата група и предложени действия</w:t>
      </w:r>
    </w:p>
    <w:p w:rsidR="00D71FD6" w:rsidRDefault="00587BA3">
      <w:pPr>
        <w:pStyle w:val="ManualHeading3"/>
        <w:rPr>
          <w:noProof/>
        </w:rPr>
      </w:pPr>
      <w:r>
        <w:rPr>
          <w:noProof/>
        </w:rPr>
        <w:t>Бенефициери от целевата група</w:t>
      </w:r>
    </w:p>
    <w:p w:rsidR="00D71FD6" w:rsidRDefault="00587BA3">
      <w:pPr>
        <w:pStyle w:val="ManualNumPar1"/>
        <w:rPr>
          <w:noProof/>
        </w:rPr>
      </w:pPr>
      <w:r>
        <w:t>23.</w:t>
      </w:r>
      <w:r>
        <w:tab/>
      </w:r>
      <w:r>
        <w:rPr>
          <w:noProof/>
        </w:rPr>
        <w:t>Очаква се всички 2 287 съкратени работници</w:t>
      </w:r>
      <w:r>
        <w:rPr>
          <w:noProof/>
        </w:rPr>
        <w:t xml:space="preserve"> да вземат участие в мерките. По-долу е представена разбивка на тези работници по пол, гражданство и възрастова група: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2063"/>
        <w:gridCol w:w="1176"/>
        <w:gridCol w:w="1485"/>
      </w:tblGrid>
      <w:tr w:rsidR="00D71FD6">
        <w:trPr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Категория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 xml:space="preserve">Брой на </w:t>
            </w:r>
            <w:r>
              <w:rPr>
                <w:noProof/>
              </w:rPr>
              <w:br/>
              <w:t>бенефициерите от целевата група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Пол: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Мъже: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2 115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(92,47 %)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Жени: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172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(7,53 %)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Гражданство: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Граждани на държави — </w:t>
            </w:r>
            <w:r>
              <w:rPr>
                <w:noProof/>
              </w:rPr>
              <w:t>членки на ЕС: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2 233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(97,64 %)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Граждани на държави извън ЕС: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54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(2,36 %)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Възрастова група: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15—24 години: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2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(0,09 %)</w:t>
            </w:r>
          </w:p>
        </w:tc>
      </w:tr>
      <w:tr w:rsidR="00D71FD6">
        <w:trPr>
          <w:jc w:val="center"/>
        </w:trPr>
        <w:tc>
          <w:tcPr>
            <w:tcW w:w="1496" w:type="dxa"/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25—29 години:</w:t>
            </w:r>
          </w:p>
        </w:tc>
        <w:tc>
          <w:tcPr>
            <w:tcW w:w="1176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70</w:t>
            </w:r>
          </w:p>
        </w:tc>
        <w:tc>
          <w:tcPr>
            <w:tcW w:w="1485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(3,06 %)</w:t>
            </w:r>
          </w:p>
        </w:tc>
      </w:tr>
      <w:tr w:rsidR="00D71FD6">
        <w:trPr>
          <w:jc w:val="center"/>
        </w:trPr>
        <w:tc>
          <w:tcPr>
            <w:tcW w:w="1496" w:type="dxa"/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30—54 години:</w:t>
            </w:r>
          </w:p>
        </w:tc>
        <w:tc>
          <w:tcPr>
            <w:tcW w:w="1176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1 952</w:t>
            </w:r>
          </w:p>
        </w:tc>
        <w:tc>
          <w:tcPr>
            <w:tcW w:w="1485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(85,34 %)</w:t>
            </w:r>
          </w:p>
        </w:tc>
      </w:tr>
      <w:tr w:rsidR="00D71FD6">
        <w:trPr>
          <w:jc w:val="center"/>
        </w:trPr>
        <w:tc>
          <w:tcPr>
            <w:tcW w:w="1496" w:type="dxa"/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55—64 години:</w:t>
            </w:r>
          </w:p>
        </w:tc>
        <w:tc>
          <w:tcPr>
            <w:tcW w:w="1176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263</w:t>
            </w:r>
          </w:p>
        </w:tc>
        <w:tc>
          <w:tcPr>
            <w:tcW w:w="1485" w:type="dxa"/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(11,51 %)</w:t>
            </w:r>
          </w:p>
        </w:tc>
      </w:tr>
      <w:tr w:rsidR="00D71FD6"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FD6" w:rsidRDefault="00D71FD6"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над 64 години: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FD6" w:rsidRDefault="00587BA3"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(0,00 %)</w:t>
            </w:r>
          </w:p>
        </w:tc>
      </w:tr>
    </w:tbl>
    <w:p w:rsidR="00D71FD6" w:rsidRDefault="00587BA3">
      <w:pPr>
        <w:pStyle w:val="ManualNumPar1"/>
        <w:rPr>
          <w:noProof/>
        </w:rPr>
      </w:pPr>
      <w:r>
        <w:t>24.</w:t>
      </w:r>
      <w:r>
        <w:tab/>
      </w:r>
      <w:r>
        <w:rPr>
          <w:noProof/>
        </w:rPr>
        <w:t>Освен това</w:t>
      </w:r>
      <w:r>
        <w:rPr>
          <w:noProof/>
        </w:rPr>
        <w:t xml:space="preserve"> белгийските органи ще предоставят персонализирани услуги, съфинансирани от ЕФПГ, на най-много 300 млади хора, които не работят и не са ангажирани в никаква форма на образование или обучение (NEET), на възраст под 30 години към датата на подаване на заявле</w:t>
      </w:r>
      <w:r>
        <w:rPr>
          <w:noProof/>
        </w:rPr>
        <w:t>нието, предвид обстоятелството, че 1 364 от посочените в точка 8 съкращения са извършени в региона на ниво 2 по NUTS Hainaut (BE32), който отговаря на установените критерии в рамките на инициативата за младежка заетост.</w:t>
      </w:r>
    </w:p>
    <w:p w:rsidR="00D71FD6" w:rsidRDefault="00587BA3">
      <w:pPr>
        <w:pStyle w:val="ManualNumPar1"/>
        <w:rPr>
          <w:noProof/>
          <w:szCs w:val="20"/>
        </w:rPr>
      </w:pPr>
      <w:r>
        <w:t>25.</w:t>
      </w:r>
      <w:r>
        <w:tab/>
      </w:r>
      <w:r>
        <w:rPr>
          <w:noProof/>
        </w:rPr>
        <w:t>В член 6, параграф 2 от Регламен</w:t>
      </w:r>
      <w:r>
        <w:rPr>
          <w:noProof/>
        </w:rPr>
        <w:t>та за ЕФПГ се посочва, че държавите членки могат да предоставят персонализирани услуги, съфинансирани по ЕФПГ, също и на NEET до 31 декември 2017 г. Предложението за регламент на Европейския парламент и на Съвета относно финансовите правила, приложими за о</w:t>
      </w:r>
      <w:r>
        <w:rPr>
          <w:noProof/>
        </w:rPr>
        <w:t>бщия бюджет на Съюза</w:t>
      </w:r>
      <w:r>
        <w:rPr>
          <w:rStyle w:val="FootnoteReference"/>
          <w:noProof/>
          <w:spacing w:val="-6"/>
        </w:rPr>
        <w:footnoteReference w:id="15"/>
      </w:r>
      <w:r>
        <w:rPr>
          <w:noProof/>
        </w:rPr>
        <w:t xml:space="preserve"> (регламент „омнибус“) включва изменение на член 6, параграф 2 от Регламента за ЕФПГ с цел разширяване на дерогацията за NEET. Съгласно данните, публикувани от Евростат на 17 януари 2018 г., безработицата сред лицата на възраст между </w:t>
      </w:r>
      <w:r>
        <w:rPr>
          <w:noProof/>
        </w:rPr>
        <w:t>15 и 24 години в региона Hainaut е 33,3 %. Следователно регионът продължава да отговаря на условията по член 6, параграф 2 от Регламента за ЕФПГ. Това изменение ще се прилага с обратна сила от 1 януари 2018 г. Вследствие на това настоящото решение, което в</w:t>
      </w:r>
      <w:r>
        <w:rPr>
          <w:noProof/>
        </w:rPr>
        <w:t>ключва подпомагане на NEET, може да бъде прието след приемането и влизането в сила на регламента „омнибус“.</w:t>
      </w:r>
    </w:p>
    <w:p w:rsidR="00D71FD6" w:rsidRDefault="00587BA3">
      <w:pPr>
        <w:pStyle w:val="ManualNumPar1"/>
        <w:rPr>
          <w:noProof/>
          <w:szCs w:val="20"/>
        </w:rPr>
      </w:pPr>
      <w:r>
        <w:t>26.</w:t>
      </w:r>
      <w:r>
        <w:tab/>
      </w:r>
      <w:r>
        <w:rPr>
          <w:noProof/>
        </w:rPr>
        <w:t>Поради това общият прогнозен брой на бенефициерите от целевата група, които се очаква да участват в мерките, включително NEET, е 2 587 души.</w:t>
      </w:r>
    </w:p>
    <w:p w:rsidR="00D71FD6" w:rsidRDefault="00587BA3">
      <w:pPr>
        <w:pStyle w:val="ManualHeading3"/>
        <w:rPr>
          <w:noProof/>
          <w:u w:val="single"/>
        </w:rPr>
      </w:pPr>
      <w:r>
        <w:rPr>
          <w:noProof/>
        </w:rPr>
        <w:t>Доп</w:t>
      </w:r>
      <w:r>
        <w:rPr>
          <w:noProof/>
        </w:rPr>
        <w:t>устимост на предложените действия</w:t>
      </w:r>
      <w:bookmarkStart w:id="2" w:name="_Ref372214239"/>
    </w:p>
    <w:p w:rsidR="00D71FD6" w:rsidRDefault="00587BA3">
      <w:pPr>
        <w:pStyle w:val="ManualNumPar1"/>
        <w:rPr>
          <w:noProof/>
        </w:rPr>
      </w:pPr>
      <w:r>
        <w:t>27.</w:t>
      </w:r>
      <w:r>
        <w:tab/>
      </w:r>
      <w:r>
        <w:rPr>
          <w:noProof/>
        </w:rPr>
        <w:t xml:space="preserve">Персонализираните услуги, които се предвижда да бъдат предоставени на съкратените работници и на NEET, включват следните действия: </w:t>
      </w:r>
      <w:bookmarkEnd w:id="2"/>
    </w:p>
    <w:p w:rsidR="00D71FD6" w:rsidRDefault="00587BA3">
      <w:pPr>
        <w:pStyle w:val="Tiret1"/>
        <w:rPr>
          <w:noProof/>
          <w:color w:val="000000" w:themeColor="text1"/>
        </w:rPr>
      </w:pPr>
      <w:r>
        <w:rPr>
          <w:noProof/>
          <w:color w:val="000000" w:themeColor="text1"/>
          <w:u w:val="single"/>
        </w:rPr>
        <w:t>Индивидуална помощ при търсене на работа, съдействие според конкретния случай и услуги</w:t>
      </w:r>
      <w:r>
        <w:rPr>
          <w:noProof/>
          <w:color w:val="000000" w:themeColor="text1"/>
          <w:u w:val="single"/>
        </w:rPr>
        <w:t xml:space="preserve"> по предоставяне на информация</w:t>
      </w:r>
      <w:r>
        <w:rPr>
          <w:noProof/>
          <w:color w:val="000000" w:themeColor="text1"/>
        </w:rPr>
        <w:t>. Тези мерки включват персонализирано съдействие при търсене на работа, като например консултиране и професионално ориентиране, както и открити информационни услуги за работниците и NEET.</w:t>
      </w:r>
    </w:p>
    <w:p w:rsidR="00D71FD6" w:rsidRDefault="00587BA3">
      <w:pPr>
        <w:pStyle w:val="Tiret1"/>
        <w:rPr>
          <w:noProof/>
          <w:color w:val="000000" w:themeColor="text1"/>
          <w:spacing w:val="-6"/>
        </w:rPr>
      </w:pPr>
      <w:r>
        <w:rPr>
          <w:noProof/>
          <w:color w:val="000000" w:themeColor="text1"/>
          <w:spacing w:val="-6"/>
          <w:u w:val="single"/>
        </w:rPr>
        <w:t>Обучение и преквалификация</w:t>
      </w:r>
      <w:r>
        <w:rPr>
          <w:noProof/>
          <w:color w:val="000000" w:themeColor="text1"/>
          <w:spacing w:val="-6"/>
        </w:rPr>
        <w:t>. Това включ</w:t>
      </w:r>
      <w:r>
        <w:rPr>
          <w:noProof/>
          <w:color w:val="000000" w:themeColor="text1"/>
          <w:spacing w:val="-6"/>
        </w:rPr>
        <w:t>ва професионално и продължаващо обучение за работници и NEET. Курсовете са замислени така, че да се постигне съответствие между предложенията за обучение и приоритетите във връзка с развитието на Шарлероа, посочени в плана CATCH</w:t>
      </w:r>
      <w:r>
        <w:rPr>
          <w:rStyle w:val="FootnoteReference"/>
          <w:noProof/>
          <w:color w:val="000000" w:themeColor="text1"/>
          <w:spacing w:val="-6"/>
        </w:rPr>
        <w:footnoteReference w:id="16"/>
      </w:r>
      <w:r>
        <w:rPr>
          <w:noProof/>
          <w:color w:val="000000" w:themeColor="text1"/>
          <w:spacing w:val="-6"/>
        </w:rPr>
        <w:t xml:space="preserve">. </w:t>
      </w:r>
    </w:p>
    <w:p w:rsidR="00D71FD6" w:rsidRDefault="00587BA3">
      <w:pPr>
        <w:pStyle w:val="Tiret1"/>
        <w:rPr>
          <w:noProof/>
          <w:color w:val="000000" w:themeColor="text1"/>
        </w:rPr>
      </w:pPr>
      <w:r>
        <w:rPr>
          <w:noProof/>
          <w:color w:val="000000" w:themeColor="text1"/>
          <w:u w:val="single"/>
        </w:rPr>
        <w:t>Насърчаване на предприем</w:t>
      </w:r>
      <w:r>
        <w:rPr>
          <w:noProof/>
          <w:color w:val="000000" w:themeColor="text1"/>
          <w:u w:val="single"/>
        </w:rPr>
        <w:t>ачеството</w:t>
      </w:r>
      <w:r>
        <w:rPr>
          <w:noProof/>
          <w:color w:val="000000" w:themeColor="text1"/>
        </w:rPr>
        <w:t>. Тази мярка ще предостави на участниците система за подкрепа на предприемачите, в която се предвижда тясно сътрудничество с регионалните органи, които работят за подпомагане на самостоятелната заетост.</w:t>
      </w:r>
    </w:p>
    <w:p w:rsidR="00D71FD6" w:rsidRDefault="00587BA3">
      <w:pPr>
        <w:pStyle w:val="Tiret1"/>
        <w:rPr>
          <w:noProof/>
          <w:color w:val="000000" w:themeColor="text1"/>
        </w:rPr>
      </w:pPr>
      <w:r>
        <w:rPr>
          <w:noProof/>
          <w:color w:val="000000" w:themeColor="text1"/>
          <w:u w:val="single"/>
        </w:rPr>
        <w:t>Помощ за започване на стопанска дейност</w:t>
      </w:r>
      <w:r>
        <w:rPr>
          <w:noProof/>
          <w:color w:val="000000" w:themeColor="text1"/>
        </w:rPr>
        <w:t>.</w:t>
      </w:r>
      <w:r>
        <w:rPr>
          <w:b/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Таз</w:t>
      </w:r>
      <w:r>
        <w:rPr>
          <w:noProof/>
          <w:color w:val="000000" w:themeColor="text1"/>
        </w:rPr>
        <w:t>и мярка ще предостави безвъзмездни средства за започване на дейност, предназначени за насърчаване на самостоятелната заетост, създаването на нова стопанска дейност и започването и развиването на стопанска дейност на пълно или непълно работно време.</w:t>
      </w:r>
    </w:p>
    <w:p w:rsidR="00D71FD6" w:rsidRDefault="00587BA3">
      <w:pPr>
        <w:pStyle w:val="Tiret1"/>
        <w:rPr>
          <w:noProof/>
        </w:rPr>
      </w:pPr>
      <w:r>
        <w:rPr>
          <w:noProof/>
          <w:color w:val="000000" w:themeColor="text1"/>
          <w:u w:val="single"/>
        </w:rPr>
        <w:t>Помощи</w:t>
      </w:r>
      <w:r>
        <w:rPr>
          <w:noProof/>
          <w:color w:val="000000" w:themeColor="text1"/>
        </w:rPr>
        <w:t>.</w:t>
      </w:r>
      <w:r>
        <w:rPr>
          <w:noProof/>
          <w:color w:val="000000" w:themeColor="text1"/>
        </w:rPr>
        <w:t xml:space="preserve"> Те включват: </w:t>
      </w:r>
      <w:r>
        <w:rPr>
          <w:b/>
          <w:noProof/>
          <w:color w:val="000000" w:themeColor="text1"/>
        </w:rPr>
        <w:t>1)</w:t>
      </w:r>
      <w:r>
        <w:rPr>
          <w:noProof/>
          <w:color w:val="000000" w:themeColor="text1"/>
        </w:rPr>
        <w:t xml:space="preserve"> </w:t>
      </w:r>
      <w:r>
        <w:rPr>
          <w:b/>
          <w:noProof/>
          <w:color w:val="000000" w:themeColor="text1"/>
        </w:rPr>
        <w:t>помощи за обучение</w:t>
      </w:r>
      <w:r>
        <w:rPr>
          <w:noProof/>
          <w:color w:val="000000" w:themeColor="text1"/>
        </w:rPr>
        <w:t xml:space="preserve"> за покриване на разходите, направени от лицето, търсещо работа, или NEET по време на обучение; </w:t>
      </w:r>
      <w:r>
        <w:rPr>
          <w:b/>
          <w:noProof/>
          <w:color w:val="000000" w:themeColor="text1"/>
        </w:rPr>
        <w:t>2) помощи за мобилност</w:t>
      </w:r>
      <w:r>
        <w:rPr>
          <w:noProof/>
          <w:color w:val="000000" w:themeColor="text1"/>
        </w:rPr>
        <w:t xml:space="preserve"> за съдействие за намиране на работа на по-отдалечено място; </w:t>
      </w:r>
      <w:r>
        <w:rPr>
          <w:b/>
          <w:noProof/>
          <w:color w:val="000000" w:themeColor="text1"/>
        </w:rPr>
        <w:t xml:space="preserve">3) </w:t>
      </w:r>
      <w:r>
        <w:rPr>
          <w:rStyle w:val="shorttext"/>
          <w:b/>
          <w:noProof/>
          <w:color w:val="000000" w:themeColor="text1"/>
        </w:rPr>
        <w:t>помощи за връщане в образователната сис</w:t>
      </w:r>
      <w:r>
        <w:rPr>
          <w:rStyle w:val="shorttext"/>
          <w:b/>
          <w:noProof/>
          <w:color w:val="000000" w:themeColor="text1"/>
        </w:rPr>
        <w:t>тема</w:t>
      </w:r>
      <w:r>
        <w:rPr>
          <w:noProof/>
          <w:color w:val="000000" w:themeColor="text1"/>
        </w:rPr>
        <w:t xml:space="preserve">, които ще бъдат изплащани в продължение на не повече от 12 месеца и ще зависят от предоставянето от кандидата на доказателство, че е записан в курс, предлаган от висше учебно заведение; </w:t>
      </w:r>
      <w:r>
        <w:rPr>
          <w:b/>
          <w:noProof/>
          <w:color w:val="000000" w:themeColor="text1"/>
        </w:rPr>
        <w:t>4) помощи за търсене на работа</w:t>
      </w:r>
      <w:r>
        <w:rPr>
          <w:noProof/>
          <w:color w:val="000000" w:themeColor="text1"/>
        </w:rPr>
        <w:t xml:space="preserve"> с цел подпомагане на търсещите раб</w:t>
      </w:r>
      <w:r>
        <w:rPr>
          <w:noProof/>
          <w:color w:val="000000" w:themeColor="text1"/>
        </w:rPr>
        <w:t xml:space="preserve">ота лица и на NEET да покриват разходите за участие в дейности, свързани с търсенето на работа; </w:t>
      </w:r>
      <w:r>
        <w:rPr>
          <w:b/>
          <w:noProof/>
          <w:color w:val="000000" w:themeColor="text1"/>
        </w:rPr>
        <w:t>5) помощи за предприемачество</w:t>
      </w:r>
      <w:r>
        <w:rPr>
          <w:noProof/>
        </w:rPr>
        <w:t xml:space="preserve"> за покриване на разходите на търсещите работа лица по време на участието им в дейности, свързани с търсенето на работа, които ще з</w:t>
      </w:r>
      <w:r>
        <w:rPr>
          <w:noProof/>
        </w:rPr>
        <w:t>ависят от представянето от кандидата на самостоятелен или колективен проект за самостоятелна заетост.</w:t>
      </w:r>
    </w:p>
    <w:p w:rsidR="00D71FD6" w:rsidRDefault="00587BA3">
      <w:pPr>
        <w:pStyle w:val="ManualNumPar1"/>
        <w:rPr>
          <w:noProof/>
        </w:rPr>
      </w:pPr>
      <w:bookmarkStart w:id="3" w:name="_Ref372214242"/>
      <w:r>
        <w:t>28.</w:t>
      </w:r>
      <w:r>
        <w:tab/>
      </w:r>
      <w:r>
        <w:rPr>
          <w:noProof/>
        </w:rPr>
        <w:t>Персонализираните услуги, които ще се предоставят на NEET, се състоят от същите действия като тези за съкратените работници.</w:t>
      </w:r>
    </w:p>
    <w:p w:rsidR="00D71FD6" w:rsidRDefault="00587BA3">
      <w:pPr>
        <w:pStyle w:val="ManualNumPar1"/>
        <w:rPr>
          <w:noProof/>
        </w:rPr>
      </w:pPr>
      <w:r>
        <w:t>29.</w:t>
      </w:r>
      <w:r>
        <w:tab/>
      </w:r>
      <w:r>
        <w:rPr>
          <w:noProof/>
        </w:rPr>
        <w:t>Предложените действия</w:t>
      </w:r>
      <w:r>
        <w:rPr>
          <w:noProof/>
        </w:rPr>
        <w:t>, описани в настоящия документ, представляват активни мерки на пазара на труда в рамките на допустимите действия, посочени в член 7 от Регламента за ЕФПГ. Тези действия не заместват пасивните мерки за социална закрила.</w:t>
      </w:r>
    </w:p>
    <w:p w:rsidR="00D71FD6" w:rsidRDefault="00587BA3">
      <w:pPr>
        <w:pStyle w:val="ManualNumPar1"/>
        <w:rPr>
          <w:noProof/>
        </w:rPr>
      </w:pPr>
      <w:r>
        <w:t>30.</w:t>
      </w:r>
      <w:r>
        <w:tab/>
      </w:r>
      <w:r>
        <w:rPr>
          <w:noProof/>
        </w:rPr>
        <w:t xml:space="preserve">Белгийските органи предоставиха </w:t>
      </w:r>
      <w:r>
        <w:rPr>
          <w:noProof/>
        </w:rPr>
        <w:t>поисканата информация относно действията, които са задължителни за засегнатото предприятие по силата на националното законодателство или в съответствие с колективни споразумения. Потвърдено беше, че финансовото участие от ЕФПГ няма да замени тези действия.</w:t>
      </w:r>
      <w:bookmarkEnd w:id="3"/>
    </w:p>
    <w:p w:rsidR="00D71FD6" w:rsidRDefault="00587BA3">
      <w:pPr>
        <w:pStyle w:val="ManualHeading3"/>
        <w:rPr>
          <w:noProof/>
        </w:rPr>
      </w:pPr>
      <w:r>
        <w:rPr>
          <w:noProof/>
        </w:rPr>
        <w:t>Прогнозен бюджет</w:t>
      </w:r>
    </w:p>
    <w:p w:rsidR="00D71FD6" w:rsidRDefault="00587BA3">
      <w:pPr>
        <w:pStyle w:val="ManualNumPar1"/>
        <w:rPr>
          <w:noProof/>
        </w:rPr>
      </w:pPr>
      <w:r>
        <w:t>31.</w:t>
      </w:r>
      <w:r>
        <w:tab/>
      </w:r>
      <w:r>
        <w:rPr>
          <w:noProof/>
        </w:rPr>
        <w:t xml:space="preserve">Прогнозните общи разходи са 7 702 694 EUR и обхващат разходи за персонализирани услуги в размер на </w:t>
      </w:r>
      <w:r>
        <w:rPr>
          <w:noProof/>
          <w:color w:val="000000" w:themeColor="text1"/>
        </w:rPr>
        <w:t>7 575 294</w:t>
      </w:r>
      <w:r>
        <w:rPr>
          <w:noProof/>
        </w:rPr>
        <w:t xml:space="preserve"> EUR и разходи за дейности по подготовка, управление, информация и публичност, контрол и докладване в размер на </w:t>
      </w:r>
      <w:r>
        <w:rPr>
          <w:noProof/>
          <w:color w:val="000000" w:themeColor="text1"/>
        </w:rPr>
        <w:t>127 400</w:t>
      </w:r>
      <w:r>
        <w:rPr>
          <w:noProof/>
        </w:rPr>
        <w:t> EUR.</w:t>
      </w:r>
    </w:p>
    <w:p w:rsidR="00D71FD6" w:rsidRDefault="00587BA3">
      <w:pPr>
        <w:pStyle w:val="ManualNumPar1"/>
        <w:rPr>
          <w:noProof/>
        </w:rPr>
      </w:pPr>
      <w:bookmarkStart w:id="4" w:name="_Ref372550770"/>
      <w:r>
        <w:t>3</w:t>
      </w:r>
      <w:r>
        <w:t>2.</w:t>
      </w:r>
      <w:r>
        <w:tab/>
      </w:r>
      <w:r>
        <w:rPr>
          <w:noProof/>
        </w:rPr>
        <w:t>Общият размер на заявеното финансово участие от ЕФПГ възлиза на 4 </w:t>
      </w:r>
      <w:r>
        <w:rPr>
          <w:noProof/>
          <w:color w:val="222222"/>
        </w:rPr>
        <w:t>621 616</w:t>
      </w:r>
      <w:r>
        <w:rPr>
          <w:noProof/>
        </w:rPr>
        <w:t xml:space="preserve"> EUR (60 % от общия размер на разходите).</w:t>
      </w:r>
      <w:bookmarkEnd w:id="4"/>
    </w:p>
    <w:p w:rsidR="00D71FD6" w:rsidRDefault="00D71FD6">
      <w:pPr>
        <w:pStyle w:val="Text1"/>
        <w:rPr>
          <w:noProof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1548"/>
        <w:gridCol w:w="1548"/>
        <w:gridCol w:w="1548"/>
      </w:tblGrid>
      <w:tr w:rsidR="00D71FD6">
        <w:tc>
          <w:tcPr>
            <w:tcW w:w="4643" w:type="dxa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Действия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Прогнозен брой участници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Прогнозни разходи за един участник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i/>
                <w:noProof/>
                <w:sz w:val="22"/>
              </w:rPr>
              <w:t>(EUR)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прогнозни разходи</w:t>
            </w:r>
          </w:p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(EUR)</w:t>
            </w:r>
            <w:r>
              <w:rPr>
                <w:rStyle w:val="FootnoteReference"/>
                <w:i/>
                <w:noProof/>
                <w:sz w:val="22"/>
              </w:rPr>
              <w:footnoteReference w:id="17"/>
            </w:r>
            <w:r>
              <w:rPr>
                <w:i/>
                <w:noProof/>
                <w:sz w:val="22"/>
              </w:rPr>
              <w:t xml:space="preserve"> </w:t>
            </w:r>
          </w:p>
        </w:tc>
      </w:tr>
      <w:tr w:rsidR="00D71FD6">
        <w:tc>
          <w:tcPr>
            <w:tcW w:w="9287" w:type="dxa"/>
            <w:gridSpan w:val="4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Персонализирани услуги </w:t>
            </w:r>
            <w:r>
              <w:rPr>
                <w:noProof/>
                <w:sz w:val="22"/>
              </w:rPr>
              <w:t>(действия по член 7, параграф 1, букви а) и в) от Регламента за ЕФПГ)</w:t>
            </w:r>
          </w:p>
        </w:tc>
      </w:tr>
      <w:tr w:rsidR="00D71FD6">
        <w:trPr>
          <w:trHeight w:val="80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Предоставяне на съвети и други подготвителни мерки (</w:t>
            </w:r>
            <w:r>
              <w:rPr>
                <w:i/>
                <w:noProof/>
              </w:rPr>
              <w:t>Reconversion</w:t>
            </w:r>
            <w:r>
              <w:rPr>
                <w:noProof/>
              </w:rPr>
              <w:t>:</w:t>
            </w:r>
            <w:r>
              <w:rPr>
                <w:i/>
                <w:noProof/>
              </w:rPr>
              <w:t xml:space="preserve"> accompagnement/orientation/insertion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2 587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1 852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4 790 323</w:t>
            </w:r>
          </w:p>
        </w:tc>
      </w:tr>
      <w:tr w:rsidR="00D71FD6">
        <w:trPr>
          <w:trHeight w:val="80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Обучение и преквалификация</w:t>
            </w:r>
          </w:p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noProof/>
              </w:rPr>
              <w:t>Formations spécifiques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1 050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841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883 265</w:t>
            </w:r>
          </w:p>
        </w:tc>
      </w:tr>
      <w:tr w:rsidR="00D71FD6">
        <w:trPr>
          <w:trHeight w:val="80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Насърчаване на предприемачеството</w:t>
            </w:r>
          </w:p>
          <w:p w:rsidR="00D71FD6" w:rsidRDefault="00587BA3">
            <w:pPr>
              <w:spacing w:before="60" w:after="60"/>
              <w:jc w:val="left"/>
              <w:rPr>
                <w:i/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noProof/>
              </w:rPr>
              <w:t>Dispositif d'accompagnement à l'entreprenariat)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115 743</w:t>
            </w:r>
          </w:p>
        </w:tc>
      </w:tr>
      <w:tr w:rsidR="00D71FD6">
        <w:trPr>
          <w:trHeight w:val="80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Безвъзмездни средства за започване на стопанска дейност</w:t>
            </w:r>
          </w:p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noProof/>
              </w:rPr>
              <w:t>Bourse de lancement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10 000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750 000</w:t>
            </w:r>
          </w:p>
        </w:tc>
      </w:tr>
      <w:tr w:rsidR="00D71FD6">
        <w:trPr>
          <w:trHeight w:val="398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(a):</w:t>
            </w:r>
          </w:p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Процент от пакета персонализирани услуги 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6 539 331</w:t>
            </w:r>
          </w:p>
        </w:tc>
      </w:tr>
      <w:tr w:rsidR="00D71FD6">
        <w:trPr>
          <w:trHeight w:val="397"/>
        </w:trPr>
        <w:tc>
          <w:tcPr>
            <w:tcW w:w="4643" w:type="dxa"/>
            <w:vMerge/>
            <w:shd w:val="clear" w:color="auto" w:fill="auto"/>
            <w:vAlign w:val="center"/>
          </w:tcPr>
          <w:p w:rsidR="00D71FD6" w:rsidRDefault="00D71FD6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 w:rsidR="00D71FD6" w:rsidRDefault="00D71FD6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(86,32 %)</w:t>
            </w:r>
          </w:p>
        </w:tc>
      </w:tr>
      <w:tr w:rsidR="00D71FD6">
        <w:tc>
          <w:tcPr>
            <w:tcW w:w="9287" w:type="dxa"/>
            <w:gridSpan w:val="4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Помощи и стимули (действия по член 7, параграф 1, буква б) от Регламента за ЕФПГ)</w:t>
            </w:r>
          </w:p>
        </w:tc>
      </w:tr>
      <w:tr w:rsidR="00D71FD6">
        <w:trPr>
          <w:trHeight w:val="80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Помощи за обучение, мобилност, връщане в образователната система, търсене на работа и предприемачество</w:t>
            </w:r>
          </w:p>
          <w:p w:rsidR="00D71FD6" w:rsidRDefault="00587BA3">
            <w:pPr>
              <w:spacing w:before="60" w:after="60"/>
              <w:jc w:val="left"/>
              <w:rPr>
                <w:noProof/>
              </w:rPr>
            </w:pPr>
            <w:r>
              <w:rPr>
                <w:i/>
                <w:noProof/>
              </w:rPr>
              <w:t>(formation, prime à l'emploi distant, reprise d'étude, recherche d'emploi et création d'activité)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2 587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1 035 963</w:t>
            </w:r>
          </w:p>
        </w:tc>
      </w:tr>
      <w:tr w:rsidR="00D71FD6">
        <w:trPr>
          <w:trHeight w:val="203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(б):</w:t>
            </w:r>
          </w:p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пакета персонализирани услуги: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1 035 963</w:t>
            </w:r>
          </w:p>
        </w:tc>
      </w:tr>
      <w:tr w:rsidR="00D71FD6">
        <w:trPr>
          <w:trHeight w:val="202"/>
        </w:trPr>
        <w:tc>
          <w:tcPr>
            <w:tcW w:w="4643" w:type="dxa"/>
            <w:vMerge/>
            <w:shd w:val="clear" w:color="auto" w:fill="auto"/>
            <w:vAlign w:val="center"/>
          </w:tcPr>
          <w:p w:rsidR="00D71FD6" w:rsidRDefault="00D71FD6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 w:rsidR="00D71FD6" w:rsidRDefault="00D71FD6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(13,68 %)</w:t>
            </w:r>
          </w:p>
        </w:tc>
      </w:tr>
      <w:tr w:rsidR="00D71FD6">
        <w:tc>
          <w:tcPr>
            <w:tcW w:w="9287" w:type="dxa"/>
            <w:gridSpan w:val="4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Действия по член 7, параграф 4 от Регламента за </w:t>
            </w:r>
            <w:r>
              <w:rPr>
                <w:noProof/>
                <w:sz w:val="22"/>
              </w:rPr>
              <w:t>ЕФПГ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 Подготвителни дейности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82 000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2. Управление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10 400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3. Информация и публичност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5 000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4. Контрол и докладване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 30 000</w:t>
            </w:r>
          </w:p>
        </w:tc>
      </w:tr>
      <w:tr w:rsidR="00D71FD6">
        <w:trPr>
          <w:trHeight w:val="203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(в):</w:t>
            </w:r>
          </w:p>
          <w:p w:rsidR="00D71FD6" w:rsidRDefault="00587BA3"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общите разходи: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 w:rsidR="00D71FD6" w:rsidRDefault="00587BA3"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127 400</w:t>
            </w:r>
          </w:p>
        </w:tc>
      </w:tr>
      <w:tr w:rsidR="00D71FD6">
        <w:trPr>
          <w:trHeight w:val="202"/>
        </w:trPr>
        <w:tc>
          <w:tcPr>
            <w:tcW w:w="4643" w:type="dxa"/>
            <w:vMerge/>
            <w:shd w:val="clear" w:color="auto" w:fill="auto"/>
          </w:tcPr>
          <w:p w:rsidR="00D71FD6" w:rsidRDefault="00D71FD6">
            <w:pPr>
              <w:spacing w:before="0" w:after="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 w:rsidR="00D71FD6" w:rsidRDefault="00D71FD6"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 w:rsidR="00D71FD6" w:rsidRDefault="00587BA3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(1,65 %)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разходи (а + б + в):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7 702 694</w:t>
            </w:r>
          </w:p>
        </w:tc>
      </w:tr>
      <w:tr w:rsidR="00D71FD6">
        <w:tc>
          <w:tcPr>
            <w:tcW w:w="4643" w:type="dxa"/>
            <w:shd w:val="clear" w:color="auto" w:fill="auto"/>
          </w:tcPr>
          <w:p w:rsidR="00D71FD6" w:rsidRDefault="00587BA3"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Финансово </w:t>
            </w:r>
            <w:r>
              <w:rPr>
                <w:noProof/>
                <w:sz w:val="22"/>
              </w:rPr>
              <w:t>участие от ЕФПГ (60 % от общия размер на разходите)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D71FD6" w:rsidRDefault="00587BA3"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 w:rsidR="00D71FD6" w:rsidRDefault="00587BA3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4 621 616</w:t>
            </w:r>
          </w:p>
        </w:tc>
      </w:tr>
    </w:tbl>
    <w:p w:rsidR="00D71FD6" w:rsidRDefault="00587BA3">
      <w:pPr>
        <w:pStyle w:val="ManualNumPar1"/>
        <w:rPr>
          <w:noProof/>
          <w:szCs w:val="20"/>
        </w:rPr>
      </w:pPr>
      <w:r>
        <w:t>33.</w:t>
      </w:r>
      <w:r>
        <w:tab/>
      </w:r>
      <w:r>
        <w:rPr>
          <w:noProof/>
        </w:rPr>
        <w:t xml:space="preserve">Разходите за действията, определени в таблицата по-горе като дейности по член 7, параграф 1, буква б) от Регламента за ЕФПГ, не надвишават 35 % от общите разходи за съгласувания пакет от </w:t>
      </w:r>
      <w:r>
        <w:rPr>
          <w:noProof/>
        </w:rPr>
        <w:t>персонализирани услуги. Белгия потвърди, че тези действия са обвързани с активното участие на бенефициерите от целевата група в дейности по търсене на работа или обучение.</w:t>
      </w:r>
    </w:p>
    <w:p w:rsidR="00D71FD6" w:rsidRDefault="00587BA3">
      <w:pPr>
        <w:pStyle w:val="ManualNumPar1"/>
        <w:rPr>
          <w:noProof/>
        </w:rPr>
      </w:pPr>
      <w:r>
        <w:t>34.</w:t>
      </w:r>
      <w:r>
        <w:tab/>
      </w:r>
      <w:r>
        <w:rPr>
          <w:noProof/>
        </w:rPr>
        <w:t>Белгийските органи потвърдиха, че разходите за инвестиции за самостоятелна заето</w:t>
      </w:r>
      <w:r>
        <w:rPr>
          <w:noProof/>
        </w:rPr>
        <w:t xml:space="preserve">ст, започване на стопанска дейност и придобиване от служителите няма да надхвърлят сумата от 15 000 EUR за бенефициер. </w:t>
      </w:r>
    </w:p>
    <w:p w:rsidR="00D71FD6" w:rsidRDefault="00587BA3">
      <w:pPr>
        <w:pStyle w:val="ManualHeading3"/>
        <w:rPr>
          <w:noProof/>
        </w:rPr>
      </w:pPr>
      <w:r>
        <w:rPr>
          <w:noProof/>
        </w:rPr>
        <w:t>Период на допустимост на разходите</w:t>
      </w:r>
    </w:p>
    <w:p w:rsidR="00D71FD6" w:rsidRDefault="00587BA3">
      <w:pPr>
        <w:pStyle w:val="ManualNumPar1"/>
        <w:rPr>
          <w:noProof/>
        </w:rPr>
      </w:pPr>
      <w:r>
        <w:t>35.</w:t>
      </w:r>
      <w:r>
        <w:tab/>
      </w:r>
      <w:r>
        <w:rPr>
          <w:noProof/>
        </w:rPr>
        <w:t>Белгийските органи са започнали да предоставят персонализирани услуги на бенефициерите от целеват</w:t>
      </w:r>
      <w:r>
        <w:rPr>
          <w:noProof/>
        </w:rPr>
        <w:t>а група на 22 октомври 2016 г. По тази причина разходите за действията са допустими за предоставяне на финансово участие от ЕФПГ в периода от 22 октомври 2016 г. до 18 декември 2019 г.</w:t>
      </w:r>
    </w:p>
    <w:p w:rsidR="00D71FD6" w:rsidRDefault="00587BA3">
      <w:pPr>
        <w:pStyle w:val="ManualNumPar1"/>
        <w:rPr>
          <w:noProof/>
        </w:rPr>
      </w:pPr>
      <w:r>
        <w:t>36.</w:t>
      </w:r>
      <w:r>
        <w:tab/>
      </w:r>
      <w:r>
        <w:rPr>
          <w:noProof/>
        </w:rPr>
        <w:t>Белгийските органи са започнали да извършват административни разход</w:t>
      </w:r>
      <w:r>
        <w:rPr>
          <w:noProof/>
        </w:rPr>
        <w:t xml:space="preserve">и по прилагането на ЕФПГ на 5 септември 2016 г. По тази причина разходите за дейности по подготовка, управление, информация и публичност, контрол и докладване са допустими за финансово участие от ЕФПГ в периода от 5 септември 2016 г. до 18 юни 2020 г. </w:t>
      </w:r>
    </w:p>
    <w:p w:rsidR="00D71FD6" w:rsidRDefault="00587BA3">
      <w:pPr>
        <w:pStyle w:val="ManualHeading3"/>
        <w:rPr>
          <w:i w:val="0"/>
          <w:noProof/>
        </w:rPr>
      </w:pPr>
      <w:r>
        <w:rPr>
          <w:noProof/>
        </w:rPr>
        <w:t>Доп</w:t>
      </w:r>
      <w:r>
        <w:rPr>
          <w:noProof/>
        </w:rPr>
        <w:t>ълнителни действия, финансирани с национални средства или със средства от Съюза</w:t>
      </w:r>
    </w:p>
    <w:p w:rsidR="00D71FD6" w:rsidRDefault="00587BA3">
      <w:pPr>
        <w:pStyle w:val="ManualNumPar1"/>
        <w:rPr>
          <w:noProof/>
        </w:rPr>
      </w:pPr>
      <w:r>
        <w:t>37.</w:t>
      </w:r>
      <w:r>
        <w:tab/>
      </w:r>
      <w:r>
        <w:rPr>
          <w:noProof/>
        </w:rPr>
        <w:t>Източниците на национално предварително финансиране или съфинансиране са публичната служба по заетостта на регион Валония (FOREM) и регион Валония.</w:t>
      </w:r>
    </w:p>
    <w:p w:rsidR="00D71FD6" w:rsidRDefault="00587BA3">
      <w:pPr>
        <w:pStyle w:val="ManualNumPar1"/>
        <w:rPr>
          <w:noProof/>
        </w:rPr>
      </w:pPr>
      <w:r>
        <w:t>38.</w:t>
      </w:r>
      <w:r>
        <w:tab/>
      </w:r>
      <w:r>
        <w:rPr>
          <w:noProof/>
        </w:rPr>
        <w:t>Белгийските органи с</w:t>
      </w:r>
      <w:r>
        <w:rPr>
          <w:noProof/>
        </w:rPr>
        <w:t>а потвърдили, че описаните по-горе мерки, за които се предоставя финансово участие от ЕФПГ, няма да получат финансова подкрепа от други финансови инструменти на Съюза.</w:t>
      </w:r>
    </w:p>
    <w:p w:rsidR="00D71FD6" w:rsidRDefault="00587BA3">
      <w:pPr>
        <w:pStyle w:val="ManualHeading3"/>
        <w:tabs>
          <w:tab w:val="clear" w:pos="850"/>
          <w:tab w:val="left" w:pos="0"/>
        </w:tabs>
        <w:ind w:left="0" w:firstLine="0"/>
        <w:rPr>
          <w:noProof/>
          <w:u w:val="single"/>
        </w:rPr>
      </w:pPr>
      <w:r>
        <w:rPr>
          <w:noProof/>
        </w:rPr>
        <w:t xml:space="preserve">Процедури за провеждане на консултации с бенефициерите от целевата група, с техните </w:t>
      </w:r>
      <w:r>
        <w:rPr>
          <w:noProof/>
        </w:rPr>
        <w:t>представители или със социалните партньори, както и със съответните органи на местно и регионално равнище</w:t>
      </w:r>
    </w:p>
    <w:p w:rsidR="00D71FD6" w:rsidRDefault="00587BA3">
      <w:pPr>
        <w:pStyle w:val="ManualNumPar1"/>
        <w:rPr>
          <w:noProof/>
        </w:rPr>
      </w:pPr>
      <w:r>
        <w:t>39.</w:t>
      </w:r>
      <w:r>
        <w:tab/>
      </w:r>
      <w:r>
        <w:rPr>
          <w:noProof/>
        </w:rPr>
        <w:t>Белгия посочи, че координираният пакет от персонализирани услуги е бил изготвен в консултация с работна група, в която са били включени публичната</w:t>
      </w:r>
      <w:r>
        <w:rPr>
          <w:noProof/>
        </w:rPr>
        <w:t xml:space="preserve"> служба по заетостта на регион Валония, SOGEPA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, представители на професионалните съюзи и други социални партньори. </w:t>
      </w:r>
    </w:p>
    <w:p w:rsidR="00D71FD6" w:rsidRDefault="00587BA3">
      <w:pPr>
        <w:pStyle w:val="ManualHeading2"/>
        <w:rPr>
          <w:b w:val="0"/>
          <w:i/>
          <w:noProof/>
        </w:rPr>
      </w:pPr>
      <w:r>
        <w:rPr>
          <w:b w:val="0"/>
          <w:i/>
          <w:noProof/>
        </w:rPr>
        <w:t>Системи за управление и контрол</w:t>
      </w:r>
    </w:p>
    <w:p w:rsidR="00D71FD6" w:rsidRDefault="00587BA3">
      <w:pPr>
        <w:pStyle w:val="ManualNumPar1"/>
        <w:rPr>
          <w:noProof/>
        </w:rPr>
      </w:pPr>
      <w:r>
        <w:t>40.</w:t>
      </w:r>
      <w:r>
        <w:tab/>
      </w:r>
      <w:r>
        <w:rPr>
          <w:noProof/>
        </w:rPr>
        <w:t xml:space="preserve">Белгия уведоми Комисията, че финансовото участие ще бъде управлявано и контролирано от същите органи, </w:t>
      </w:r>
      <w:r>
        <w:rPr>
          <w:noProof/>
        </w:rPr>
        <w:t>които отговарят за Европейския социален фонд (ЕСФ).</w:t>
      </w:r>
    </w:p>
    <w:p w:rsidR="00D71FD6" w:rsidRDefault="00587BA3">
      <w:pPr>
        <w:pStyle w:val="ManualHeading2"/>
        <w:rPr>
          <w:b w:val="0"/>
          <w:i/>
          <w:noProof/>
        </w:rPr>
      </w:pPr>
      <w:r>
        <w:rPr>
          <w:b w:val="0"/>
          <w:i/>
          <w:noProof/>
        </w:rPr>
        <w:t>Ангажименти, поети от засегнатата държава членка</w:t>
      </w:r>
    </w:p>
    <w:p w:rsidR="00D71FD6" w:rsidRDefault="00587BA3">
      <w:pPr>
        <w:pStyle w:val="ManualNumPar1"/>
        <w:rPr>
          <w:noProof/>
        </w:rPr>
      </w:pPr>
      <w:r>
        <w:t>41.</w:t>
      </w:r>
      <w:r>
        <w:tab/>
      </w:r>
      <w:r>
        <w:rPr>
          <w:noProof/>
        </w:rPr>
        <w:t xml:space="preserve">Белгийските органи са предоставили всички необходими гаранции за това, че: 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при достъпа до предложените действия и тяхното изпълнение ще се спазват при</w:t>
      </w:r>
      <w:r>
        <w:rPr>
          <w:noProof/>
        </w:rPr>
        <w:t>нципите на равнопоставеност и недискриминация;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са спазени изискванията, определени в националното законодателство и в законодателството на ЕС относно колективните съкращения;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когато дружеството, извършило съкращенията, е продължило дейността си след освобо</w:t>
      </w:r>
      <w:r>
        <w:rPr>
          <w:noProof/>
        </w:rPr>
        <w:t>ждаването на работниците, то е спазило своите правни задължения във връзка със съкращенията и е предприело съответните действия във връзка с работниците си;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за предложените действия няма да бъде получена финансова помощ от други фондове или финансови инстр</w:t>
      </w:r>
      <w:r>
        <w:rPr>
          <w:noProof/>
        </w:rPr>
        <w:t>ументи на Съюза и няма да бъде допуснато дублиране на финансирането;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предложените действия ще допълват други действия, финансирани от структурните фондове;</w:t>
      </w:r>
    </w:p>
    <w:p w:rsidR="00D71FD6" w:rsidRDefault="00587BA3">
      <w:pPr>
        <w:pStyle w:val="Tiret1"/>
        <w:rPr>
          <w:noProof/>
        </w:rPr>
      </w:pPr>
      <w:r>
        <w:rPr>
          <w:noProof/>
        </w:rPr>
        <w:t>финансовото участие от ЕФПГ ще бъде съобразено с процедурните и материалноправните разпоредби на Съю</w:t>
      </w:r>
      <w:r>
        <w:rPr>
          <w:noProof/>
        </w:rPr>
        <w:t>за относно държавните помощи.</w:t>
      </w:r>
    </w:p>
    <w:p w:rsidR="00D71FD6" w:rsidRDefault="00587BA3">
      <w:pPr>
        <w:pStyle w:val="ManualHeading1"/>
        <w:rPr>
          <w:noProof/>
        </w:rPr>
      </w:pPr>
      <w:r>
        <w:rPr>
          <w:noProof/>
        </w:rPr>
        <w:t>ОТРАЖЕНИЕ ВЪРХУ БЮДЖЕТА</w:t>
      </w:r>
    </w:p>
    <w:p w:rsidR="00D71FD6" w:rsidRDefault="00587BA3">
      <w:pPr>
        <w:pStyle w:val="ManualHeading2"/>
        <w:rPr>
          <w:b w:val="0"/>
          <w:i/>
          <w:noProof/>
        </w:rPr>
      </w:pPr>
      <w:r>
        <w:rPr>
          <w:b w:val="0"/>
          <w:i/>
          <w:noProof/>
        </w:rPr>
        <w:t>Бюджетно предложение</w:t>
      </w:r>
    </w:p>
    <w:p w:rsidR="00D71FD6" w:rsidRDefault="00587BA3">
      <w:pPr>
        <w:pStyle w:val="ManualNumPar1"/>
        <w:rPr>
          <w:noProof/>
        </w:rPr>
      </w:pPr>
      <w:r>
        <w:t>42.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 от 2 декември 2013 г. за определяне на многогодишната финансова рамка за годините 2014—2</w:t>
      </w:r>
      <w:r>
        <w:rPr>
          <w:noProof/>
        </w:rPr>
        <w:t>020 ЕФПГ не може да надхвърля максимален годишен размер от 150 милиона евро (по цени от 2011 г.)</w:t>
      </w:r>
      <w:r>
        <w:rPr>
          <w:rStyle w:val="FootnoteReference"/>
          <w:noProof/>
        </w:rPr>
        <w:footnoteReference w:id="19"/>
      </w:r>
      <w:r>
        <w:rPr>
          <w:noProof/>
        </w:rPr>
        <w:t>.</w:t>
      </w:r>
    </w:p>
    <w:p w:rsidR="00D71FD6" w:rsidRDefault="00587BA3">
      <w:pPr>
        <w:pStyle w:val="ManualNumPar1"/>
        <w:rPr>
          <w:rFonts w:eastAsia="Calibri"/>
          <w:noProof/>
        </w:rPr>
      </w:pPr>
      <w:r>
        <w:t>43.</w:t>
      </w:r>
      <w:r>
        <w:tab/>
      </w:r>
      <w:r>
        <w:rPr>
          <w:noProof/>
        </w:rPr>
        <w:t>След като проучи заявлението с оглед на условията, определени в член 13, параграф 1 от Регламента за ЕФПГ, и като отчете броя на бенефициерите от целеват</w:t>
      </w:r>
      <w:r>
        <w:rPr>
          <w:noProof/>
        </w:rPr>
        <w:t>а група, предложените действия и прогнозните разходи, Комисията предлага да бъдат мобилизирани средства от ЕФПГ в размер на 4 621 616 EUR, което представлява 60 % от общите разходи за предложените действия, за предоставяне на финансово участие по заявление</w:t>
      </w:r>
      <w:r>
        <w:rPr>
          <w:noProof/>
        </w:rPr>
        <w:t>то.</w:t>
      </w:r>
    </w:p>
    <w:p w:rsidR="00D71FD6" w:rsidRDefault="00587BA3">
      <w:pPr>
        <w:pStyle w:val="ManualNumPar1"/>
        <w:rPr>
          <w:rFonts w:eastAsia="Times New Roman"/>
          <w:noProof/>
        </w:rPr>
      </w:pPr>
      <w:r>
        <w:t>44.</w:t>
      </w:r>
      <w:r>
        <w:tab/>
      </w:r>
      <w:r>
        <w:rPr>
          <w:noProof/>
        </w:rPr>
        <w:t>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 13 от Междуинституционалното споразумение от 2 декември 2013 г. между Европейския парламент, Съ</w:t>
      </w:r>
      <w:r>
        <w:rPr>
          <w:noProof/>
        </w:rPr>
        <w:t>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20"/>
      </w:r>
      <w:r>
        <w:rPr>
          <w:noProof/>
        </w:rPr>
        <w:t>.</w:t>
      </w:r>
    </w:p>
    <w:p w:rsidR="00D71FD6" w:rsidRDefault="00587BA3">
      <w:pPr>
        <w:pStyle w:val="ManualHeading2"/>
        <w:rPr>
          <w:b w:val="0"/>
          <w:i/>
          <w:noProof/>
        </w:rPr>
      </w:pPr>
      <w:r>
        <w:rPr>
          <w:b w:val="0"/>
          <w:i/>
          <w:noProof/>
        </w:rPr>
        <w:t>Свързани актове</w:t>
      </w:r>
    </w:p>
    <w:p w:rsidR="00D71FD6" w:rsidRDefault="00587BA3">
      <w:pPr>
        <w:pStyle w:val="ManualNumPar1"/>
        <w:rPr>
          <w:noProof/>
        </w:rPr>
      </w:pPr>
      <w:r>
        <w:t>45.</w:t>
      </w:r>
      <w:r>
        <w:tab/>
      </w:r>
      <w:r>
        <w:rPr>
          <w:noProof/>
        </w:rPr>
        <w:t>Едновременно с представянето на настоящото предложение за решение за мобилизиране на средства от ЕФПГ Комисията ще пре</w:t>
      </w:r>
      <w:r>
        <w:rPr>
          <w:noProof/>
        </w:rPr>
        <w:t>дстави на Европейския парламент и на Съвета предложение за прехвърляне към съответния бюджетен ред на сумата от 4 621 616 EUR.</w:t>
      </w:r>
    </w:p>
    <w:p w:rsidR="00D71FD6" w:rsidRDefault="00587BA3">
      <w:pPr>
        <w:pStyle w:val="ManualNumPar1"/>
        <w:rPr>
          <w:noProof/>
        </w:rPr>
      </w:pPr>
      <w:r>
        <w:t>46.</w:t>
      </w:r>
      <w:r>
        <w:tab/>
      </w:r>
      <w:r>
        <w:rPr>
          <w:noProof/>
        </w:rPr>
        <w:t>Едновременно с приемането на настоящото предложение за решение за мобилизиране на средства от ЕФПГ Комисията ще приеме решени</w:t>
      </w:r>
      <w:r>
        <w:rPr>
          <w:noProof/>
        </w:rPr>
        <w:t>е за предоставяне на финансово участие посредством акт за изпълнение, който ще влезе в сила на датата, на която Европейският парламент и Съветът приемат предложеното решение за мобилизиране на средства от ЕФПГ.</w:t>
      </w:r>
    </w:p>
    <w:p w:rsidR="00D71FD6" w:rsidRDefault="00D71FD6">
      <w:pPr>
        <w:rPr>
          <w:noProof/>
        </w:rPr>
        <w:sectPr w:rsidR="00D71FD6">
          <w:footerReference w:type="default" r:id="rId16"/>
          <w:footerReference w:type="first" r:id="rId17"/>
          <w:pgSz w:w="11907" w:h="16839"/>
          <w:pgMar w:top="1134" w:right="1418" w:bottom="1134" w:left="1418" w:header="709" w:footer="709" w:gutter="0"/>
          <w:pgNumType w:start="1"/>
          <w:cols w:space="720"/>
          <w:docGrid w:linePitch="360"/>
        </w:sectPr>
      </w:pPr>
    </w:p>
    <w:p w:rsidR="00D71FD6" w:rsidRDefault="00587BA3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D71FD6" w:rsidRDefault="00587BA3"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 w:rsidR="00D71FD6" w:rsidRDefault="00587BA3">
      <w:pPr>
        <w:pStyle w:val="Titreobjet"/>
        <w:rPr>
          <w:noProof/>
        </w:rPr>
      </w:pPr>
      <w:r>
        <w:rPr>
          <w:noProof/>
        </w:rPr>
        <w:t xml:space="preserve">за мобилизиране на средства от Европейския фонд за приспособяване към глобализацията във връзка със заявление от Белгия — EGF/2017/010 BE/Caterpillar </w:t>
      </w:r>
    </w:p>
    <w:p w:rsidR="00D71FD6" w:rsidRDefault="00587BA3">
      <w:pPr>
        <w:pStyle w:val="Institutionquiagit"/>
        <w:rPr>
          <w:noProof/>
        </w:rPr>
      </w:pPr>
      <w:r>
        <w:rPr>
          <w:noProof/>
        </w:rPr>
        <w:t xml:space="preserve">ЕВРОПЕЙСКИЯТ </w:t>
      </w:r>
      <w:r>
        <w:rPr>
          <w:noProof/>
        </w:rPr>
        <w:t>ПАРЛАМЕНТ И СЪВЕТЪТ НА ЕВРОПЕЙСКИЯ СЪЮЗ,</w:t>
      </w:r>
    </w:p>
    <w:p w:rsidR="00D71FD6" w:rsidRDefault="00587BA3"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 w:rsidR="00D71FD6" w:rsidRDefault="00587BA3">
      <w:pPr>
        <w:rPr>
          <w:noProof/>
        </w:rPr>
      </w:pPr>
      <w:r>
        <w:rPr>
          <w:noProof/>
        </w:rPr>
        <w:t>като взеха предвид Регламент (EС) № 1309/2013 на Европейския парламент и на Съвета от 17 декември 2013 г. относно Европейския фонд за приспособяван</w:t>
      </w:r>
      <w:r>
        <w:rPr>
          <w:noProof/>
        </w:rPr>
        <w:t>е към глобализацията (2014—2020 г.) и за отмяна на Регламент (ЕО) № 1927/2006</w:t>
      </w:r>
      <w:r>
        <w:rPr>
          <w:rStyle w:val="FootnoteReference"/>
          <w:noProof/>
        </w:rPr>
        <w:footnoteReference w:id="21"/>
      </w:r>
      <w:r>
        <w:rPr>
          <w:noProof/>
        </w:rPr>
        <w:t>, и по-специално член 15, параграф 4 от него,</w:t>
      </w:r>
    </w:p>
    <w:p w:rsidR="00D71FD6" w:rsidRDefault="00587BA3"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</w:t>
      </w:r>
      <w:r>
        <w:rPr>
          <w:noProof/>
        </w:rPr>
        <w:t xml:space="preserve">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22"/>
      </w:r>
      <w:r>
        <w:rPr>
          <w:noProof/>
        </w:rPr>
        <w:t>, и по-специално точка 13 от него,</w:t>
      </w:r>
    </w:p>
    <w:p w:rsidR="00D71FD6" w:rsidRDefault="00587BA3"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 w:rsidR="00D71FD6" w:rsidRDefault="00587BA3">
      <w:pPr>
        <w:rPr>
          <w:noProof/>
        </w:rPr>
      </w:pPr>
      <w:r>
        <w:rPr>
          <w:noProof/>
        </w:rPr>
        <w:t>като има предвид, че:</w:t>
      </w:r>
    </w:p>
    <w:p w:rsidR="00D71FD6" w:rsidRDefault="00587BA3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фонд за приспособяване към глоба</w:t>
      </w:r>
      <w:r>
        <w:rPr>
          <w:noProof/>
        </w:rPr>
        <w:t>лизацията (ЕФПГ) е създаден с цел оказване на подкрепа на съкратени работници и самостоятелно заети лица, чиято дейност е прекратена в резултат на големи структурни промени в моделите на световната търговия вследствие на глобализацията, в резултат на продъ</w:t>
      </w:r>
      <w:r>
        <w:rPr>
          <w:noProof/>
        </w:rPr>
        <w:t>лжаване на световната финансова и икономическа криза или в резултат на нова световна финансова и икономическа криза, както и с цел подпомагане на тяхната реинтеграция на пазара на труда.</w:t>
      </w:r>
    </w:p>
    <w:p w:rsidR="00D71FD6" w:rsidRDefault="00587BA3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предвиденото в член 12 от Регламент (ЕС, Евратом</w:t>
      </w:r>
      <w:r>
        <w:rPr>
          <w:noProof/>
        </w:rPr>
        <w:t>) № 1311/2013 на Съвета ЕФПГ не може да надхвърля максимален годишен размер от 150 милиона евро (по цени от 2011 г.)</w:t>
      </w:r>
      <w:r>
        <w:rPr>
          <w:rStyle w:val="FootnoteReference"/>
          <w:noProof/>
        </w:rPr>
        <w:footnoteReference w:id="23"/>
      </w:r>
      <w:r>
        <w:rPr>
          <w:noProof/>
        </w:rPr>
        <w:t>.</w:t>
      </w:r>
    </w:p>
    <w:p w:rsidR="00D71FD6" w:rsidRDefault="00587BA3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18 декември 2017 г. Белгия подаде заявление за мобилизиране на средства от ЕФПГ с оглед на съкращенията в Caterpillar и петима дос</w:t>
      </w:r>
      <w:r>
        <w:rPr>
          <w:noProof/>
        </w:rPr>
        <w:t>тавчици и прекратяването на дейност (наричани по-нататък „съкращенията“). Към него беше предоставена допълнителна информация, както е предвидено в член 8, параграф 3 от Регламент (ЕС) № 1309/2013. Заявлението отговаря на изискванията за определяне на финан</w:t>
      </w:r>
      <w:r>
        <w:rPr>
          <w:noProof/>
        </w:rPr>
        <w:t>сово участие от ЕФПГ, установени в член 13 от Регламент (ЕС) № 1309/2013.</w:t>
      </w:r>
    </w:p>
    <w:p w:rsidR="00D71FD6" w:rsidRDefault="00587BA3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член 6, параграф 2 от Регламент (ЕС) № 1309/2013 Белгия е решила да предостави персонализирани услуги, съфинансирани от ЕФПГ, и за 300 млади хора, които не работ</w:t>
      </w:r>
      <w:r>
        <w:rPr>
          <w:noProof/>
        </w:rPr>
        <w:t>ят и не са ангажирани в никаква форма на образование или обучение (NEET).</w:t>
      </w:r>
    </w:p>
    <w:p w:rsidR="00D71FD6" w:rsidRDefault="00587BA3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това, за да бъде удовлетворено подаденото от Белгия заявление, следва да бъдат мобилизирани средства за предоставяне на финансово участие от ЕФПГ в размер на 4 </w:t>
      </w:r>
      <w:r>
        <w:rPr>
          <w:noProof/>
          <w:color w:val="222222"/>
        </w:rPr>
        <w:t>621 616</w:t>
      </w:r>
      <w:r>
        <w:rPr>
          <w:noProof/>
        </w:rPr>
        <w:t xml:space="preserve"> EUR</w:t>
      </w:r>
      <w:r>
        <w:rPr>
          <w:noProof/>
        </w:rPr>
        <w:t>.</w:t>
      </w:r>
    </w:p>
    <w:p w:rsidR="00D71FD6" w:rsidRDefault="00587BA3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За да се сведе до минимум времето, необходимо за мобилизиране на средства от ЕФПГ, настоящото решение следва да се прилага от датата на приемането му,</w:t>
      </w:r>
    </w:p>
    <w:p w:rsidR="00D71FD6" w:rsidRDefault="00587BA3"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 w:rsidR="00D71FD6" w:rsidRDefault="00587BA3">
      <w:pPr>
        <w:pStyle w:val="Titrearticle"/>
        <w:rPr>
          <w:noProof/>
        </w:rPr>
      </w:pPr>
      <w:r>
        <w:rPr>
          <w:noProof/>
        </w:rPr>
        <w:t>Член 1</w:t>
      </w:r>
    </w:p>
    <w:p w:rsidR="00D71FD6" w:rsidRDefault="00587BA3">
      <w:pPr>
        <w:rPr>
          <w:noProof/>
        </w:rPr>
      </w:pPr>
      <w:r>
        <w:rPr>
          <w:noProof/>
        </w:rPr>
        <w:t>В рамките на общия бюджет на Съюза за финансовата 2018 година от</w:t>
      </w:r>
      <w:r>
        <w:rPr>
          <w:noProof/>
        </w:rPr>
        <w:t xml:space="preserve"> Европейския фонд за приспособяване към глобализацията се мобилизират средства за предоставяне на сумата от 4 621 616 EUR под формата на бюджетни кредити за поети задължения и бюджетни кредити за плащания.</w:t>
      </w:r>
    </w:p>
    <w:p w:rsidR="00D71FD6" w:rsidRDefault="00587BA3">
      <w:pPr>
        <w:pStyle w:val="Titrearticle"/>
        <w:rPr>
          <w:noProof/>
        </w:rPr>
      </w:pPr>
      <w:r>
        <w:rPr>
          <w:noProof/>
        </w:rPr>
        <w:t>Член 2</w:t>
      </w:r>
    </w:p>
    <w:p w:rsidR="00D71FD6" w:rsidRDefault="00587BA3"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на п</w:t>
      </w:r>
      <w:r>
        <w:rPr>
          <w:noProof/>
        </w:rPr>
        <w:t xml:space="preserve">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То се прилага от </w:t>
      </w:r>
      <w:r>
        <w:rPr>
          <w:noProof/>
          <w:color w:val="FF0000"/>
        </w:rPr>
        <w:t>[</w:t>
      </w:r>
      <w:r>
        <w:rPr>
          <w:i/>
          <w:noProof/>
          <w:color w:val="FF0000"/>
        </w:rPr>
        <w:t>датата на приемането му</w:t>
      </w:r>
      <w:r>
        <w:rPr>
          <w:noProof/>
          <w:color w:val="FF0000"/>
        </w:rPr>
        <w:t>]</w:t>
      </w:r>
      <w:r>
        <w:rPr>
          <w:rStyle w:val="FootnoteReference"/>
          <w:noProof/>
          <w:color w:val="FF0000"/>
        </w:rPr>
        <w:sym w:font="Symbol" w:char="F02A"/>
      </w:r>
      <w:r>
        <w:rPr>
          <w:noProof/>
        </w:rPr>
        <w:t>.</w:t>
      </w:r>
    </w:p>
    <w:p w:rsidR="00D71FD6" w:rsidRDefault="00587BA3"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D71FD6" w:rsidRDefault="00587BA3"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 w:rsidR="00D71FD6" w:rsidRDefault="00587BA3"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 w:rsidR="00D71FD6" w:rsidSect="00587BA3">
      <w:pgSz w:w="11907" w:h="16839"/>
      <w:pgMar w:top="1134" w:right="1417" w:bottom="1134" w:left="141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D6" w:rsidRDefault="00587BA3">
      <w:pPr>
        <w:spacing w:before="0" w:after="0"/>
      </w:pPr>
      <w:r>
        <w:separator/>
      </w:r>
    </w:p>
  </w:endnote>
  <w:endnote w:type="continuationSeparator" w:id="0">
    <w:p w:rsidR="00D71FD6" w:rsidRDefault="00587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A3" w:rsidRDefault="00587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587BA3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A3" w:rsidRDefault="00587B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587BA3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D6" w:rsidRDefault="00587BA3">
      <w:pPr>
        <w:spacing w:before="0" w:after="0"/>
      </w:pPr>
      <w:r>
        <w:separator/>
      </w:r>
    </w:p>
  </w:footnote>
  <w:footnote w:type="continuationSeparator" w:id="0">
    <w:p w:rsidR="00D71FD6" w:rsidRDefault="00587BA3">
      <w:pPr>
        <w:spacing w:before="0" w:after="0"/>
      </w:pPr>
      <w:r>
        <w:continuationSeparator/>
      </w:r>
    </w:p>
  </w:footnote>
  <w:footnote w:id="1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2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По смисъла на чле</w:t>
      </w:r>
      <w:r>
        <w:t>н 3 от Регламента за ЕФПГ.</w:t>
      </w:r>
    </w:p>
  </w:footnote>
  <w:footnote w:id="3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Регламент (ЕС) № 1046/2012 на Комисията от 8 ноември 2012 г. за прилагане на Регламент (ЕО) № 1059/2003 на Европейския парламент и на Съвета за установяване на обща класификация на териториалните единици за статистически цели (</w:t>
      </w:r>
      <w:r>
        <w:t>NUTS) по отношение на предоставянето на динамичните редове според новото регионално деление (ОВ L 310, 9.11.2012 г., стр. 34).</w:t>
      </w:r>
    </w:p>
  </w:footnote>
  <w:footnote w:id="4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ОВ L 393, 30.12.2006 г., стр. 1.</w:t>
      </w:r>
    </w:p>
  </w:footnote>
  <w:footnote w:id="5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Четирима доставчици са съкратили работници в рамките на референтния период, а един е съкратил работници извън този период. </w:t>
      </w:r>
    </w:p>
  </w:footnote>
  <w:footnote w:id="6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Съгласно член 7, параграф 4 от Регламент (EС) № 1309/2013.</w:t>
      </w:r>
    </w:p>
  </w:footnote>
  <w:footnote w:id="7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От 26 % през 2003 г. на 13 % през 2013 г., </w:t>
      </w:r>
      <w:proofErr w:type="spellStart"/>
      <w:r>
        <w:t>Caterpillar</w:t>
      </w:r>
      <w:proofErr w:type="spellEnd"/>
      <w:r>
        <w:t xml:space="preserve">, съобщение на </w:t>
      </w:r>
      <w:r>
        <w:t>Съвета на директорите, 28 февруари 2013 г.</w:t>
      </w:r>
    </w:p>
  </w:footnote>
  <w:footnote w:id="8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Eвростат</w:t>
      </w:r>
      <w:proofErr w:type="spellEnd"/>
      <w:r>
        <w:t xml:space="preserve">, Годишни подробни статистически данни за предприятията по промишлени отрасли (NACE </w:t>
      </w:r>
      <w:proofErr w:type="spellStart"/>
      <w:r>
        <w:t>Rev</w:t>
      </w:r>
      <w:proofErr w:type="spellEnd"/>
      <w:r>
        <w:t>. 2, B-E).</w:t>
      </w:r>
    </w:p>
  </w:footnote>
  <w:footnote w:id="9">
    <w:p w:rsidR="00D71FD6" w:rsidRDefault="00587BA3">
      <w:pPr>
        <w:spacing w:before="0" w:after="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 xml:space="preserve">От 3,1 милиарда евро през 2014 г. на 8 милиона евро през 2016 г., </w:t>
      </w:r>
      <w:proofErr w:type="spellStart"/>
      <w:r>
        <w:rPr>
          <w:sz w:val="20"/>
        </w:rPr>
        <w:t>Евростат</w:t>
      </w:r>
      <w:proofErr w:type="spellEnd"/>
    </w:p>
    <w:p w:rsidR="00D71FD6" w:rsidRDefault="00587BA3">
      <w:pPr>
        <w:spacing w:before="0" w:after="0"/>
        <w:ind w:left="720"/>
        <w:jc w:val="left"/>
        <w:rPr>
          <w:sz w:val="20"/>
          <w:szCs w:val="20"/>
        </w:rPr>
      </w:pPr>
      <w:proofErr w:type="spellStart"/>
      <w:r>
        <w:rPr>
          <w:sz w:val="20"/>
        </w:rPr>
        <w:t>Евростат</w:t>
      </w:r>
      <w:proofErr w:type="spellEnd"/>
      <w:r>
        <w:rPr>
          <w:sz w:val="20"/>
        </w:rPr>
        <w:t>: Код DS016890.</w:t>
      </w:r>
    </w:p>
  </w:footnote>
  <w:footnote w:id="10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От</w:t>
      </w:r>
      <w:r>
        <w:t xml:space="preserve"> 25 % през 2003 на 48 % през 2013 г.</w:t>
      </w:r>
    </w:p>
  </w:footnote>
  <w:footnote w:id="11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t>http://steelbenchmarker.com/files/history.pdf</w:t>
        </w:r>
      </w:hyperlink>
    </w:p>
  </w:footnote>
  <w:footnote w:id="12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Caterpillar</w:t>
      </w:r>
      <w:proofErr w:type="spellEnd"/>
      <w:r>
        <w:t>, съобщение на Съвета на директорите, 28 февруари 2013 г.</w:t>
      </w:r>
    </w:p>
  </w:footnote>
  <w:footnote w:id="13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Изчисленията се основават на броя</w:t>
      </w:r>
      <w:r>
        <w:t xml:space="preserve"> на търсещите работа лица през декември 2016 г.</w:t>
      </w:r>
    </w:p>
  </w:footnote>
  <w:footnote w:id="14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t>https://www.leforem.be/MungoBlobs/44/644/20180212_Chiffres_SeriesStatistiquesMde201801.pdf</w:t>
        </w:r>
      </w:hyperlink>
    </w:p>
  </w:footnote>
  <w:footnote w:id="15">
    <w:p w:rsidR="00D71FD6" w:rsidRDefault="00587BA3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hyperlink r:id="rId3">
        <w:r>
          <w:rPr>
            <w:sz w:val="16"/>
          </w:rPr>
          <w:t>http://eur-lex.europa.eu/resource.html?uri=cellar:a59b6beb-7a4f-11e6-b076-01aa75ed71a1.0001.02/DOC_1&amp;format=PDF</w:t>
        </w:r>
      </w:hyperlink>
    </w:p>
  </w:footnote>
  <w:footnote w:id="16">
    <w:p w:rsidR="00D71FD6" w:rsidRDefault="00587BA3">
      <w:pPr>
        <w:pStyle w:val="FootnoteText"/>
        <w:rPr>
          <w:spacing w:val="-6"/>
        </w:rPr>
      </w:pPr>
      <w:r>
        <w:rPr>
          <w:rStyle w:val="FootnoteReference"/>
        </w:rPr>
        <w:footnoteRef/>
      </w:r>
      <w:r>
        <w:rPr>
          <w:spacing w:val="-6"/>
        </w:rPr>
        <w:tab/>
      </w:r>
      <w:r>
        <w:rPr>
          <w:spacing w:val="-6"/>
        </w:rPr>
        <w:t>План CATCH — У</w:t>
      </w:r>
      <w:r>
        <w:rPr>
          <w:spacing w:val="-6"/>
        </w:rPr>
        <w:t>скоряване на растежа на трудовата заетост в региона на Шарлероа, септември 2017 г.</w:t>
      </w:r>
    </w:p>
    <w:p w:rsidR="00D71FD6" w:rsidRDefault="00587BA3">
      <w:pPr>
        <w:pStyle w:val="FootnoteText"/>
        <w:ind w:left="0" w:firstLine="0"/>
      </w:pPr>
      <w:r>
        <w:t xml:space="preserve">    </w:t>
      </w:r>
      <w:r>
        <w:tab/>
      </w:r>
      <w:hyperlink r:id="rId4">
        <w:r>
          <w:rPr>
            <w:rStyle w:val="Hyperlink"/>
          </w:rPr>
          <w:t>http://www.catch-charleroi.be/</w:t>
        </w:r>
      </w:hyperlink>
    </w:p>
  </w:footnote>
  <w:footnote w:id="17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Общата сума не съвпада напълно поради закръгляване.</w:t>
      </w:r>
    </w:p>
  </w:footnote>
  <w:footnote w:id="18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Sogepa</w:t>
      </w:r>
      <w:proofErr w:type="spellEnd"/>
      <w:r>
        <w:t xml:space="preserve"> е инвестиционно дружеств</w:t>
      </w:r>
      <w:r>
        <w:t>о, което предоставя инвестиционни услуги и съдейства при инициативи за реорганизация на стопанската дейност, провеждани чрез надеждни и устойчиви икономически и промишлени проекти.</w:t>
      </w:r>
    </w:p>
  </w:footnote>
  <w:footnote w:id="19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ОВ L 347, 20.12.2013 г., стр. 884.</w:t>
      </w:r>
    </w:p>
  </w:footnote>
  <w:footnote w:id="20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ОВ С 373, 20.12.2013 г., стр. 1.</w:t>
      </w:r>
    </w:p>
  </w:footnote>
  <w:footnote w:id="21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</w:t>
      </w:r>
      <w:r>
        <w:t>В L 347, 20.12.2013 г., стр. 855.</w:t>
      </w:r>
    </w:p>
  </w:footnote>
  <w:footnote w:id="22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>ОВ С 373, 20.12.2013 г., стр. 1.</w:t>
      </w:r>
    </w:p>
  </w:footnote>
  <w:footnote w:id="23">
    <w:p w:rsidR="00D71FD6" w:rsidRDefault="00587BA3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(EC, </w:t>
      </w:r>
      <w:proofErr w:type="spellStart"/>
      <w:r>
        <w:t>Евратом</w:t>
      </w:r>
      <w:proofErr w:type="spellEnd"/>
      <w:r>
        <w:t>) № 1311/2013 на Съвета от 2 декември 2013 г. за определяне на многогодишната финансова рамка за годините 2014—2020 (ОВ L 347, 20.12.2013 г., стр. 884).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A3" w:rsidRDefault="00587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A3" w:rsidRDefault="00587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A3" w:rsidRDefault="00587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B686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9E46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0C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98E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2C75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9047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23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69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9 11:18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2"/>
    <w:docVar w:name="DQCResult_StructureCheck" w:val="0;0"/>
    <w:docVar w:name="DQCResult_SuperfluousWhitespace" w:val="0;11"/>
    <w:docVar w:name="DQCResult_UnknownFonts" w:val="0;0"/>
    <w:docVar w:name="DQCResult_UnknownStyles" w:val="0;3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8625DA8C-59A2-4E35-96BF-3373073E8259"/>
    <w:docVar w:name="LW_COVERPAGE_TYPE" w:val="1"/>
    <w:docVar w:name="LW_CROSSREFERENCE" w:val="&lt;UNUSED&gt;"/>
    <w:docVar w:name="LW_DocType" w:val="COM"/>
    <w:docVar w:name="LW_EMISSION" w:val="23.3.2018"/>
    <w:docVar w:name="LW_EMISSION_ISODATE" w:val="2018-03-23"/>
    <w:docVar w:name="LW_EMISSION_LOCATION" w:val="BRX"/>
    <w:docVar w:name="LW_EMISSION_PREFIX" w:val="Брюксел, "/>
    <w:docVar w:name="LW_EMISSION_SUFFIX" w:val="&lt;EMPTY&gt;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1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 \u1079?\u1072?\u1103?\u1074?\u1083?\u1077?\u1085?\u1080?\u1077? \u1086?\u1090? \u1041?\u1077?\u1083?\u1075?\u1080?\u1103? \u8212? EGF/2017/010 BE/Caterpillar 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D71FD6"/>
    <w:rsid w:val="00587BA3"/>
    <w:rsid w:val="00D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horttext">
    <w:name w:val="short_text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horttext">
    <w:name w:val="short_text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5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CDCDC"/>
                                                            <w:bottom w:val="none" w:sz="0" w:space="0" w:color="auto"/>
                                                            <w:right w:val="single" w:sz="6" w:space="0" w:color="DCDCDC"/>
                                                          </w:divBdr>
                                                          <w:divsChild>
                                                            <w:div w:id="2156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2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24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0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34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02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05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15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865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130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78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572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962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434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DCDCD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single" w:sz="6" w:space="0" w:color="DCDCD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144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7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7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2616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1940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7303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655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1272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511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CDCDC"/>
                                                            <w:bottom w:val="none" w:sz="0" w:space="0" w:color="auto"/>
                                                            <w:right w:val="single" w:sz="6" w:space="0" w:color="DCDCDC"/>
                                                          </w:divBdr>
                                                          <w:divsChild>
                                                            <w:div w:id="163926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50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2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74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14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30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3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552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891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645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3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860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550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DCDCD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single" w:sz="6" w:space="0" w:color="DCDCD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4562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114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743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817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94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31724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49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5998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4806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9449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resource.html?uri=cellar:a59b6beb-7a4f-11e6-b076-01aa75ed71a1.0001.02/DOC_1&amp;format=PDF" TargetMode="External"/><Relationship Id="rId2" Type="http://schemas.openxmlformats.org/officeDocument/2006/relationships/hyperlink" Target="https://www.leforem.be/MungoBlobs/44/644/20180212_Chiffres_SeriesStatistiquesMde201801.pdf" TargetMode="External"/><Relationship Id="rId1" Type="http://schemas.openxmlformats.org/officeDocument/2006/relationships/hyperlink" Target="http://steelbenchmarker.com/files/history.pdf" TargetMode="External"/><Relationship Id="rId4" Type="http://schemas.openxmlformats.org/officeDocument/2006/relationships/hyperlink" Target="http://www.catch-charleroi.b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264C-DE1B-4F74-9465-D5C79AF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13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18</cp:revision>
  <cp:lastPrinted>2018-02-08T09:40:00Z</cp:lastPrinted>
  <dcterms:created xsi:type="dcterms:W3CDTF">2018-03-14T11:00:00Z</dcterms:created>
  <dcterms:modified xsi:type="dcterms:W3CDTF">2018-03-23T10:36:00Z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Yellow (DQC version 03)</vt:lpwstr>
  </property>
</Properties>
</file>