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B9" w:rsidRDefault="000C1C8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9D9DF04-41C6-4944-A24D-42CAEC04AA9B" style="width:450.4pt;height:338.25pt">
            <v:imagedata r:id="rId9" o:title=""/>
          </v:shape>
        </w:pict>
      </w:r>
    </w:p>
    <w:p w:rsidR="00B85EB9" w:rsidRDefault="00B85EB9">
      <w:pPr>
        <w:rPr>
          <w:noProof/>
        </w:rPr>
        <w:sectPr w:rsidR="00B85EB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85EB9" w:rsidRDefault="000C1C88">
      <w:pPr>
        <w:pStyle w:val="Exposdesmotifstitre"/>
        <w:rPr>
          <w:noProof/>
        </w:rPr>
      </w:pPr>
      <w:r>
        <w:rPr>
          <w:noProof/>
        </w:rPr>
        <w:lastRenderedPageBreak/>
        <w:t>EXPOSÉ DES MOTIFS</w:t>
      </w:r>
    </w:p>
    <w:p w:rsidR="00B85EB9" w:rsidRDefault="000C1C88">
      <w:pPr>
        <w:pStyle w:val="ManualHeading1"/>
        <w:rPr>
          <w:noProof/>
        </w:rPr>
      </w:pPr>
      <w:r>
        <w:rPr>
          <w:noProof/>
        </w:rPr>
        <w:t>CONTEXTE DE LA PROPOSITION</w:t>
      </w:r>
    </w:p>
    <w:p w:rsidR="00B85EB9" w:rsidRDefault="000C1C88">
      <w:pPr>
        <w:pStyle w:val="ManualNumPar1"/>
        <w:rPr>
          <w:noProof/>
        </w:rPr>
      </w:pPr>
      <w:r>
        <w:t>1.</w:t>
      </w:r>
      <w:r>
        <w:tab/>
      </w:r>
      <w:r>
        <w:rPr>
          <w:noProof/>
        </w:rPr>
        <w:t xml:space="preserve">Les règles régissant les contributions financières du Fonds européen d’ajustement à la </w:t>
      </w:r>
      <w:r>
        <w:rPr>
          <w:noProof/>
        </w:rPr>
        <w:t>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rsidR="00B85EB9" w:rsidRDefault="000C1C88">
      <w:pPr>
        <w:pStyle w:val="ManualNumPar1"/>
        <w:rPr>
          <w:noProof/>
        </w:rPr>
      </w:pPr>
      <w:r>
        <w:t>2.</w:t>
      </w:r>
      <w:r>
        <w:tab/>
      </w:r>
      <w:r>
        <w:rPr>
          <w:noProof/>
        </w:rPr>
        <w:t>Le 18 décembre 2017, la Belgique a présenté la demande EGF/2017/010 BE/Caterpillar en vue d’obtenir une contribution financière du FEM à la suite des licenciements</w:t>
      </w:r>
      <w:r>
        <w:rPr>
          <w:rStyle w:val="FootnoteReference"/>
          <w:noProof/>
        </w:rPr>
        <w:footnoteReference w:id="2"/>
      </w:r>
      <w:r>
        <w:rPr>
          <w:noProof/>
        </w:rPr>
        <w:t xml:space="preserve"> survenus chez Caterpillar et cinq de ses fournisseurs (c</w:t>
      </w:r>
      <w:r>
        <w:rPr>
          <w:noProof/>
        </w:rPr>
        <w:t>i-après les «licenciements»).</w:t>
      </w:r>
    </w:p>
    <w:p w:rsidR="00B85EB9" w:rsidRDefault="000C1C88">
      <w:pPr>
        <w:pStyle w:val="ManualNumPar1"/>
        <w:rPr>
          <w:noProof/>
        </w:rPr>
      </w:pPr>
      <w:r>
        <w:t>3.</w:t>
      </w:r>
      <w:r>
        <w:tab/>
      </w:r>
      <w:r>
        <w:rPr>
          <w:noProof/>
        </w:rPr>
        <w:t>Au terme de l’évaluation de cette demande, la Commission a conclu, conformément à l’ensemble des dispositions applicables du règlement FEM, que les conditions d’octroi d’une contribution financière du FEM étaient remplies.</w:t>
      </w:r>
    </w:p>
    <w:p w:rsidR="00B85EB9" w:rsidRDefault="000C1C88">
      <w:pPr>
        <w:pStyle w:val="ManualHeading1"/>
        <w:rPr>
          <w:noProof/>
        </w:rPr>
      </w:pPr>
      <w:r>
        <w:rPr>
          <w:noProof/>
        </w:rPr>
        <w:t>SYNTHÈSE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B85EB9">
        <w:tc>
          <w:tcPr>
            <w:tcW w:w="4908" w:type="dxa"/>
            <w:shd w:val="clear" w:color="auto" w:fill="auto"/>
          </w:tcPr>
          <w:p w:rsidR="00B85EB9" w:rsidRDefault="000C1C88">
            <w:pPr>
              <w:spacing w:before="60" w:after="60"/>
              <w:jc w:val="left"/>
              <w:rPr>
                <w:rFonts w:eastAsia="Calibri"/>
                <w:noProof/>
              </w:rPr>
            </w:pPr>
            <w:r>
              <w:rPr>
                <w:noProof/>
              </w:rPr>
              <w:t>Numéro de la demande FEM</w:t>
            </w:r>
          </w:p>
        </w:tc>
        <w:tc>
          <w:tcPr>
            <w:tcW w:w="4379" w:type="dxa"/>
            <w:shd w:val="clear" w:color="auto" w:fill="auto"/>
          </w:tcPr>
          <w:p w:rsidR="00B85EB9" w:rsidRDefault="000C1C88">
            <w:pPr>
              <w:spacing w:before="60" w:after="60"/>
              <w:ind w:rightChars="192" w:right="461"/>
              <w:jc w:val="left"/>
              <w:rPr>
                <w:rFonts w:eastAsia="Calibri"/>
                <w:noProof/>
              </w:rPr>
            </w:pPr>
            <w:r>
              <w:rPr>
                <w:noProof/>
              </w:rPr>
              <w:t>EGF/2017/010 BE/Caterpillar</w:t>
            </w:r>
          </w:p>
        </w:tc>
      </w:tr>
      <w:tr w:rsidR="00B85EB9">
        <w:tc>
          <w:tcPr>
            <w:tcW w:w="4908" w:type="dxa"/>
            <w:shd w:val="clear" w:color="auto" w:fill="auto"/>
          </w:tcPr>
          <w:p w:rsidR="00B85EB9" w:rsidRDefault="000C1C88">
            <w:pPr>
              <w:spacing w:before="60" w:after="60"/>
              <w:jc w:val="left"/>
              <w:rPr>
                <w:rFonts w:eastAsia="Calibri"/>
                <w:noProof/>
              </w:rPr>
            </w:pPr>
            <w:r>
              <w:rPr>
                <w:noProof/>
              </w:rPr>
              <w:t>État membre</w:t>
            </w:r>
          </w:p>
        </w:tc>
        <w:tc>
          <w:tcPr>
            <w:tcW w:w="4379" w:type="dxa"/>
            <w:shd w:val="clear" w:color="auto" w:fill="auto"/>
          </w:tcPr>
          <w:p w:rsidR="00B85EB9" w:rsidRDefault="000C1C88">
            <w:pPr>
              <w:spacing w:before="60" w:after="60"/>
              <w:ind w:rightChars="192" w:right="461"/>
              <w:jc w:val="left"/>
              <w:rPr>
                <w:rFonts w:eastAsia="Calibri"/>
                <w:noProof/>
              </w:rPr>
            </w:pPr>
            <w:r>
              <w:rPr>
                <w:noProof/>
              </w:rPr>
              <w:t>Belgique</w:t>
            </w:r>
          </w:p>
        </w:tc>
      </w:tr>
      <w:tr w:rsidR="00B85EB9">
        <w:tc>
          <w:tcPr>
            <w:tcW w:w="4908" w:type="dxa"/>
            <w:tcBorders>
              <w:bottom w:val="single" w:sz="4" w:space="0" w:color="auto"/>
            </w:tcBorders>
            <w:shd w:val="clear" w:color="auto" w:fill="auto"/>
          </w:tcPr>
          <w:p w:rsidR="00B85EB9" w:rsidRDefault="000C1C88">
            <w:pPr>
              <w:spacing w:before="60" w:after="60"/>
              <w:jc w:val="left"/>
              <w:rPr>
                <w:rFonts w:eastAsia="Calibri"/>
                <w:noProof/>
              </w:rPr>
            </w:pPr>
            <w:r>
              <w:rPr>
                <w:noProof/>
              </w:rPr>
              <w:t>Région(s) concernée(s) (niveau NUTS 2</w:t>
            </w:r>
            <w:r>
              <w:rPr>
                <w:rStyle w:val="FootnoteReference"/>
                <w:noProof/>
              </w:rPr>
              <w:footnoteReference w:id="3"/>
            </w:r>
            <w:r>
              <w:rPr>
                <w:noProof/>
              </w:rPr>
              <w:t>)</w:t>
            </w:r>
          </w:p>
        </w:tc>
        <w:tc>
          <w:tcPr>
            <w:tcW w:w="4379" w:type="dxa"/>
            <w:tcBorders>
              <w:bottom w:val="single" w:sz="4" w:space="0" w:color="auto"/>
            </w:tcBorders>
            <w:shd w:val="clear" w:color="auto" w:fill="auto"/>
          </w:tcPr>
          <w:p w:rsidR="00B85EB9" w:rsidRDefault="000C1C88">
            <w:pPr>
              <w:spacing w:before="60" w:after="60"/>
              <w:ind w:rightChars="192" w:right="461"/>
              <w:jc w:val="left"/>
              <w:rPr>
                <w:noProof/>
              </w:rPr>
            </w:pPr>
            <w:r>
              <w:rPr>
                <w:noProof/>
              </w:rPr>
              <w:t>Prov. Hainaut (BE32)</w:t>
            </w:r>
          </w:p>
        </w:tc>
      </w:tr>
      <w:tr w:rsidR="00B85EB9">
        <w:tc>
          <w:tcPr>
            <w:tcW w:w="4908" w:type="dxa"/>
            <w:tcBorders>
              <w:bottom w:val="dotted" w:sz="4" w:space="0" w:color="auto"/>
            </w:tcBorders>
            <w:shd w:val="clear" w:color="auto" w:fill="auto"/>
          </w:tcPr>
          <w:p w:rsidR="00B85EB9" w:rsidRDefault="000C1C88">
            <w:pPr>
              <w:spacing w:before="60" w:after="60"/>
              <w:jc w:val="left"/>
              <w:rPr>
                <w:rFonts w:eastAsia="Calibri"/>
                <w:noProof/>
              </w:rPr>
            </w:pPr>
            <w:r>
              <w:rPr>
                <w:noProof/>
              </w:rPr>
              <w:t>Date de dépôt de la demande</w:t>
            </w:r>
          </w:p>
        </w:tc>
        <w:tc>
          <w:tcPr>
            <w:tcW w:w="4379" w:type="dxa"/>
            <w:tcBorders>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18 décembre 2017</w:t>
            </w:r>
          </w:p>
        </w:tc>
      </w:tr>
      <w:tr w:rsidR="00B85EB9">
        <w:tc>
          <w:tcPr>
            <w:tcW w:w="4908" w:type="dxa"/>
            <w:tcBorders>
              <w:top w:val="dotted" w:sz="4" w:space="0" w:color="auto"/>
              <w:bottom w:val="dotted" w:sz="4" w:space="0" w:color="auto"/>
            </w:tcBorders>
            <w:shd w:val="clear" w:color="auto" w:fill="auto"/>
          </w:tcPr>
          <w:p w:rsidR="00B85EB9" w:rsidRDefault="000C1C88">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18 décembre 2017</w:t>
            </w:r>
          </w:p>
        </w:tc>
      </w:tr>
      <w:tr w:rsidR="00B85EB9">
        <w:tc>
          <w:tcPr>
            <w:tcW w:w="4908" w:type="dxa"/>
            <w:tcBorders>
              <w:top w:val="dotted" w:sz="4" w:space="0" w:color="auto"/>
              <w:bottom w:val="dotted" w:sz="4" w:space="0" w:color="auto"/>
            </w:tcBorders>
            <w:shd w:val="clear" w:color="auto" w:fill="auto"/>
          </w:tcPr>
          <w:p w:rsidR="00B85EB9" w:rsidRDefault="000C1C88">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24 décembre 2017</w:t>
            </w:r>
          </w:p>
        </w:tc>
      </w:tr>
      <w:tr w:rsidR="00B85EB9">
        <w:tc>
          <w:tcPr>
            <w:tcW w:w="4908" w:type="dxa"/>
            <w:tcBorders>
              <w:top w:val="dotted" w:sz="4" w:space="0" w:color="auto"/>
              <w:bottom w:val="dotted" w:sz="4" w:space="0" w:color="auto"/>
            </w:tcBorders>
            <w:shd w:val="clear" w:color="auto" w:fill="auto"/>
          </w:tcPr>
          <w:p w:rsidR="00B85EB9" w:rsidRDefault="000C1C88">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4 février 2018</w:t>
            </w:r>
          </w:p>
        </w:tc>
      </w:tr>
      <w:tr w:rsidR="00B85EB9">
        <w:tc>
          <w:tcPr>
            <w:tcW w:w="4908" w:type="dxa"/>
            <w:tcBorders>
              <w:top w:val="dotted" w:sz="4" w:space="0" w:color="auto"/>
            </w:tcBorders>
            <w:shd w:val="clear" w:color="auto" w:fill="auto"/>
          </w:tcPr>
          <w:p w:rsidR="00B85EB9" w:rsidRDefault="000C1C88">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rsidR="00B85EB9" w:rsidRDefault="000C1C88">
            <w:pPr>
              <w:spacing w:before="60" w:after="60"/>
              <w:ind w:rightChars="192" w:right="461"/>
              <w:jc w:val="left"/>
              <w:rPr>
                <w:rFonts w:eastAsia="Calibri"/>
                <w:noProof/>
              </w:rPr>
            </w:pPr>
            <w:r>
              <w:rPr>
                <w:noProof/>
              </w:rPr>
              <w:t>29 avril 2018</w:t>
            </w:r>
          </w:p>
        </w:tc>
      </w:tr>
      <w:tr w:rsidR="00B85EB9">
        <w:tc>
          <w:tcPr>
            <w:tcW w:w="4908" w:type="dxa"/>
            <w:shd w:val="clear" w:color="auto" w:fill="auto"/>
          </w:tcPr>
          <w:p w:rsidR="00B85EB9" w:rsidRDefault="000C1C88">
            <w:pPr>
              <w:spacing w:before="60" w:after="60"/>
              <w:jc w:val="left"/>
              <w:rPr>
                <w:rFonts w:eastAsia="Calibri"/>
                <w:noProof/>
              </w:rPr>
            </w:pPr>
            <w:r>
              <w:rPr>
                <w:noProof/>
              </w:rPr>
              <w:t>Critère d’intervention</w:t>
            </w:r>
          </w:p>
        </w:tc>
        <w:tc>
          <w:tcPr>
            <w:tcW w:w="4379" w:type="dxa"/>
            <w:shd w:val="clear" w:color="auto" w:fill="auto"/>
          </w:tcPr>
          <w:p w:rsidR="00B85EB9" w:rsidRDefault="000C1C88">
            <w:pPr>
              <w:spacing w:before="60" w:after="60"/>
              <w:ind w:rightChars="192" w:right="461"/>
              <w:jc w:val="left"/>
              <w:rPr>
                <w:rFonts w:eastAsia="Calibri"/>
                <w:noProof/>
              </w:rPr>
            </w:pPr>
            <w:r>
              <w:rPr>
                <w:noProof/>
              </w:rPr>
              <w:t>Article 4, paragraphe 1, point a), du règlement FEM</w:t>
            </w:r>
          </w:p>
        </w:tc>
      </w:tr>
      <w:tr w:rsidR="00B85EB9">
        <w:tc>
          <w:tcPr>
            <w:tcW w:w="4908" w:type="dxa"/>
            <w:tcBorders>
              <w:top w:val="single" w:sz="4" w:space="0" w:color="auto"/>
              <w:bottom w:val="single" w:sz="4" w:space="0" w:color="auto"/>
              <w:right w:val="single" w:sz="4" w:space="0" w:color="auto"/>
            </w:tcBorders>
            <w:shd w:val="clear" w:color="auto" w:fill="auto"/>
          </w:tcPr>
          <w:p w:rsidR="00B85EB9" w:rsidRDefault="000C1C88">
            <w:pPr>
              <w:spacing w:before="60" w:after="60"/>
              <w:jc w:val="left"/>
              <w:rPr>
                <w:rFonts w:eastAsia="Calibri"/>
                <w:noProof/>
              </w:rPr>
            </w:pPr>
            <w:r>
              <w:rPr>
                <w:noProof/>
              </w:rPr>
              <w:br w:type="page"/>
              <w:t>Entreprise principale concernée</w:t>
            </w:r>
          </w:p>
        </w:tc>
        <w:tc>
          <w:tcPr>
            <w:tcW w:w="4379" w:type="dxa"/>
            <w:tcBorders>
              <w:top w:val="single" w:sz="4" w:space="0" w:color="auto"/>
              <w:left w:val="single" w:sz="4" w:space="0" w:color="auto"/>
              <w:bottom w:val="single" w:sz="4" w:space="0" w:color="auto"/>
            </w:tcBorders>
            <w:shd w:val="clear" w:color="auto" w:fill="auto"/>
          </w:tcPr>
          <w:p w:rsidR="00B85EB9" w:rsidRDefault="000C1C88">
            <w:pPr>
              <w:spacing w:before="60" w:after="60"/>
              <w:ind w:rightChars="192" w:right="461"/>
              <w:jc w:val="left"/>
              <w:rPr>
                <w:noProof/>
                <w:szCs w:val="24"/>
              </w:rPr>
            </w:pPr>
            <w:r>
              <w:rPr>
                <w:noProof/>
              </w:rPr>
              <w:t>Caterpillar – Solar Gosselies</w:t>
            </w:r>
          </w:p>
        </w:tc>
      </w:tr>
      <w:tr w:rsidR="00B85EB9">
        <w:tc>
          <w:tcPr>
            <w:tcW w:w="4908" w:type="dxa"/>
            <w:tcBorders>
              <w:top w:val="single" w:sz="4" w:space="0" w:color="auto"/>
              <w:bottom w:val="single" w:sz="4" w:space="0" w:color="auto"/>
              <w:right w:val="single" w:sz="4" w:space="0" w:color="auto"/>
            </w:tcBorders>
            <w:shd w:val="clear" w:color="auto" w:fill="auto"/>
          </w:tcPr>
          <w:p w:rsidR="00B85EB9" w:rsidRDefault="000C1C88">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rsidR="00B85EB9" w:rsidRDefault="000C1C88">
            <w:pPr>
              <w:spacing w:before="60" w:after="60"/>
              <w:ind w:rightChars="192" w:right="461"/>
              <w:jc w:val="left"/>
              <w:rPr>
                <w:noProof/>
                <w:szCs w:val="24"/>
              </w:rPr>
            </w:pPr>
            <w:r>
              <w:rPr>
                <w:noProof/>
              </w:rPr>
              <w:t>1</w:t>
            </w:r>
          </w:p>
        </w:tc>
      </w:tr>
      <w:tr w:rsidR="00B85EB9">
        <w:tc>
          <w:tcPr>
            <w:tcW w:w="4908" w:type="dxa"/>
            <w:shd w:val="clear" w:color="auto" w:fill="auto"/>
          </w:tcPr>
          <w:p w:rsidR="00B85EB9" w:rsidRDefault="000C1C88">
            <w:pPr>
              <w:spacing w:before="60" w:after="60"/>
              <w:jc w:val="left"/>
              <w:rPr>
                <w:rFonts w:eastAsia="Calibri"/>
                <w:noProof/>
              </w:rPr>
            </w:pPr>
            <w:r>
              <w:rPr>
                <w:noProof/>
              </w:rPr>
              <w:t>Secteur(s) d’activité économique</w:t>
            </w:r>
          </w:p>
          <w:p w:rsidR="00B85EB9" w:rsidRDefault="000C1C88">
            <w:pPr>
              <w:spacing w:before="60" w:after="60"/>
              <w:jc w:val="left"/>
              <w:rPr>
                <w:rFonts w:eastAsia="Calibri"/>
                <w:noProof/>
              </w:rPr>
            </w:pPr>
            <w:r>
              <w:rPr>
                <w:noProof/>
              </w:rPr>
              <w:t>(Division de la NACE Rév. 2)</w:t>
            </w:r>
            <w:r>
              <w:rPr>
                <w:rStyle w:val="FootnoteReference"/>
                <w:noProof/>
              </w:rPr>
              <w:footnoteReference w:id="4"/>
            </w:r>
          </w:p>
        </w:tc>
        <w:tc>
          <w:tcPr>
            <w:tcW w:w="4379" w:type="dxa"/>
            <w:shd w:val="clear" w:color="auto" w:fill="auto"/>
          </w:tcPr>
          <w:p w:rsidR="00B85EB9" w:rsidRDefault="000C1C88">
            <w:pPr>
              <w:spacing w:before="60" w:after="60"/>
              <w:ind w:rightChars="192" w:right="461"/>
              <w:jc w:val="left"/>
              <w:rPr>
                <w:rFonts w:eastAsia="Calibri"/>
                <w:noProof/>
              </w:rPr>
            </w:pPr>
            <w:r>
              <w:rPr>
                <w:noProof/>
              </w:rPr>
              <w:t xml:space="preserve">28 (Fabrication de machines et </w:t>
            </w:r>
            <w:r>
              <w:rPr>
                <w:noProof/>
              </w:rPr>
              <w:t>équipements n.c.a.)</w:t>
            </w:r>
          </w:p>
        </w:tc>
      </w:tr>
      <w:tr w:rsidR="00B85EB9">
        <w:tc>
          <w:tcPr>
            <w:tcW w:w="4908" w:type="dxa"/>
            <w:shd w:val="clear" w:color="auto" w:fill="auto"/>
          </w:tcPr>
          <w:p w:rsidR="00B85EB9" w:rsidRDefault="000C1C88">
            <w:pPr>
              <w:spacing w:before="60" w:after="60"/>
              <w:jc w:val="left"/>
              <w:rPr>
                <w:rFonts w:eastAsia="Calibri"/>
                <w:noProof/>
              </w:rPr>
            </w:pPr>
            <w:r>
              <w:rPr>
                <w:noProof/>
              </w:rPr>
              <w:br w:type="page"/>
              <w:t xml:space="preserve">Nombre de filiales, fournisseurs et producteurs </w:t>
            </w:r>
            <w:r>
              <w:rPr>
                <w:noProof/>
              </w:rPr>
              <w:lastRenderedPageBreak/>
              <w:t>en aval concernés</w:t>
            </w:r>
          </w:p>
        </w:tc>
        <w:tc>
          <w:tcPr>
            <w:tcW w:w="4379" w:type="dxa"/>
            <w:shd w:val="clear" w:color="auto" w:fill="auto"/>
          </w:tcPr>
          <w:p w:rsidR="00B85EB9" w:rsidRDefault="000C1C88">
            <w:pPr>
              <w:spacing w:before="60" w:after="60"/>
              <w:ind w:rightChars="192" w:right="461"/>
              <w:jc w:val="left"/>
              <w:rPr>
                <w:rFonts w:eastAsia="Calibri"/>
                <w:noProof/>
              </w:rPr>
            </w:pPr>
            <w:r>
              <w:rPr>
                <w:noProof/>
                <w:color w:val="000000" w:themeColor="text1"/>
              </w:rPr>
              <w:lastRenderedPageBreak/>
              <w:t>5</w:t>
            </w:r>
            <w:r>
              <w:rPr>
                <w:rStyle w:val="FootnoteReference"/>
                <w:noProof/>
                <w:color w:val="000000" w:themeColor="text1"/>
              </w:rPr>
              <w:footnoteReference w:id="5"/>
            </w:r>
          </w:p>
        </w:tc>
      </w:tr>
      <w:tr w:rsidR="00B85EB9">
        <w:tc>
          <w:tcPr>
            <w:tcW w:w="4908" w:type="dxa"/>
            <w:tcBorders>
              <w:bottom w:val="single" w:sz="4" w:space="0" w:color="auto"/>
            </w:tcBorders>
            <w:shd w:val="clear" w:color="auto" w:fill="auto"/>
          </w:tcPr>
          <w:p w:rsidR="00B85EB9" w:rsidRDefault="000C1C88">
            <w:pPr>
              <w:spacing w:before="60" w:after="60"/>
              <w:jc w:val="left"/>
              <w:rPr>
                <w:rFonts w:eastAsia="Calibri"/>
                <w:noProof/>
              </w:rPr>
            </w:pPr>
            <w:r>
              <w:rPr>
                <w:noProof/>
              </w:rPr>
              <w:lastRenderedPageBreak/>
              <w:t>Période de référence (quatre mois):</w:t>
            </w:r>
          </w:p>
        </w:tc>
        <w:tc>
          <w:tcPr>
            <w:tcW w:w="4379" w:type="dxa"/>
            <w:tcBorders>
              <w:bottom w:val="single" w:sz="4" w:space="0" w:color="auto"/>
            </w:tcBorders>
            <w:shd w:val="clear" w:color="auto" w:fill="auto"/>
          </w:tcPr>
          <w:p w:rsidR="00B85EB9" w:rsidRDefault="000C1C88">
            <w:pPr>
              <w:spacing w:before="60" w:after="60"/>
              <w:ind w:rightChars="192" w:right="461"/>
              <w:jc w:val="left"/>
              <w:rPr>
                <w:rFonts w:eastAsia="Calibri"/>
                <w:noProof/>
              </w:rPr>
            </w:pPr>
            <w:r>
              <w:rPr>
                <w:noProof/>
              </w:rPr>
              <w:t>31 mai 2017 – 30 septembre 2017</w:t>
            </w:r>
          </w:p>
        </w:tc>
      </w:tr>
      <w:tr w:rsidR="00B85EB9">
        <w:tc>
          <w:tcPr>
            <w:tcW w:w="4908" w:type="dxa"/>
            <w:tcBorders>
              <w:bottom w:val="dotted" w:sz="4" w:space="0" w:color="auto"/>
            </w:tcBorders>
            <w:shd w:val="clear" w:color="auto" w:fill="auto"/>
          </w:tcPr>
          <w:p w:rsidR="00B85EB9" w:rsidRDefault="000C1C88">
            <w:pPr>
              <w:spacing w:before="60" w:after="60"/>
              <w:jc w:val="left"/>
              <w:rPr>
                <w:rFonts w:eastAsia="Calibri"/>
                <w:noProof/>
                <w:highlight w:val="magenta"/>
              </w:rPr>
            </w:pPr>
            <w:r>
              <w:rPr>
                <w:noProof/>
              </w:rPr>
              <w:t>Nombre de licenciements pendant la période de référence (</w:t>
            </w:r>
            <w:r>
              <w:rPr>
                <w:i/>
                <w:noProof/>
              </w:rPr>
              <w:t>a</w:t>
            </w:r>
            <w:r>
              <w:rPr>
                <w:noProof/>
              </w:rPr>
              <w:t>)</w:t>
            </w:r>
          </w:p>
        </w:tc>
        <w:tc>
          <w:tcPr>
            <w:tcW w:w="4379" w:type="dxa"/>
            <w:tcBorders>
              <w:bottom w:val="dotted" w:sz="4" w:space="0" w:color="auto"/>
            </w:tcBorders>
            <w:shd w:val="clear" w:color="auto" w:fill="auto"/>
          </w:tcPr>
          <w:p w:rsidR="00B85EB9" w:rsidRDefault="000C1C88">
            <w:pPr>
              <w:spacing w:before="60" w:after="60"/>
              <w:ind w:rightChars="192" w:right="461"/>
              <w:jc w:val="left"/>
              <w:rPr>
                <w:rFonts w:eastAsia="Calibri"/>
                <w:noProof/>
                <w:highlight w:val="magenta"/>
              </w:rPr>
            </w:pPr>
            <w:r>
              <w:rPr>
                <w:noProof/>
              </w:rPr>
              <w:t>1 364</w:t>
            </w:r>
          </w:p>
        </w:tc>
      </w:tr>
      <w:tr w:rsidR="00B85EB9">
        <w:tc>
          <w:tcPr>
            <w:tcW w:w="4908" w:type="dxa"/>
            <w:tcBorders>
              <w:top w:val="dotted" w:sz="4" w:space="0" w:color="auto"/>
              <w:bottom w:val="dotted" w:sz="4" w:space="0" w:color="auto"/>
            </w:tcBorders>
            <w:shd w:val="clear" w:color="auto" w:fill="auto"/>
          </w:tcPr>
          <w:p w:rsidR="00B85EB9" w:rsidRDefault="000C1C88">
            <w:pPr>
              <w:spacing w:before="60" w:after="60"/>
              <w:jc w:val="left"/>
              <w:rPr>
                <w:rFonts w:eastAsia="Calibri"/>
                <w:noProof/>
                <w:highlight w:val="magenta"/>
              </w:rPr>
            </w:pPr>
            <w:r>
              <w:rPr>
                <w:noProof/>
              </w:rPr>
              <w:t xml:space="preserve">Nombre de licenciements </w:t>
            </w:r>
            <w:r>
              <w:rPr>
                <w:noProof/>
              </w:rPr>
              <w:t>avant ou après la période de référence (</w:t>
            </w:r>
            <w:r>
              <w:rPr>
                <w:i/>
                <w:noProof/>
              </w:rPr>
              <w:t>b</w:t>
            </w:r>
            <w:r>
              <w:rPr>
                <w:noProof/>
              </w:rPr>
              <w:t>)</w:t>
            </w:r>
          </w:p>
        </w:tc>
        <w:tc>
          <w:tcPr>
            <w:tcW w:w="4379" w:type="dxa"/>
            <w:tcBorders>
              <w:top w:val="dotted" w:sz="4" w:space="0" w:color="auto"/>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  921</w:t>
            </w:r>
          </w:p>
        </w:tc>
      </w:tr>
      <w:tr w:rsidR="00B85EB9">
        <w:tc>
          <w:tcPr>
            <w:tcW w:w="4908" w:type="dxa"/>
            <w:tcBorders>
              <w:top w:val="dotted" w:sz="4" w:space="0" w:color="auto"/>
              <w:bottom w:val="single" w:sz="4" w:space="0" w:color="auto"/>
            </w:tcBorders>
            <w:shd w:val="clear" w:color="auto" w:fill="auto"/>
          </w:tcPr>
          <w:p w:rsidR="00B85EB9" w:rsidRDefault="000C1C88">
            <w:pPr>
              <w:spacing w:before="60" w:after="60"/>
              <w:jc w:val="left"/>
              <w:rPr>
                <w:rFonts w:eastAsia="Calibri"/>
                <w:noProof/>
              </w:rPr>
            </w:pPr>
            <w:r>
              <w:rPr>
                <w:noProof/>
              </w:rPr>
              <w:t xml:space="preserve">Nombre total de licenciements </w:t>
            </w:r>
          </w:p>
        </w:tc>
        <w:tc>
          <w:tcPr>
            <w:tcW w:w="4379" w:type="dxa"/>
            <w:tcBorders>
              <w:top w:val="dotted" w:sz="4" w:space="0" w:color="auto"/>
              <w:bottom w:val="single" w:sz="4" w:space="0" w:color="auto"/>
            </w:tcBorders>
            <w:shd w:val="clear" w:color="auto" w:fill="auto"/>
          </w:tcPr>
          <w:p w:rsidR="00B85EB9" w:rsidRDefault="000C1C88">
            <w:pPr>
              <w:spacing w:before="60" w:after="60"/>
              <w:ind w:rightChars="192" w:right="461"/>
              <w:jc w:val="left"/>
              <w:rPr>
                <w:rFonts w:eastAsia="Calibri"/>
                <w:noProof/>
              </w:rPr>
            </w:pPr>
            <w:r>
              <w:rPr>
                <w:noProof/>
              </w:rPr>
              <w:t>2 287</w:t>
            </w:r>
          </w:p>
        </w:tc>
      </w:tr>
      <w:tr w:rsidR="00B85EB9">
        <w:tc>
          <w:tcPr>
            <w:tcW w:w="4908" w:type="dxa"/>
            <w:tcBorders>
              <w:bottom w:val="dotted" w:sz="4" w:space="0" w:color="auto"/>
            </w:tcBorders>
            <w:shd w:val="clear" w:color="auto" w:fill="auto"/>
          </w:tcPr>
          <w:p w:rsidR="00B85EB9" w:rsidRDefault="000C1C88">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2 287</w:t>
            </w:r>
          </w:p>
        </w:tc>
      </w:tr>
      <w:tr w:rsidR="00B85EB9">
        <w:tc>
          <w:tcPr>
            <w:tcW w:w="4908" w:type="dxa"/>
            <w:tcBorders>
              <w:top w:val="dotted" w:sz="4" w:space="0" w:color="auto"/>
              <w:bottom w:val="dotted" w:sz="4" w:space="0" w:color="auto"/>
            </w:tcBorders>
            <w:shd w:val="clear" w:color="auto" w:fill="auto"/>
          </w:tcPr>
          <w:p w:rsidR="00B85EB9" w:rsidRDefault="000C1C88">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rsidR="00B85EB9" w:rsidRDefault="000C1C88">
            <w:pPr>
              <w:spacing w:before="60" w:after="60"/>
              <w:ind w:rightChars="192" w:right="461"/>
              <w:jc w:val="left"/>
              <w:rPr>
                <w:rFonts w:eastAsia="Calibri"/>
                <w:noProof/>
              </w:rPr>
            </w:pPr>
            <w:r>
              <w:rPr>
                <w:noProof/>
              </w:rPr>
              <w:t>2 287</w:t>
            </w:r>
          </w:p>
        </w:tc>
      </w:tr>
      <w:tr w:rsidR="00B85EB9">
        <w:tc>
          <w:tcPr>
            <w:tcW w:w="4908" w:type="dxa"/>
            <w:tcBorders>
              <w:top w:val="dotted" w:sz="4" w:space="0" w:color="auto"/>
              <w:bottom w:val="single" w:sz="4" w:space="0" w:color="auto"/>
            </w:tcBorders>
            <w:shd w:val="clear" w:color="auto" w:fill="auto"/>
          </w:tcPr>
          <w:p w:rsidR="00B85EB9" w:rsidRDefault="000C1C88">
            <w:pPr>
              <w:spacing w:before="60" w:after="60"/>
              <w:jc w:val="left"/>
              <w:rPr>
                <w:rFonts w:eastAsia="Calibri"/>
                <w:noProof/>
              </w:rPr>
            </w:pPr>
            <w:r>
              <w:rPr>
                <w:noProof/>
              </w:rPr>
              <w:t xml:space="preserve">Nombre de jeunes visés ne travaillant pas, ne suivant pas d’études ou de </w:t>
            </w:r>
            <w:r>
              <w:rPr>
                <w:noProof/>
              </w:rPr>
              <w:t>formation (NEET)</w:t>
            </w:r>
          </w:p>
        </w:tc>
        <w:tc>
          <w:tcPr>
            <w:tcW w:w="4379" w:type="dxa"/>
            <w:tcBorders>
              <w:top w:val="dotted" w:sz="4" w:space="0" w:color="auto"/>
              <w:bottom w:val="single" w:sz="4" w:space="0" w:color="auto"/>
            </w:tcBorders>
            <w:shd w:val="clear" w:color="auto" w:fill="auto"/>
          </w:tcPr>
          <w:p w:rsidR="00B85EB9" w:rsidRDefault="000C1C88">
            <w:pPr>
              <w:spacing w:before="60" w:after="60"/>
              <w:ind w:rightChars="192" w:right="461"/>
              <w:jc w:val="left"/>
              <w:rPr>
                <w:rFonts w:eastAsia="Calibri"/>
                <w:noProof/>
              </w:rPr>
            </w:pPr>
            <w:r>
              <w:rPr>
                <w:noProof/>
              </w:rPr>
              <w:t>  300</w:t>
            </w:r>
          </w:p>
        </w:tc>
      </w:tr>
      <w:tr w:rsidR="00B85EB9">
        <w:tc>
          <w:tcPr>
            <w:tcW w:w="4908" w:type="dxa"/>
            <w:tcBorders>
              <w:bottom w:val="dotted" w:sz="4" w:space="0" w:color="auto"/>
            </w:tcBorders>
            <w:shd w:val="clear" w:color="auto" w:fill="auto"/>
            <w:vAlign w:val="center"/>
          </w:tcPr>
          <w:p w:rsidR="00B85EB9" w:rsidRDefault="000C1C88">
            <w:pPr>
              <w:spacing w:before="0" w:after="0"/>
              <w:jc w:val="left"/>
              <w:rPr>
                <w:noProof/>
                <w:szCs w:val="24"/>
              </w:rPr>
            </w:pPr>
            <w:r>
              <w:rPr>
                <w:noProof/>
              </w:rPr>
              <w:t>Budget pour les services personnalisés (en EUR)</w:t>
            </w:r>
          </w:p>
        </w:tc>
        <w:tc>
          <w:tcPr>
            <w:tcW w:w="4379" w:type="dxa"/>
            <w:tcBorders>
              <w:bottom w:val="dotted" w:sz="4" w:space="0" w:color="auto"/>
            </w:tcBorders>
            <w:shd w:val="clear" w:color="auto" w:fill="auto"/>
            <w:vAlign w:val="center"/>
          </w:tcPr>
          <w:p w:rsidR="00B85EB9" w:rsidRDefault="000C1C88">
            <w:pPr>
              <w:spacing w:before="0" w:after="0"/>
              <w:ind w:rightChars="192" w:right="461"/>
              <w:jc w:val="left"/>
              <w:rPr>
                <w:noProof/>
                <w:szCs w:val="24"/>
              </w:rPr>
            </w:pPr>
            <w:r>
              <w:rPr>
                <w:noProof/>
              </w:rPr>
              <w:t>7 575 294</w:t>
            </w:r>
          </w:p>
        </w:tc>
      </w:tr>
      <w:tr w:rsidR="00B85EB9">
        <w:tc>
          <w:tcPr>
            <w:tcW w:w="4908" w:type="dxa"/>
            <w:tcBorders>
              <w:top w:val="dotted" w:sz="4" w:space="0" w:color="auto"/>
              <w:bottom w:val="dotted" w:sz="4" w:space="0" w:color="auto"/>
            </w:tcBorders>
            <w:shd w:val="clear" w:color="auto" w:fill="auto"/>
            <w:vAlign w:val="center"/>
          </w:tcPr>
          <w:p w:rsidR="00B85EB9" w:rsidRDefault="000C1C88">
            <w:pPr>
              <w:spacing w:before="0" w:after="0"/>
              <w:jc w:val="left"/>
              <w:rPr>
                <w:noProof/>
              </w:rPr>
            </w:pPr>
            <w:r>
              <w:rPr>
                <w:noProof/>
              </w:rPr>
              <w:t>Budget pour la mise en œuvre du FEM</w:t>
            </w:r>
            <w:r>
              <w:rPr>
                <w:rStyle w:val="FootnoteReference"/>
                <w:noProof/>
              </w:rPr>
              <w:footnoteReference w:id="6"/>
            </w:r>
            <w:r>
              <w:rPr>
                <w:noProof/>
              </w:rPr>
              <w:t xml:space="preserve"> (en EUR)</w:t>
            </w:r>
          </w:p>
        </w:tc>
        <w:tc>
          <w:tcPr>
            <w:tcW w:w="4379" w:type="dxa"/>
            <w:tcBorders>
              <w:top w:val="dotted" w:sz="4" w:space="0" w:color="auto"/>
              <w:bottom w:val="dotted" w:sz="4" w:space="0" w:color="auto"/>
            </w:tcBorders>
            <w:shd w:val="clear" w:color="auto" w:fill="auto"/>
            <w:vAlign w:val="center"/>
          </w:tcPr>
          <w:p w:rsidR="00B85EB9" w:rsidRDefault="000C1C88">
            <w:pPr>
              <w:spacing w:before="0" w:after="0"/>
              <w:ind w:rightChars="192" w:right="461"/>
              <w:jc w:val="left"/>
              <w:rPr>
                <w:noProof/>
              </w:rPr>
            </w:pPr>
            <w:r>
              <w:rPr>
                <w:noProof/>
              </w:rPr>
              <w:t>   127 400</w:t>
            </w:r>
          </w:p>
        </w:tc>
      </w:tr>
      <w:tr w:rsidR="00B85EB9">
        <w:tc>
          <w:tcPr>
            <w:tcW w:w="4908" w:type="dxa"/>
            <w:tcBorders>
              <w:top w:val="dotted" w:sz="4" w:space="0" w:color="auto"/>
              <w:bottom w:val="dotted" w:sz="4" w:space="0" w:color="auto"/>
            </w:tcBorders>
            <w:shd w:val="clear" w:color="auto" w:fill="auto"/>
            <w:vAlign w:val="center"/>
          </w:tcPr>
          <w:p w:rsidR="00B85EB9" w:rsidRDefault="000C1C88">
            <w:pPr>
              <w:spacing w:before="0" w:after="0"/>
              <w:jc w:val="left"/>
              <w:rPr>
                <w:noProof/>
                <w:szCs w:val="24"/>
              </w:rPr>
            </w:pPr>
            <w:r>
              <w:rPr>
                <w:noProof/>
              </w:rPr>
              <w:t>Budget total (en EUR)</w:t>
            </w:r>
          </w:p>
        </w:tc>
        <w:tc>
          <w:tcPr>
            <w:tcW w:w="4379" w:type="dxa"/>
            <w:tcBorders>
              <w:top w:val="dotted" w:sz="4" w:space="0" w:color="auto"/>
              <w:bottom w:val="dotted" w:sz="4" w:space="0" w:color="auto"/>
            </w:tcBorders>
            <w:shd w:val="clear" w:color="auto" w:fill="auto"/>
            <w:vAlign w:val="center"/>
          </w:tcPr>
          <w:p w:rsidR="00B85EB9" w:rsidRDefault="000C1C88">
            <w:pPr>
              <w:spacing w:before="0" w:after="0"/>
              <w:ind w:rightChars="192" w:right="461"/>
              <w:jc w:val="left"/>
              <w:rPr>
                <w:noProof/>
                <w:szCs w:val="24"/>
              </w:rPr>
            </w:pPr>
            <w:r>
              <w:rPr>
                <w:noProof/>
                <w:color w:val="222222"/>
              </w:rPr>
              <w:t>7 702 694</w:t>
            </w:r>
          </w:p>
        </w:tc>
      </w:tr>
      <w:tr w:rsidR="00B85EB9">
        <w:tc>
          <w:tcPr>
            <w:tcW w:w="4908" w:type="dxa"/>
            <w:tcBorders>
              <w:top w:val="dotted" w:sz="4" w:space="0" w:color="auto"/>
            </w:tcBorders>
            <w:shd w:val="clear" w:color="auto" w:fill="auto"/>
            <w:vAlign w:val="center"/>
          </w:tcPr>
          <w:p w:rsidR="00B85EB9" w:rsidRDefault="000C1C88">
            <w:pPr>
              <w:spacing w:before="0" w:after="0"/>
              <w:jc w:val="left"/>
              <w:rPr>
                <w:noProof/>
                <w:szCs w:val="24"/>
              </w:rPr>
            </w:pPr>
            <w:r>
              <w:rPr>
                <w:noProof/>
              </w:rPr>
              <w:t>Contribution du FEM (60 %) (en EUR)</w:t>
            </w:r>
          </w:p>
        </w:tc>
        <w:tc>
          <w:tcPr>
            <w:tcW w:w="4379" w:type="dxa"/>
            <w:tcBorders>
              <w:top w:val="dotted" w:sz="4" w:space="0" w:color="auto"/>
            </w:tcBorders>
            <w:shd w:val="clear" w:color="auto" w:fill="auto"/>
            <w:vAlign w:val="center"/>
          </w:tcPr>
          <w:p w:rsidR="00B85EB9" w:rsidRDefault="000C1C88">
            <w:pPr>
              <w:shd w:val="clear" w:color="auto" w:fill="FFFFFF"/>
              <w:spacing w:before="0" w:after="0" w:line="270" w:lineRule="atLeast"/>
              <w:jc w:val="left"/>
              <w:textAlignment w:val="top"/>
              <w:rPr>
                <w:rFonts w:eastAsia="Times New Roman"/>
                <w:noProof/>
                <w:color w:val="222222"/>
                <w:szCs w:val="24"/>
              </w:rPr>
            </w:pPr>
            <w:r>
              <w:rPr>
                <w:noProof/>
                <w:color w:val="222222"/>
              </w:rPr>
              <w:t>4 621 616</w:t>
            </w:r>
          </w:p>
        </w:tc>
      </w:tr>
    </w:tbl>
    <w:p w:rsidR="00B85EB9" w:rsidRDefault="000C1C88">
      <w:pPr>
        <w:pStyle w:val="ManualHeading1"/>
        <w:rPr>
          <w:noProof/>
        </w:rPr>
      </w:pPr>
      <w:r>
        <w:rPr>
          <w:noProof/>
        </w:rPr>
        <w:t>ÉVALUATION DE LA DEMANDE</w:t>
      </w:r>
    </w:p>
    <w:p w:rsidR="00B85EB9" w:rsidRDefault="000C1C88">
      <w:pPr>
        <w:pStyle w:val="ManualHeading2"/>
        <w:rPr>
          <w:noProof/>
        </w:rPr>
      </w:pPr>
      <w:r>
        <w:rPr>
          <w:noProof/>
        </w:rPr>
        <w:t>Procédure</w:t>
      </w:r>
    </w:p>
    <w:p w:rsidR="00B85EB9" w:rsidRDefault="000C1C88">
      <w:pPr>
        <w:pStyle w:val="ManualNumPar1"/>
        <w:rPr>
          <w:noProof/>
        </w:rPr>
      </w:pPr>
      <w:r>
        <w:t>4.</w:t>
      </w:r>
      <w:r>
        <w:tab/>
      </w:r>
      <w:r>
        <w:rPr>
          <w:noProof/>
        </w:rPr>
        <w:t>La Belgique a présenté la demande EGF/2017/010 BE/Caterpillar le 18 décembre 2017, dans le délai de 12 semaines à compter de la date à laquelle les critères d’intervention précisés à l’article 4 du règlement FEM ont été remplis. La Commission a accusé r</w:t>
      </w:r>
      <w:r>
        <w:rPr>
          <w:noProof/>
        </w:rPr>
        <w:t>éception de la demande à la même date et demandé des informations complémentaires à la Belgique le 24 décembre 2017. Ces informations ont été fournies dans les six semaines suivant la date de cette demande. Le délai de 12 semaines suivant la réception de l</w:t>
      </w:r>
      <w:r>
        <w:rPr>
          <w:noProof/>
        </w:rPr>
        <w:t>a demande complète dont dispose la Commission pour achever son évaluation de la conformité de la demande aux conditions d’octroi d’une contribution financière expire le 29 avril 2018.</w:t>
      </w:r>
    </w:p>
    <w:p w:rsidR="00B85EB9" w:rsidRDefault="000C1C88">
      <w:pPr>
        <w:pStyle w:val="ManualHeading2"/>
        <w:rPr>
          <w:noProof/>
        </w:rPr>
      </w:pPr>
      <w:r>
        <w:rPr>
          <w:noProof/>
        </w:rPr>
        <w:t>Admissibilité de la demande</w:t>
      </w:r>
    </w:p>
    <w:p w:rsidR="00B85EB9" w:rsidRDefault="000C1C88">
      <w:pPr>
        <w:pStyle w:val="ManualHeading3"/>
        <w:rPr>
          <w:noProof/>
        </w:rPr>
      </w:pPr>
      <w:r>
        <w:rPr>
          <w:noProof/>
        </w:rPr>
        <w:t>Entreprises et bénéficiaires concernés</w:t>
      </w:r>
    </w:p>
    <w:p w:rsidR="00B85EB9" w:rsidRDefault="000C1C88">
      <w:pPr>
        <w:pStyle w:val="ManualNumPar1"/>
        <w:rPr>
          <w:noProof/>
        </w:rPr>
      </w:pPr>
      <w:r>
        <w:t>5.</w:t>
      </w:r>
      <w:r>
        <w:tab/>
      </w:r>
      <w:r>
        <w:rPr>
          <w:noProof/>
        </w:rPr>
        <w:t>La</w:t>
      </w:r>
      <w:r>
        <w:rPr>
          <w:noProof/>
        </w:rPr>
        <w:t xml:space="preserve"> demande concerne 2 287 travailleurs licenciés chez Caterpillar Solar Gosselies (Caterpillar) et cinq de ses fournisseurs. Caterpillar opère dans le secteur économique classé dans la division 28 de la NACE Rév. 2 (Fabrication de machines et équipements). L</w:t>
      </w:r>
      <w:r>
        <w:rPr>
          <w:noProof/>
        </w:rPr>
        <w:t>es licenciements effectués par les entreprises concernées ont eu lieu dans la province de Hainaut (niveau NUTS 2, BE32).</w:t>
      </w:r>
    </w:p>
    <w:tbl>
      <w:tblPr>
        <w:tblpPr w:leftFromText="180" w:rightFromText="180" w:vertAnchor="text" w:horzAnchor="margin" w:tblpXSpec="right" w:tblpY="191"/>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455"/>
        <w:gridCol w:w="1525"/>
      </w:tblGrid>
      <w:tr w:rsidR="00B85EB9">
        <w:trPr>
          <w:trHeight w:val="284"/>
          <w:tblHeader/>
        </w:trPr>
        <w:tc>
          <w:tcPr>
            <w:tcW w:w="8340" w:type="dxa"/>
            <w:gridSpan w:val="3"/>
            <w:shd w:val="clear" w:color="auto" w:fill="D9D9D9" w:themeFill="background1" w:themeFillShade="D9"/>
          </w:tcPr>
          <w:p w:rsidR="00B85EB9" w:rsidRDefault="000C1C88">
            <w:pPr>
              <w:spacing w:beforeLines="20" w:before="48" w:afterLines="20" w:after="48" w:line="276" w:lineRule="auto"/>
              <w:ind w:left="57"/>
              <w:jc w:val="center"/>
              <w:rPr>
                <w:rFonts w:eastAsia="Calibri"/>
                <w:noProof/>
                <w:szCs w:val="24"/>
              </w:rPr>
            </w:pPr>
            <w:r>
              <w:rPr>
                <w:b/>
                <w:noProof/>
              </w:rPr>
              <w:t>Entreprises et nombre de licenciements</w:t>
            </w:r>
          </w:p>
        </w:tc>
      </w:tr>
      <w:tr w:rsidR="00B85EB9">
        <w:tc>
          <w:tcPr>
            <w:tcW w:w="3360" w:type="dxa"/>
            <w:tcBorders>
              <w:bottom w:val="nil"/>
              <w:right w:val="nil"/>
            </w:tcBorders>
            <w:shd w:val="clear" w:color="auto" w:fill="auto"/>
            <w:vAlign w:val="center"/>
          </w:tcPr>
          <w:p w:rsidR="00B85EB9" w:rsidRDefault="000C1C88">
            <w:pPr>
              <w:spacing w:before="0" w:after="0"/>
              <w:ind w:right="252"/>
              <w:jc w:val="left"/>
              <w:rPr>
                <w:noProof/>
                <w:sz w:val="20"/>
                <w:szCs w:val="20"/>
              </w:rPr>
            </w:pPr>
            <w:r>
              <w:rPr>
                <w:noProof/>
                <w:sz w:val="20"/>
              </w:rPr>
              <w:t>Caterpillar</w:t>
            </w:r>
          </w:p>
        </w:tc>
        <w:tc>
          <w:tcPr>
            <w:tcW w:w="4980" w:type="dxa"/>
            <w:gridSpan w:val="2"/>
            <w:tcBorders>
              <w:left w:val="nil"/>
              <w:bottom w:val="nil"/>
            </w:tcBorders>
            <w:shd w:val="clear" w:color="auto" w:fill="auto"/>
            <w:vAlign w:val="center"/>
          </w:tcPr>
          <w:p w:rsidR="00B85EB9" w:rsidRDefault="000C1C88">
            <w:pPr>
              <w:spacing w:before="0" w:after="0"/>
              <w:ind w:left="-828"/>
              <w:jc w:val="right"/>
              <w:rPr>
                <w:noProof/>
                <w:sz w:val="20"/>
                <w:szCs w:val="20"/>
              </w:rPr>
            </w:pPr>
            <w:r>
              <w:rPr>
                <w:noProof/>
                <w:color w:val="000000" w:themeColor="text1"/>
                <w:sz w:val="20"/>
              </w:rPr>
              <w:t>1 997</w:t>
            </w:r>
          </w:p>
        </w:tc>
      </w:tr>
      <w:tr w:rsidR="00B85EB9">
        <w:tc>
          <w:tcPr>
            <w:tcW w:w="3360" w:type="dxa"/>
            <w:tcBorders>
              <w:bottom w:val="nil"/>
              <w:right w:val="nil"/>
            </w:tcBorders>
            <w:shd w:val="clear" w:color="auto" w:fill="auto"/>
            <w:vAlign w:val="center"/>
          </w:tcPr>
          <w:p w:rsidR="00B85EB9" w:rsidRDefault="000C1C88">
            <w:pPr>
              <w:spacing w:before="0" w:after="0"/>
              <w:ind w:right="252"/>
              <w:jc w:val="left"/>
              <w:rPr>
                <w:noProof/>
                <w:sz w:val="20"/>
                <w:szCs w:val="20"/>
              </w:rPr>
            </w:pPr>
            <w:r>
              <w:rPr>
                <w:noProof/>
                <w:sz w:val="20"/>
              </w:rPr>
              <w:t>Cediwal</w:t>
            </w:r>
          </w:p>
        </w:tc>
        <w:tc>
          <w:tcPr>
            <w:tcW w:w="4980" w:type="dxa"/>
            <w:gridSpan w:val="2"/>
            <w:tcBorders>
              <w:left w:val="nil"/>
              <w:bottom w:val="nil"/>
            </w:tcBorders>
            <w:shd w:val="clear" w:color="auto" w:fill="auto"/>
            <w:vAlign w:val="center"/>
          </w:tcPr>
          <w:p w:rsidR="00B85EB9" w:rsidRDefault="000C1C88">
            <w:pPr>
              <w:spacing w:before="0" w:after="0"/>
              <w:ind w:left="-828"/>
              <w:jc w:val="right"/>
              <w:rPr>
                <w:noProof/>
                <w:sz w:val="20"/>
                <w:szCs w:val="20"/>
              </w:rPr>
            </w:pPr>
            <w:r>
              <w:rPr>
                <w:noProof/>
                <w:sz w:val="20"/>
              </w:rPr>
              <w:t>68</w:t>
            </w:r>
          </w:p>
        </w:tc>
      </w:tr>
      <w:tr w:rsidR="00B85EB9">
        <w:tc>
          <w:tcPr>
            <w:tcW w:w="3360" w:type="dxa"/>
            <w:tcBorders>
              <w:bottom w:val="nil"/>
              <w:right w:val="nil"/>
            </w:tcBorders>
            <w:shd w:val="clear" w:color="auto" w:fill="auto"/>
            <w:vAlign w:val="center"/>
          </w:tcPr>
          <w:p w:rsidR="00B85EB9" w:rsidRDefault="000C1C88">
            <w:pPr>
              <w:spacing w:before="0" w:after="0"/>
              <w:ind w:right="252"/>
              <w:jc w:val="left"/>
              <w:rPr>
                <w:noProof/>
                <w:sz w:val="20"/>
                <w:szCs w:val="20"/>
              </w:rPr>
            </w:pPr>
            <w:r>
              <w:rPr>
                <w:noProof/>
                <w:sz w:val="20"/>
              </w:rPr>
              <w:t>Eutraco</w:t>
            </w:r>
          </w:p>
        </w:tc>
        <w:tc>
          <w:tcPr>
            <w:tcW w:w="4980" w:type="dxa"/>
            <w:gridSpan w:val="2"/>
            <w:tcBorders>
              <w:left w:val="nil"/>
              <w:bottom w:val="nil"/>
            </w:tcBorders>
            <w:shd w:val="clear" w:color="auto" w:fill="auto"/>
            <w:vAlign w:val="center"/>
          </w:tcPr>
          <w:p w:rsidR="00B85EB9" w:rsidRDefault="000C1C88">
            <w:pPr>
              <w:spacing w:before="0" w:after="0"/>
              <w:ind w:left="-828"/>
              <w:jc w:val="right"/>
              <w:rPr>
                <w:noProof/>
                <w:sz w:val="20"/>
                <w:szCs w:val="20"/>
              </w:rPr>
            </w:pPr>
            <w:r>
              <w:rPr>
                <w:noProof/>
                <w:sz w:val="20"/>
              </w:rPr>
              <w:t>63</w:t>
            </w:r>
          </w:p>
        </w:tc>
      </w:tr>
      <w:tr w:rsidR="00B85EB9">
        <w:tc>
          <w:tcPr>
            <w:tcW w:w="3360" w:type="dxa"/>
            <w:tcBorders>
              <w:bottom w:val="nil"/>
              <w:right w:val="nil"/>
            </w:tcBorders>
            <w:shd w:val="clear" w:color="auto" w:fill="auto"/>
            <w:vAlign w:val="center"/>
          </w:tcPr>
          <w:p w:rsidR="00B85EB9" w:rsidRDefault="000C1C88">
            <w:pPr>
              <w:spacing w:before="0" w:after="0"/>
              <w:ind w:right="252"/>
              <w:jc w:val="left"/>
              <w:rPr>
                <w:noProof/>
                <w:sz w:val="20"/>
                <w:szCs w:val="20"/>
              </w:rPr>
            </w:pPr>
            <w:r>
              <w:rPr>
                <w:noProof/>
                <w:sz w:val="20"/>
              </w:rPr>
              <w:lastRenderedPageBreak/>
              <w:t>Yusen</w:t>
            </w:r>
          </w:p>
        </w:tc>
        <w:tc>
          <w:tcPr>
            <w:tcW w:w="4980" w:type="dxa"/>
            <w:gridSpan w:val="2"/>
            <w:tcBorders>
              <w:left w:val="nil"/>
              <w:bottom w:val="nil"/>
            </w:tcBorders>
            <w:shd w:val="clear" w:color="auto" w:fill="auto"/>
            <w:vAlign w:val="center"/>
          </w:tcPr>
          <w:p w:rsidR="00B85EB9" w:rsidRDefault="000C1C88">
            <w:pPr>
              <w:spacing w:before="0" w:after="0"/>
              <w:ind w:left="-828"/>
              <w:jc w:val="right"/>
              <w:rPr>
                <w:noProof/>
                <w:sz w:val="20"/>
                <w:szCs w:val="20"/>
              </w:rPr>
            </w:pPr>
            <w:r>
              <w:rPr>
                <w:noProof/>
                <w:sz w:val="20"/>
              </w:rPr>
              <w:t>125</w:t>
            </w:r>
          </w:p>
        </w:tc>
      </w:tr>
      <w:tr w:rsidR="00B85EB9">
        <w:tc>
          <w:tcPr>
            <w:tcW w:w="3360" w:type="dxa"/>
            <w:tcBorders>
              <w:bottom w:val="single" w:sz="4" w:space="0" w:color="auto"/>
              <w:right w:val="nil"/>
            </w:tcBorders>
            <w:shd w:val="clear" w:color="auto" w:fill="auto"/>
            <w:vAlign w:val="center"/>
          </w:tcPr>
          <w:p w:rsidR="00B85EB9" w:rsidRDefault="000C1C88">
            <w:pPr>
              <w:spacing w:before="0" w:after="0"/>
              <w:ind w:right="252"/>
              <w:jc w:val="left"/>
              <w:rPr>
                <w:noProof/>
                <w:sz w:val="20"/>
                <w:szCs w:val="20"/>
              </w:rPr>
            </w:pPr>
            <w:r>
              <w:rPr>
                <w:noProof/>
                <w:sz w:val="20"/>
              </w:rPr>
              <w:t>Attecam</w:t>
            </w:r>
          </w:p>
        </w:tc>
        <w:tc>
          <w:tcPr>
            <w:tcW w:w="4980" w:type="dxa"/>
            <w:gridSpan w:val="2"/>
            <w:tcBorders>
              <w:left w:val="nil"/>
              <w:bottom w:val="single" w:sz="4" w:space="0" w:color="auto"/>
            </w:tcBorders>
            <w:shd w:val="clear" w:color="auto" w:fill="auto"/>
            <w:vAlign w:val="center"/>
          </w:tcPr>
          <w:p w:rsidR="00B85EB9" w:rsidRDefault="000C1C88">
            <w:pPr>
              <w:spacing w:before="0" w:after="0"/>
              <w:ind w:left="-828"/>
              <w:jc w:val="right"/>
              <w:rPr>
                <w:noProof/>
                <w:sz w:val="20"/>
                <w:szCs w:val="20"/>
              </w:rPr>
            </w:pPr>
            <w:r>
              <w:rPr>
                <w:noProof/>
                <w:sz w:val="20"/>
              </w:rPr>
              <w:t>9</w:t>
            </w:r>
          </w:p>
        </w:tc>
      </w:tr>
      <w:tr w:rsidR="00B85EB9">
        <w:tc>
          <w:tcPr>
            <w:tcW w:w="3360" w:type="dxa"/>
            <w:tcBorders>
              <w:bottom w:val="single" w:sz="4" w:space="0" w:color="auto"/>
              <w:right w:val="nil"/>
            </w:tcBorders>
            <w:shd w:val="clear" w:color="auto" w:fill="auto"/>
            <w:vAlign w:val="center"/>
          </w:tcPr>
          <w:p w:rsidR="00B85EB9" w:rsidRDefault="000C1C88">
            <w:pPr>
              <w:spacing w:before="0" w:after="0"/>
              <w:ind w:right="252"/>
              <w:jc w:val="left"/>
              <w:rPr>
                <w:rFonts w:eastAsia="Calibri"/>
                <w:noProof/>
                <w:sz w:val="20"/>
                <w:szCs w:val="20"/>
              </w:rPr>
            </w:pPr>
            <w:r>
              <w:rPr>
                <w:noProof/>
                <w:sz w:val="20"/>
              </w:rPr>
              <w:t>MHP</w:t>
            </w:r>
          </w:p>
        </w:tc>
        <w:tc>
          <w:tcPr>
            <w:tcW w:w="4980" w:type="dxa"/>
            <w:gridSpan w:val="2"/>
            <w:tcBorders>
              <w:left w:val="nil"/>
              <w:bottom w:val="single" w:sz="4" w:space="0" w:color="auto"/>
            </w:tcBorders>
            <w:shd w:val="clear" w:color="auto" w:fill="auto"/>
            <w:vAlign w:val="center"/>
          </w:tcPr>
          <w:p w:rsidR="00B85EB9" w:rsidRDefault="000C1C88">
            <w:pPr>
              <w:spacing w:before="0" w:after="0"/>
              <w:ind w:left="-828"/>
              <w:jc w:val="right"/>
              <w:rPr>
                <w:rFonts w:eastAsia="Calibri"/>
                <w:noProof/>
                <w:sz w:val="20"/>
                <w:szCs w:val="20"/>
              </w:rPr>
            </w:pPr>
            <w:r>
              <w:rPr>
                <w:noProof/>
                <w:sz w:val="20"/>
              </w:rPr>
              <w:t>25</w:t>
            </w:r>
          </w:p>
        </w:tc>
      </w:tr>
      <w:tr w:rsidR="00B85EB9">
        <w:tc>
          <w:tcPr>
            <w:tcW w:w="3360" w:type="dxa"/>
            <w:tcBorders>
              <w:top w:val="single" w:sz="4" w:space="0" w:color="auto"/>
              <w:bottom w:val="nil"/>
              <w:right w:val="nil"/>
            </w:tcBorders>
            <w:shd w:val="pct10" w:color="auto" w:fill="auto"/>
            <w:vAlign w:val="center"/>
          </w:tcPr>
          <w:p w:rsidR="00B85EB9" w:rsidRDefault="000C1C88">
            <w:pPr>
              <w:spacing w:before="0" w:after="0"/>
              <w:ind w:right="252"/>
              <w:jc w:val="left"/>
              <w:rPr>
                <w:noProof/>
                <w:sz w:val="20"/>
                <w:szCs w:val="20"/>
              </w:rPr>
            </w:pPr>
            <w:r>
              <w:rPr>
                <w:b/>
                <w:noProof/>
              </w:rPr>
              <w:t xml:space="preserve">Nombre total </w:t>
            </w:r>
            <w:r>
              <w:rPr>
                <w:b/>
                <w:noProof/>
              </w:rPr>
              <w:t>d’entreprises:</w:t>
            </w:r>
            <w:r>
              <w:rPr>
                <w:b/>
                <w:noProof/>
                <w:sz w:val="22"/>
              </w:rPr>
              <w:t xml:space="preserve"> 6</w:t>
            </w:r>
          </w:p>
        </w:tc>
        <w:tc>
          <w:tcPr>
            <w:tcW w:w="4980" w:type="dxa"/>
            <w:gridSpan w:val="2"/>
            <w:tcBorders>
              <w:top w:val="single" w:sz="4" w:space="0" w:color="auto"/>
              <w:left w:val="nil"/>
              <w:bottom w:val="nil"/>
            </w:tcBorders>
            <w:shd w:val="pct10" w:color="auto" w:fill="auto"/>
            <w:vAlign w:val="center"/>
          </w:tcPr>
          <w:p w:rsidR="00B85EB9" w:rsidRDefault="000C1C88">
            <w:pPr>
              <w:spacing w:before="0" w:after="0"/>
              <w:ind w:left="-828"/>
              <w:jc w:val="right"/>
              <w:rPr>
                <w:noProof/>
                <w:sz w:val="20"/>
                <w:szCs w:val="20"/>
              </w:rPr>
            </w:pPr>
            <w:r>
              <w:rPr>
                <w:b/>
                <w:noProof/>
              </w:rPr>
              <w:t>Nombre total de licenciements:</w:t>
            </w:r>
            <w:r>
              <w:rPr>
                <w:b/>
                <w:noProof/>
                <w:sz w:val="22"/>
              </w:rPr>
              <w:t xml:space="preserve"> 2 287</w:t>
            </w:r>
          </w:p>
        </w:tc>
      </w:tr>
      <w:tr w:rsidR="00B85EB9">
        <w:tc>
          <w:tcPr>
            <w:tcW w:w="6815" w:type="dxa"/>
            <w:gridSpan w:val="2"/>
            <w:tcBorders>
              <w:bottom w:val="nil"/>
              <w:right w:val="nil"/>
            </w:tcBorders>
            <w:shd w:val="pct10" w:color="auto" w:fill="auto"/>
            <w:vAlign w:val="center"/>
          </w:tcPr>
          <w:p w:rsidR="00B85EB9" w:rsidRDefault="000C1C88">
            <w:pPr>
              <w:spacing w:before="0" w:after="0"/>
              <w:ind w:right="252"/>
              <w:jc w:val="left"/>
              <w:rPr>
                <w:rFonts w:eastAsia="Calibri"/>
                <w:b/>
                <w:noProof/>
                <w:szCs w:val="24"/>
              </w:rPr>
            </w:pPr>
            <w:r>
              <w:rPr>
                <w:b/>
                <w:noProof/>
              </w:rPr>
              <w:t>Nombre total de travailleurs indépendants en cessation d’activité:</w:t>
            </w:r>
          </w:p>
        </w:tc>
        <w:tc>
          <w:tcPr>
            <w:tcW w:w="1525" w:type="dxa"/>
            <w:tcBorders>
              <w:left w:val="nil"/>
              <w:bottom w:val="nil"/>
            </w:tcBorders>
            <w:shd w:val="pct10" w:color="auto" w:fill="auto"/>
            <w:vAlign w:val="center"/>
          </w:tcPr>
          <w:p w:rsidR="00B85EB9" w:rsidRDefault="000C1C88">
            <w:pPr>
              <w:spacing w:before="0" w:after="0"/>
              <w:ind w:left="-828"/>
              <w:jc w:val="right"/>
              <w:rPr>
                <w:rFonts w:eastAsia="Calibri"/>
                <w:b/>
                <w:noProof/>
                <w:szCs w:val="24"/>
              </w:rPr>
            </w:pPr>
            <w:r>
              <w:rPr>
                <w:b/>
                <w:noProof/>
              </w:rPr>
              <w:t>0</w:t>
            </w:r>
          </w:p>
        </w:tc>
      </w:tr>
      <w:tr w:rsidR="00B85EB9">
        <w:tc>
          <w:tcPr>
            <w:tcW w:w="6815" w:type="dxa"/>
            <w:gridSpan w:val="2"/>
            <w:tcBorders>
              <w:bottom w:val="nil"/>
              <w:right w:val="nil"/>
            </w:tcBorders>
            <w:shd w:val="pct10" w:color="auto" w:fill="auto"/>
            <w:vAlign w:val="center"/>
          </w:tcPr>
          <w:p w:rsidR="00B85EB9" w:rsidRDefault="000C1C88">
            <w:pPr>
              <w:spacing w:before="0" w:after="0"/>
              <w:ind w:right="252"/>
              <w:jc w:val="left"/>
              <w:rPr>
                <w:rFonts w:eastAsia="Calibri"/>
                <w:b/>
                <w:noProof/>
                <w:szCs w:val="24"/>
              </w:rPr>
            </w:pPr>
            <w:r>
              <w:rPr>
                <w:b/>
                <w:noProof/>
              </w:rPr>
              <w:t>Nombre total de salariés et de travailleurs indépendants admissibles:</w:t>
            </w:r>
          </w:p>
        </w:tc>
        <w:tc>
          <w:tcPr>
            <w:tcW w:w="1525" w:type="dxa"/>
            <w:tcBorders>
              <w:left w:val="nil"/>
              <w:bottom w:val="nil"/>
            </w:tcBorders>
            <w:shd w:val="pct10" w:color="auto" w:fill="auto"/>
            <w:vAlign w:val="center"/>
          </w:tcPr>
          <w:p w:rsidR="00B85EB9" w:rsidRDefault="000C1C88">
            <w:pPr>
              <w:spacing w:before="0" w:after="0"/>
              <w:ind w:left="-828"/>
              <w:jc w:val="right"/>
              <w:rPr>
                <w:rFonts w:eastAsia="Calibri"/>
                <w:b/>
                <w:noProof/>
                <w:szCs w:val="24"/>
              </w:rPr>
            </w:pPr>
            <w:r>
              <w:rPr>
                <w:b/>
                <w:noProof/>
              </w:rPr>
              <w:t>2 287</w:t>
            </w:r>
          </w:p>
        </w:tc>
      </w:tr>
    </w:tbl>
    <w:p w:rsidR="00B85EB9" w:rsidRDefault="00B85EB9">
      <w:pPr>
        <w:pStyle w:val="Text1"/>
        <w:rPr>
          <w:noProof/>
        </w:rPr>
      </w:pPr>
    </w:p>
    <w:p w:rsidR="00B85EB9" w:rsidRDefault="00B85EB9">
      <w:pPr>
        <w:pStyle w:val="ManualHeading3"/>
        <w:rPr>
          <w:noProof/>
        </w:rPr>
      </w:pPr>
    </w:p>
    <w:p w:rsidR="00B85EB9" w:rsidRDefault="00B85EB9">
      <w:pPr>
        <w:pStyle w:val="Text1"/>
        <w:rPr>
          <w:noProof/>
        </w:rPr>
      </w:pPr>
    </w:p>
    <w:p w:rsidR="00B85EB9" w:rsidRDefault="00B85EB9">
      <w:pPr>
        <w:pStyle w:val="Text1"/>
        <w:rPr>
          <w:noProof/>
        </w:rPr>
      </w:pPr>
    </w:p>
    <w:p w:rsidR="00B85EB9" w:rsidRDefault="00B85EB9">
      <w:pPr>
        <w:pStyle w:val="Text1"/>
        <w:rPr>
          <w:noProof/>
        </w:rPr>
      </w:pPr>
    </w:p>
    <w:p w:rsidR="00B85EB9" w:rsidRDefault="00B85EB9">
      <w:pPr>
        <w:pStyle w:val="Text1"/>
        <w:rPr>
          <w:noProof/>
        </w:rPr>
      </w:pPr>
    </w:p>
    <w:p w:rsidR="00B85EB9" w:rsidRDefault="00B85EB9">
      <w:pPr>
        <w:pStyle w:val="Text1"/>
        <w:rPr>
          <w:noProof/>
        </w:rPr>
      </w:pPr>
    </w:p>
    <w:p w:rsidR="00B85EB9" w:rsidRDefault="000C1C88">
      <w:pPr>
        <w:pStyle w:val="ManualHeading3"/>
        <w:rPr>
          <w:noProof/>
        </w:rPr>
      </w:pPr>
      <w:r>
        <w:rPr>
          <w:noProof/>
        </w:rPr>
        <w:t>Critères d’intervention</w:t>
      </w:r>
    </w:p>
    <w:p w:rsidR="00B85EB9" w:rsidRDefault="000C1C88">
      <w:pPr>
        <w:pStyle w:val="ManualNumPar1"/>
        <w:rPr>
          <w:noProof/>
        </w:rPr>
      </w:pPr>
      <w:r>
        <w:t>6.</w:t>
      </w:r>
      <w:r>
        <w:tab/>
      </w:r>
      <w:r>
        <w:rPr>
          <w:noProof/>
        </w:rPr>
        <w:t>La Belgique présenté</w:t>
      </w:r>
      <w:r>
        <w:rPr>
          <w:noProof/>
        </w:rPr>
        <w:t xml:space="preserve"> la demande au titre du critère d’intervention énoncé à l’article 4, paragraphe 1, point a), du règlement FEM, selon lequel au moins 500 travailleurs doivent être licenciés sur une période de référence de quatre mois dans une entreprise d’un État membre, y</w:t>
      </w:r>
      <w:r>
        <w:rPr>
          <w:noProof/>
        </w:rPr>
        <w:t xml:space="preserve"> compris les travailleurs licenciés chez les fournisseurs et chez les producteurs en aval</w:t>
      </w:r>
      <w:bookmarkStart w:id="1" w:name="_Ref372189348"/>
      <w:r>
        <w:rPr>
          <w:noProof/>
        </w:rPr>
        <w:t>.</w:t>
      </w:r>
    </w:p>
    <w:p w:rsidR="00B85EB9" w:rsidRDefault="000C1C88">
      <w:pPr>
        <w:pStyle w:val="ManualNumPar1"/>
        <w:rPr>
          <w:noProof/>
        </w:rPr>
      </w:pPr>
      <w:r>
        <w:t>7.</w:t>
      </w:r>
      <w:r>
        <w:tab/>
      </w:r>
      <w:r>
        <w:rPr>
          <w:noProof/>
        </w:rPr>
        <w:t>La période de référence de quatre mois faisant l’objet de la demande s’étend du 31 mai 2017 au 30 septembre 2017.</w:t>
      </w:r>
      <w:bookmarkEnd w:id="1"/>
    </w:p>
    <w:p w:rsidR="00B85EB9" w:rsidRDefault="000C1C88">
      <w:pPr>
        <w:pStyle w:val="ManualNumPar1"/>
        <w:rPr>
          <w:noProof/>
        </w:rPr>
      </w:pPr>
      <w:r>
        <w:t>8.</w:t>
      </w:r>
      <w:r>
        <w:tab/>
      </w:r>
      <w:r>
        <w:rPr>
          <w:noProof/>
        </w:rPr>
        <w:t>Les licenciements au cours de la période de r</w:t>
      </w:r>
      <w:r>
        <w:rPr>
          <w:noProof/>
        </w:rPr>
        <w:t>éférence s’établissent comme suit:</w:t>
      </w:r>
    </w:p>
    <w:p w:rsidR="00B85EB9" w:rsidRDefault="000C1C88">
      <w:pPr>
        <w:pStyle w:val="Tiret1"/>
        <w:numPr>
          <w:ilvl w:val="0"/>
          <w:numId w:val="11"/>
        </w:numPr>
        <w:rPr>
          <w:noProof/>
        </w:rPr>
      </w:pPr>
      <w:r>
        <w:rPr>
          <w:noProof/>
        </w:rPr>
        <w:t>1 161 travailleurs licenciés chez Caterpillar,</w:t>
      </w:r>
    </w:p>
    <w:p w:rsidR="00B85EB9" w:rsidRDefault="000C1C88">
      <w:pPr>
        <w:pStyle w:val="Tiret1"/>
        <w:numPr>
          <w:ilvl w:val="0"/>
          <w:numId w:val="11"/>
        </w:numPr>
        <w:rPr>
          <w:noProof/>
        </w:rPr>
      </w:pPr>
      <w:r>
        <w:rPr>
          <w:noProof/>
        </w:rPr>
        <w:t>  203 travailleurs licenciés chez quatre fournisseurs de Caterpillar.</w:t>
      </w:r>
    </w:p>
    <w:p w:rsidR="00B85EB9" w:rsidRDefault="000C1C88">
      <w:pPr>
        <w:pStyle w:val="ManualHeading3"/>
        <w:rPr>
          <w:noProof/>
        </w:rPr>
      </w:pPr>
      <w:r>
        <w:rPr>
          <w:noProof/>
        </w:rPr>
        <w:t>Calcul du nombre de licenciements et de cessations d’activité</w:t>
      </w:r>
    </w:p>
    <w:p w:rsidR="00B85EB9" w:rsidRDefault="000C1C88">
      <w:pPr>
        <w:pStyle w:val="ManualNumPar1"/>
        <w:rPr>
          <w:noProof/>
        </w:rPr>
      </w:pPr>
      <w:r>
        <w:t>9.</w:t>
      </w:r>
      <w:r>
        <w:tab/>
      </w:r>
      <w:r>
        <w:rPr>
          <w:noProof/>
        </w:rPr>
        <w:t>Les 1 364 licenciements intervenus au c</w:t>
      </w:r>
      <w:r>
        <w:rPr>
          <w:noProof/>
        </w:rPr>
        <w:t>ours de la période de référence ont été calculés à partir de la date de la résiliation de fait du contrat de travail ou de son expiration.</w:t>
      </w:r>
    </w:p>
    <w:p w:rsidR="00B85EB9" w:rsidRDefault="000C1C88">
      <w:pPr>
        <w:pStyle w:val="ManualHeading3"/>
        <w:ind w:left="0" w:firstLine="0"/>
        <w:rPr>
          <w:noProof/>
        </w:rPr>
      </w:pPr>
      <w:r>
        <w:rPr>
          <w:noProof/>
        </w:rPr>
        <w:t>Bénéficiaires admissibles</w:t>
      </w:r>
    </w:p>
    <w:p w:rsidR="00B85EB9" w:rsidRDefault="000C1C88">
      <w:pPr>
        <w:pStyle w:val="ManualNumPar1"/>
        <w:rPr>
          <w:noProof/>
        </w:rPr>
      </w:pPr>
      <w:r>
        <w:t>10.</w:t>
      </w:r>
      <w:r>
        <w:tab/>
      </w:r>
      <w:r>
        <w:rPr>
          <w:noProof/>
        </w:rPr>
        <w:t>Outre les salariés déjà évoqués, les bénéficiaires admissibles incluent 923 salariés li</w:t>
      </w:r>
      <w:r>
        <w:rPr>
          <w:noProof/>
        </w:rPr>
        <w:t>cenciés avant ou après la période de référence de quatre mois. Par conséquent, le nombre total de bénéficiaires admissibles s’élève à 2 287. Il n’y a pas de chevauchement entre les travailleurs ayant bénéficié d’un soutien dans le cadre du dossier EGF/2014</w:t>
      </w:r>
      <w:r>
        <w:rPr>
          <w:noProof/>
        </w:rPr>
        <w:t>/011 BE/Caterpillar et ceux concernés par la présente demande.</w:t>
      </w:r>
    </w:p>
    <w:p w:rsidR="00B85EB9" w:rsidRDefault="000C1C88">
      <w:pPr>
        <w:pStyle w:val="ManualHeading2"/>
        <w:rPr>
          <w:noProof/>
        </w:rPr>
      </w:pPr>
      <w:r>
        <w:rPr>
          <w:noProof/>
        </w:rPr>
        <w:t>Lien entre les licenciements et les modifications majeures de la structure du commerce international résultant de la mondialisation</w:t>
      </w:r>
    </w:p>
    <w:p w:rsidR="00B85EB9" w:rsidRDefault="000C1C88">
      <w:pPr>
        <w:pStyle w:val="ManualNumPar1"/>
        <w:rPr>
          <w:noProof/>
        </w:rPr>
      </w:pPr>
      <w:r>
        <w:t>11.</w:t>
      </w:r>
      <w:r>
        <w:tab/>
      </w:r>
      <w:r>
        <w:rPr>
          <w:noProof/>
        </w:rPr>
        <w:t>Afin d’établir le lien entre les licenciements et les mod</w:t>
      </w:r>
      <w:r>
        <w:rPr>
          <w:noProof/>
        </w:rPr>
        <w:t>ifications majeures de la structure du commerce mondial résultant de la mondialisation, la Belgique fait valoir que la principale raison des réductions d’effectifs est la concurrence mondiale dans les secteurs de la construction et des machines pour l’extr</w:t>
      </w:r>
      <w:r>
        <w:rPr>
          <w:noProof/>
        </w:rPr>
        <w:t>action minière, et la perte de parts sur le marché des machines en ayant résulté pour Caterpillar</w:t>
      </w:r>
      <w:r>
        <w:rPr>
          <w:rStyle w:val="FootnoteReference"/>
          <w:noProof/>
        </w:rPr>
        <w:footnoteReference w:id="7"/>
      </w:r>
      <w:r>
        <w:rPr>
          <w:noProof/>
        </w:rPr>
        <w:t>.</w:t>
      </w:r>
    </w:p>
    <w:p w:rsidR="00B85EB9" w:rsidRDefault="000C1C88">
      <w:pPr>
        <w:pStyle w:val="ManualNumPar1"/>
        <w:rPr>
          <w:noProof/>
        </w:rPr>
      </w:pPr>
      <w:r>
        <w:t>12.</w:t>
      </w:r>
      <w:r>
        <w:tab/>
      </w:r>
      <w:r>
        <w:rPr>
          <w:noProof/>
        </w:rPr>
        <w:t>La production du secteur minier en Europe a diminué, passant de 234 millions d’EUR en 2012 à 180 millions d’EUR en 2015</w:t>
      </w:r>
      <w:r>
        <w:rPr>
          <w:rStyle w:val="FootnoteReference"/>
          <w:noProof/>
        </w:rPr>
        <w:footnoteReference w:id="8"/>
      </w:r>
      <w:r>
        <w:rPr>
          <w:noProof/>
        </w:rPr>
        <w:t>, et les exportations de l’UE-28</w:t>
      </w:r>
      <w:r>
        <w:rPr>
          <w:noProof/>
        </w:rPr>
        <w:t xml:space="preserve"> connaissent une forte baisse depuis 2014</w:t>
      </w:r>
      <w:r>
        <w:rPr>
          <w:rStyle w:val="FootnoteReference"/>
          <w:noProof/>
        </w:rPr>
        <w:footnoteReference w:id="9"/>
      </w:r>
      <w:r>
        <w:rPr>
          <w:noProof/>
        </w:rPr>
        <w:t>.</w:t>
      </w:r>
    </w:p>
    <w:p w:rsidR="00B85EB9" w:rsidRDefault="000C1C88">
      <w:pPr>
        <w:pStyle w:val="ManualNumPar1"/>
        <w:rPr>
          <w:noProof/>
        </w:rPr>
      </w:pPr>
      <w:r>
        <w:t>13.</w:t>
      </w:r>
      <w:r>
        <w:tab/>
      </w:r>
      <w:r>
        <w:rPr>
          <w:noProof/>
        </w:rPr>
        <w:t>Selon les informations fournies par les autorités belges, les sites de production de Caterpillar sont situés à proximité de leurs marchés, ce qui explique le lien entre les évolutions sur le marché européen e</w:t>
      </w:r>
      <w:r>
        <w:rPr>
          <w:noProof/>
        </w:rPr>
        <w:t>t mondial et la réduction des effectifs sur le site de Gosselies. En particulier, la part de l’Asie dans les ventes de Caterpillar a presque doublé entre 2003 et 2013</w:t>
      </w:r>
      <w:r>
        <w:rPr>
          <w:rStyle w:val="FootnoteReference"/>
          <w:noProof/>
        </w:rPr>
        <w:footnoteReference w:id="10"/>
      </w:r>
      <w:r>
        <w:rPr>
          <w:noProof/>
        </w:rPr>
        <w:t>.</w:t>
      </w:r>
    </w:p>
    <w:p w:rsidR="00B85EB9" w:rsidRDefault="000C1C88">
      <w:pPr>
        <w:pStyle w:val="ManualNumPar1"/>
        <w:rPr>
          <w:noProof/>
        </w:rPr>
      </w:pPr>
      <w:r>
        <w:t>14.</w:t>
      </w:r>
      <w:r>
        <w:tab/>
      </w:r>
      <w:r>
        <w:rPr>
          <w:noProof/>
        </w:rPr>
        <w:t>En 2008, le prix de l’acier européen a fortement augmenté, tandis que le prix chino</w:t>
      </w:r>
      <w:r>
        <w:rPr>
          <w:noProof/>
        </w:rPr>
        <w:t>is a diminué et demeure inférieur au prix européen</w:t>
      </w:r>
      <w:r>
        <w:rPr>
          <w:rStyle w:val="FootnoteReference"/>
          <w:noProof/>
        </w:rPr>
        <w:footnoteReference w:id="11"/>
      </w:r>
      <w:r>
        <w:rPr>
          <w:noProof/>
        </w:rPr>
        <w:t>. Une machine produite à Gosselies est ainsi 21 % plus chère qu’une machine fabriquée en Chine</w:t>
      </w:r>
      <w:r>
        <w:rPr>
          <w:rStyle w:val="FootnoteReference"/>
          <w:noProof/>
        </w:rPr>
        <w:footnoteReference w:id="12"/>
      </w:r>
      <w:r>
        <w:rPr>
          <w:noProof/>
        </w:rPr>
        <w:t>.</w:t>
      </w:r>
    </w:p>
    <w:p w:rsidR="00B85EB9" w:rsidRDefault="000C1C88">
      <w:pPr>
        <w:pStyle w:val="ManualHeading3"/>
        <w:rPr>
          <w:noProof/>
        </w:rPr>
      </w:pPr>
      <w:r>
        <w:rPr>
          <w:noProof/>
        </w:rPr>
        <w:t>Événements à l’origine des licenciements et des cessations d’activité</w:t>
      </w:r>
    </w:p>
    <w:p w:rsidR="00B85EB9" w:rsidRDefault="000C1C88">
      <w:pPr>
        <w:pStyle w:val="ManualNumPar1"/>
        <w:rPr>
          <w:noProof/>
        </w:rPr>
      </w:pPr>
      <w:r>
        <w:t>15.</w:t>
      </w:r>
      <w:r>
        <w:tab/>
      </w:r>
      <w:r>
        <w:rPr>
          <w:noProof/>
        </w:rPr>
        <w:t>Le principal événement qui a donné</w:t>
      </w:r>
      <w:r>
        <w:rPr>
          <w:noProof/>
        </w:rPr>
        <w:t xml:space="preserve"> lieu à ces licenciements est l’annonce par l’entreprise Caterpillar Belgium S.A., le 2 septembre 2016, de l’ouverture de la procédure de licenciement collectif sur son site de production à Gosselies.</w:t>
      </w:r>
    </w:p>
    <w:p w:rsidR="00B85EB9" w:rsidRDefault="000C1C88">
      <w:pPr>
        <w:pStyle w:val="ManualNumPar1"/>
        <w:rPr>
          <w:noProof/>
        </w:rPr>
      </w:pPr>
      <w:r>
        <w:t>16.</w:t>
      </w:r>
      <w:r>
        <w:tab/>
      </w:r>
      <w:r>
        <w:rPr>
          <w:noProof/>
        </w:rPr>
        <w:t>Il s’agit déjà de la deuxième demande de mobilisati</w:t>
      </w:r>
      <w:r>
        <w:rPr>
          <w:noProof/>
        </w:rPr>
        <w:t>on du FEM faite par la Belgique en rapport avec Caterpillar. En 2014, 1 399 travailleurs avaient fait l’objet de la première demande d’intervention du FEM liée aux licenciements dans l’entreprise. La proposition actuelle inclut les 1 997 travailleurs resta</w:t>
      </w:r>
      <w:r>
        <w:rPr>
          <w:noProof/>
        </w:rPr>
        <w:t>nt sur le site.</w:t>
      </w:r>
    </w:p>
    <w:p w:rsidR="00B85EB9" w:rsidRDefault="000C1C88">
      <w:pPr>
        <w:pStyle w:val="ManualNumPar1"/>
        <w:rPr>
          <w:noProof/>
        </w:rPr>
      </w:pPr>
      <w:r>
        <w:t>17.</w:t>
      </w:r>
      <w:r>
        <w:tab/>
      </w:r>
      <w:r>
        <w:rPr>
          <w:noProof/>
        </w:rPr>
        <w:t>En 2015, Caterpillar a investi dans une nouvelle ligne d’assemblage afin de renforcer sa position sur le marché. Toutefois, contrairement aux attentes, la croissance économique en Europe a été très lente et la situation économique de l’</w:t>
      </w:r>
      <w:r>
        <w:rPr>
          <w:noProof/>
        </w:rPr>
        <w:t>entreprise ne s’est donc pas redressée comme prévu.</w:t>
      </w:r>
    </w:p>
    <w:p w:rsidR="00B85EB9" w:rsidRDefault="000C1C88">
      <w:pPr>
        <w:pStyle w:val="ManualNumPar1"/>
        <w:rPr>
          <w:noProof/>
        </w:rPr>
      </w:pPr>
      <w:r>
        <w:t>18.</w:t>
      </w:r>
      <w:r>
        <w:tab/>
      </w:r>
      <w:r>
        <w:rPr>
          <w:noProof/>
        </w:rPr>
        <w:t>Par rapport à d’autres sites de production, l’usine belge de Gosselies n’est plus compétitive. En conséquence, Caterpillar a délocalisé sa production dans des pays émergents d’Asie et d’Amérique latin</w:t>
      </w:r>
      <w:r>
        <w:rPr>
          <w:noProof/>
        </w:rPr>
        <w:t>e, comme la Chine et la Corée du Sud, en raison de la forte croissance des nouveaux marchés et des coûts de production bas, liés à des réglementations environnementales moins strictes et à des coûts horaires de la main-d’œuvre inférieurs.</w:t>
      </w:r>
      <w:r>
        <w:rPr>
          <w:b/>
          <w:noProof/>
        </w:rPr>
        <w:t xml:space="preserve"> </w:t>
      </w:r>
      <w:r>
        <w:rPr>
          <w:noProof/>
        </w:rPr>
        <w:t xml:space="preserve">La société cesse </w:t>
      </w:r>
      <w:r>
        <w:rPr>
          <w:noProof/>
        </w:rPr>
        <w:t>à présent toutes ses activités en Belgique.</w:t>
      </w:r>
    </w:p>
    <w:p w:rsidR="00B85EB9" w:rsidRDefault="000C1C88">
      <w:pPr>
        <w:pStyle w:val="ManualHeading3"/>
        <w:tabs>
          <w:tab w:val="clear" w:pos="850"/>
          <w:tab w:val="left" w:pos="0"/>
        </w:tabs>
        <w:ind w:left="0" w:firstLine="0"/>
        <w:rPr>
          <w:noProof/>
        </w:rPr>
      </w:pPr>
      <w:r>
        <w:rPr>
          <w:noProof/>
        </w:rPr>
        <w:t>Effets attendus des licenciements sur l’économie et l’emploi au niveau local, régional ou national</w:t>
      </w:r>
    </w:p>
    <w:p w:rsidR="00B85EB9" w:rsidRDefault="000C1C88">
      <w:pPr>
        <w:pStyle w:val="ManualNumPar1"/>
        <w:rPr>
          <w:noProof/>
        </w:rPr>
      </w:pPr>
      <w:r>
        <w:t>19.</w:t>
      </w:r>
      <w:r>
        <w:tab/>
      </w:r>
      <w:r>
        <w:rPr>
          <w:noProof/>
        </w:rPr>
        <w:t>Le taux de chômage devrait augmenter de 6,1 % dans la province de Hainaut, selon le service public de l’emplo</w:t>
      </w:r>
      <w:r>
        <w:rPr>
          <w:noProof/>
        </w:rPr>
        <w:t>i en Wallonie (Forem)</w:t>
      </w:r>
      <w:r>
        <w:rPr>
          <w:rStyle w:val="FootnoteReference"/>
          <w:noProof/>
        </w:rPr>
        <w:footnoteReference w:id="13"/>
      </w:r>
      <w:r>
        <w:rPr>
          <w:noProof/>
        </w:rPr>
        <w:t>.</w:t>
      </w:r>
    </w:p>
    <w:p w:rsidR="00B85EB9" w:rsidRDefault="000C1C88">
      <w:pPr>
        <w:pStyle w:val="ManualNumPar1"/>
        <w:rPr>
          <w:noProof/>
        </w:rPr>
      </w:pPr>
      <w:r>
        <w:t>20.</w:t>
      </w:r>
      <w:r>
        <w:tab/>
      </w:r>
      <w:r>
        <w:rPr>
          <w:noProof/>
        </w:rPr>
        <w:t>La fermeture de l’usine Caterpillar a entraîné le licenciement de 288 travailleurs chez ses fournisseurs.</w:t>
      </w:r>
    </w:p>
    <w:p w:rsidR="00B85EB9" w:rsidRDefault="000C1C88">
      <w:pPr>
        <w:pStyle w:val="ManualNumPar1"/>
        <w:rPr>
          <w:noProof/>
        </w:rPr>
      </w:pPr>
      <w:r>
        <w:t>21.</w:t>
      </w:r>
      <w:r>
        <w:tab/>
      </w:r>
      <w:r>
        <w:rPr>
          <w:noProof/>
        </w:rPr>
        <w:t>Plus de 11 % des travailleurs visés par les mesures ont plus de 55 ans.</w:t>
      </w:r>
    </w:p>
    <w:p w:rsidR="00B85EB9" w:rsidRDefault="000C1C88">
      <w:pPr>
        <w:pStyle w:val="ManualNumPar1"/>
        <w:rPr>
          <w:noProof/>
        </w:rPr>
      </w:pPr>
      <w:r>
        <w:t>22.</w:t>
      </w:r>
      <w:r>
        <w:tab/>
      </w:r>
      <w:r>
        <w:rPr>
          <w:noProof/>
        </w:rPr>
        <w:t>Les demandeurs d’emploi à Charleroi sont p</w:t>
      </w:r>
      <w:r>
        <w:rPr>
          <w:noProof/>
        </w:rPr>
        <w:t>our la plupart peu qualifiés (50,6 % n’ont pas de diplôme du deuxième cycle de l’enseignement secondaire) et 40 % sont des chômeurs de longue durée (plus de 24 mois). Le taux d’emploi à Charleroi n’est que de 52,2 %, soit près de cinq points de pourcentage</w:t>
      </w:r>
      <w:r>
        <w:rPr>
          <w:noProof/>
        </w:rPr>
        <w:t xml:space="preserve"> de moins que le taux moyen en Région wallonne (57,1 %) (Source: Forem)</w:t>
      </w:r>
      <w:r>
        <w:rPr>
          <w:rStyle w:val="FootnoteReference"/>
          <w:noProof/>
        </w:rPr>
        <w:footnoteReference w:id="14"/>
      </w:r>
      <w:r>
        <w:rPr>
          <w:noProof/>
        </w:rPr>
        <w:t>.</w:t>
      </w:r>
    </w:p>
    <w:p w:rsidR="00B85EB9" w:rsidRDefault="000C1C88">
      <w:pPr>
        <w:pStyle w:val="ManualHeading2"/>
        <w:rPr>
          <w:noProof/>
        </w:rPr>
      </w:pPr>
      <w:r>
        <w:rPr>
          <w:noProof/>
        </w:rPr>
        <w:t>Bénéficiaires visés et actions proposées</w:t>
      </w:r>
    </w:p>
    <w:p w:rsidR="00B85EB9" w:rsidRDefault="000C1C88">
      <w:pPr>
        <w:pStyle w:val="ManualHeading3"/>
        <w:rPr>
          <w:noProof/>
        </w:rPr>
      </w:pPr>
      <w:r>
        <w:rPr>
          <w:noProof/>
        </w:rPr>
        <w:t>Bénéficiaires visés</w:t>
      </w:r>
    </w:p>
    <w:p w:rsidR="00B85EB9" w:rsidRDefault="000C1C88">
      <w:pPr>
        <w:pStyle w:val="ManualNumPar1"/>
        <w:rPr>
          <w:noProof/>
        </w:rPr>
      </w:pPr>
      <w:r>
        <w:t>23.</w:t>
      </w:r>
      <w:r>
        <w:tab/>
      </w:r>
      <w:r>
        <w:rPr>
          <w:noProof/>
        </w:rPr>
        <w:t xml:space="preserve">Les 2 287 travailleurs licenciés devraient participer aux mesures. La ventilation par sexe, nationalité et tranche </w:t>
      </w:r>
      <w:r>
        <w:rPr>
          <w:noProof/>
        </w:rPr>
        <w:t>d’âge des travailleurs concernés est la suivante:</w:t>
      </w:r>
    </w:p>
    <w:tbl>
      <w:tblPr>
        <w:tblW w:w="0" w:type="auto"/>
        <w:jc w:val="center"/>
        <w:tblLook w:val="04A0" w:firstRow="1" w:lastRow="0" w:firstColumn="1" w:lastColumn="0" w:noHBand="0" w:noVBand="1"/>
      </w:tblPr>
      <w:tblGrid>
        <w:gridCol w:w="1496"/>
        <w:gridCol w:w="2063"/>
        <w:gridCol w:w="1176"/>
        <w:gridCol w:w="1485"/>
      </w:tblGrid>
      <w:tr w:rsidR="00B85EB9">
        <w:trPr>
          <w:jc w:val="center"/>
        </w:trPr>
        <w:tc>
          <w:tcPr>
            <w:tcW w:w="3559" w:type="dxa"/>
            <w:gridSpan w:val="2"/>
            <w:tcBorders>
              <w:top w:val="single" w:sz="4" w:space="0" w:color="auto"/>
              <w:left w:val="nil"/>
              <w:bottom w:val="single" w:sz="4" w:space="0" w:color="auto"/>
              <w:right w:val="nil"/>
            </w:tcBorders>
            <w:hideMark/>
          </w:tcPr>
          <w:p w:rsidR="00B85EB9" w:rsidRDefault="000C1C88">
            <w:pPr>
              <w:spacing w:before="60" w:after="60"/>
              <w:jc w:val="center"/>
              <w:rPr>
                <w:noProof/>
              </w:rPr>
            </w:pPr>
            <w:r>
              <w:rPr>
                <w:noProof/>
              </w:rPr>
              <w:t>Catégorie</w:t>
            </w:r>
          </w:p>
        </w:tc>
        <w:tc>
          <w:tcPr>
            <w:tcW w:w="2661" w:type="dxa"/>
            <w:gridSpan w:val="2"/>
            <w:tcBorders>
              <w:top w:val="single" w:sz="4" w:space="0" w:color="auto"/>
              <w:left w:val="nil"/>
              <w:bottom w:val="single" w:sz="4" w:space="0" w:color="auto"/>
              <w:right w:val="nil"/>
            </w:tcBorders>
            <w:hideMark/>
          </w:tcPr>
          <w:p w:rsidR="00B85EB9" w:rsidRDefault="000C1C88">
            <w:pPr>
              <w:spacing w:before="60" w:after="60"/>
              <w:jc w:val="center"/>
              <w:rPr>
                <w:noProof/>
              </w:rPr>
            </w:pPr>
            <w:r>
              <w:rPr>
                <w:noProof/>
              </w:rPr>
              <w:t>Nombre de</w:t>
            </w:r>
            <w:r>
              <w:rPr>
                <w:noProof/>
              </w:rPr>
              <w:br/>
              <w:t>bénéficiaires visés</w:t>
            </w:r>
          </w:p>
        </w:tc>
      </w:tr>
      <w:tr w:rsidR="00B85EB9">
        <w:trPr>
          <w:jc w:val="center"/>
        </w:trPr>
        <w:tc>
          <w:tcPr>
            <w:tcW w:w="1496" w:type="dxa"/>
            <w:tcBorders>
              <w:top w:val="single" w:sz="4" w:space="0" w:color="auto"/>
              <w:left w:val="nil"/>
              <w:bottom w:val="nil"/>
              <w:right w:val="nil"/>
            </w:tcBorders>
            <w:hideMark/>
          </w:tcPr>
          <w:p w:rsidR="00B85EB9" w:rsidRDefault="000C1C88">
            <w:pPr>
              <w:spacing w:before="60" w:after="60"/>
              <w:rPr>
                <w:noProof/>
              </w:rPr>
            </w:pPr>
            <w:r>
              <w:rPr>
                <w:noProof/>
              </w:rPr>
              <w:t>Sexe:</w:t>
            </w:r>
          </w:p>
        </w:tc>
        <w:tc>
          <w:tcPr>
            <w:tcW w:w="2063" w:type="dxa"/>
            <w:tcBorders>
              <w:top w:val="single" w:sz="4" w:space="0" w:color="auto"/>
              <w:left w:val="nil"/>
              <w:right w:val="nil"/>
            </w:tcBorders>
            <w:hideMark/>
          </w:tcPr>
          <w:p w:rsidR="00B85EB9" w:rsidRDefault="000C1C88">
            <w:pPr>
              <w:spacing w:before="60" w:after="60"/>
              <w:rPr>
                <w:noProof/>
              </w:rPr>
            </w:pPr>
            <w:r>
              <w:rPr>
                <w:noProof/>
              </w:rPr>
              <w:t>Hommes:</w:t>
            </w:r>
          </w:p>
        </w:tc>
        <w:tc>
          <w:tcPr>
            <w:tcW w:w="1176" w:type="dxa"/>
            <w:tcBorders>
              <w:top w:val="single" w:sz="4" w:space="0" w:color="auto"/>
              <w:left w:val="nil"/>
              <w:right w:val="nil"/>
            </w:tcBorders>
            <w:hideMark/>
          </w:tcPr>
          <w:p w:rsidR="00B85EB9" w:rsidRDefault="000C1C88">
            <w:pPr>
              <w:spacing w:before="60" w:after="60"/>
              <w:jc w:val="right"/>
              <w:rPr>
                <w:noProof/>
              </w:rPr>
            </w:pPr>
            <w:r>
              <w:rPr>
                <w:noProof/>
              </w:rPr>
              <w:t>2 115</w:t>
            </w:r>
          </w:p>
        </w:tc>
        <w:tc>
          <w:tcPr>
            <w:tcW w:w="1485" w:type="dxa"/>
            <w:tcBorders>
              <w:top w:val="single" w:sz="4" w:space="0" w:color="auto"/>
              <w:left w:val="nil"/>
              <w:right w:val="nil"/>
            </w:tcBorders>
            <w:hideMark/>
          </w:tcPr>
          <w:p w:rsidR="00B85EB9" w:rsidRDefault="000C1C88">
            <w:pPr>
              <w:spacing w:before="60" w:after="60"/>
              <w:jc w:val="right"/>
              <w:rPr>
                <w:noProof/>
              </w:rPr>
            </w:pPr>
            <w:r>
              <w:rPr>
                <w:noProof/>
              </w:rPr>
              <w:t>(92,47 %)</w:t>
            </w:r>
          </w:p>
        </w:tc>
      </w:tr>
      <w:tr w:rsidR="00B85EB9">
        <w:trPr>
          <w:jc w:val="center"/>
        </w:trPr>
        <w:tc>
          <w:tcPr>
            <w:tcW w:w="1496" w:type="dxa"/>
            <w:tcBorders>
              <w:top w:val="nil"/>
              <w:left w:val="nil"/>
              <w:bottom w:val="single" w:sz="4" w:space="0" w:color="auto"/>
              <w:right w:val="nil"/>
            </w:tcBorders>
          </w:tcPr>
          <w:p w:rsidR="00B85EB9" w:rsidRDefault="00B85EB9">
            <w:pPr>
              <w:spacing w:before="60" w:after="60"/>
              <w:rPr>
                <w:noProof/>
              </w:rPr>
            </w:pPr>
          </w:p>
        </w:tc>
        <w:tc>
          <w:tcPr>
            <w:tcW w:w="2063" w:type="dxa"/>
            <w:tcBorders>
              <w:top w:val="nil"/>
              <w:left w:val="nil"/>
              <w:bottom w:val="single" w:sz="4" w:space="0" w:color="auto"/>
              <w:right w:val="nil"/>
            </w:tcBorders>
            <w:hideMark/>
          </w:tcPr>
          <w:p w:rsidR="00B85EB9" w:rsidRDefault="000C1C88">
            <w:pPr>
              <w:spacing w:before="60" w:after="60"/>
              <w:rPr>
                <w:noProof/>
              </w:rPr>
            </w:pPr>
            <w:r>
              <w:rPr>
                <w:noProof/>
              </w:rPr>
              <w:t>Femmes:</w:t>
            </w:r>
          </w:p>
        </w:tc>
        <w:tc>
          <w:tcPr>
            <w:tcW w:w="1176" w:type="dxa"/>
            <w:tcBorders>
              <w:bottom w:val="single" w:sz="4" w:space="0" w:color="auto"/>
            </w:tcBorders>
            <w:hideMark/>
          </w:tcPr>
          <w:p w:rsidR="00B85EB9" w:rsidRDefault="000C1C88">
            <w:pPr>
              <w:spacing w:before="60" w:after="60"/>
              <w:jc w:val="right"/>
              <w:rPr>
                <w:noProof/>
              </w:rPr>
            </w:pPr>
            <w:r>
              <w:rPr>
                <w:noProof/>
              </w:rPr>
              <w:t> 172</w:t>
            </w:r>
          </w:p>
        </w:tc>
        <w:tc>
          <w:tcPr>
            <w:tcW w:w="1485" w:type="dxa"/>
            <w:tcBorders>
              <w:bottom w:val="single" w:sz="4" w:space="0" w:color="auto"/>
            </w:tcBorders>
            <w:hideMark/>
          </w:tcPr>
          <w:p w:rsidR="00B85EB9" w:rsidRDefault="000C1C88">
            <w:pPr>
              <w:spacing w:before="60" w:after="60"/>
              <w:jc w:val="right"/>
              <w:rPr>
                <w:noProof/>
              </w:rPr>
            </w:pPr>
            <w:r>
              <w:rPr>
                <w:noProof/>
              </w:rPr>
              <w:t>(7,53 %)</w:t>
            </w:r>
          </w:p>
        </w:tc>
      </w:tr>
      <w:tr w:rsidR="00B85EB9">
        <w:trPr>
          <w:jc w:val="center"/>
        </w:trPr>
        <w:tc>
          <w:tcPr>
            <w:tcW w:w="1496" w:type="dxa"/>
            <w:tcBorders>
              <w:top w:val="single" w:sz="4" w:space="0" w:color="auto"/>
              <w:left w:val="nil"/>
              <w:bottom w:val="nil"/>
              <w:right w:val="nil"/>
            </w:tcBorders>
            <w:hideMark/>
          </w:tcPr>
          <w:p w:rsidR="00B85EB9" w:rsidRDefault="000C1C88">
            <w:pPr>
              <w:spacing w:before="60" w:after="60"/>
              <w:rPr>
                <w:noProof/>
              </w:rPr>
            </w:pPr>
            <w:r>
              <w:rPr>
                <w:noProof/>
              </w:rPr>
              <w:t>Nationalité:</w:t>
            </w:r>
          </w:p>
        </w:tc>
        <w:tc>
          <w:tcPr>
            <w:tcW w:w="2063" w:type="dxa"/>
            <w:tcBorders>
              <w:top w:val="single" w:sz="4" w:space="0" w:color="auto"/>
              <w:left w:val="nil"/>
              <w:bottom w:val="nil"/>
              <w:right w:val="nil"/>
            </w:tcBorders>
            <w:hideMark/>
          </w:tcPr>
          <w:p w:rsidR="00B85EB9" w:rsidRDefault="000C1C88">
            <w:pPr>
              <w:spacing w:before="60" w:after="60"/>
              <w:rPr>
                <w:noProof/>
              </w:rPr>
            </w:pPr>
            <w:r>
              <w:rPr>
                <w:noProof/>
              </w:rPr>
              <w:t>Citoyens de l’UE:</w:t>
            </w:r>
          </w:p>
        </w:tc>
        <w:tc>
          <w:tcPr>
            <w:tcW w:w="1176" w:type="dxa"/>
            <w:tcBorders>
              <w:top w:val="single" w:sz="4" w:space="0" w:color="auto"/>
            </w:tcBorders>
            <w:hideMark/>
          </w:tcPr>
          <w:p w:rsidR="00B85EB9" w:rsidRDefault="000C1C88">
            <w:pPr>
              <w:spacing w:before="60" w:after="60"/>
              <w:jc w:val="right"/>
              <w:rPr>
                <w:noProof/>
              </w:rPr>
            </w:pPr>
            <w:r>
              <w:rPr>
                <w:noProof/>
              </w:rPr>
              <w:t>2 233</w:t>
            </w:r>
          </w:p>
        </w:tc>
        <w:tc>
          <w:tcPr>
            <w:tcW w:w="1485" w:type="dxa"/>
            <w:tcBorders>
              <w:top w:val="single" w:sz="4" w:space="0" w:color="auto"/>
            </w:tcBorders>
            <w:hideMark/>
          </w:tcPr>
          <w:p w:rsidR="00B85EB9" w:rsidRDefault="000C1C88">
            <w:pPr>
              <w:spacing w:before="60" w:after="60"/>
              <w:jc w:val="right"/>
              <w:rPr>
                <w:noProof/>
              </w:rPr>
            </w:pPr>
            <w:r>
              <w:rPr>
                <w:noProof/>
              </w:rPr>
              <w:t>(97,64 %)</w:t>
            </w:r>
          </w:p>
        </w:tc>
      </w:tr>
      <w:tr w:rsidR="00B85EB9">
        <w:trPr>
          <w:jc w:val="center"/>
        </w:trPr>
        <w:tc>
          <w:tcPr>
            <w:tcW w:w="1496" w:type="dxa"/>
            <w:tcBorders>
              <w:top w:val="nil"/>
              <w:left w:val="nil"/>
              <w:bottom w:val="single" w:sz="4" w:space="0" w:color="auto"/>
              <w:right w:val="nil"/>
            </w:tcBorders>
          </w:tcPr>
          <w:p w:rsidR="00B85EB9" w:rsidRDefault="00B85EB9">
            <w:pPr>
              <w:spacing w:before="60" w:after="60"/>
              <w:rPr>
                <w:noProof/>
              </w:rPr>
            </w:pPr>
          </w:p>
        </w:tc>
        <w:tc>
          <w:tcPr>
            <w:tcW w:w="2063" w:type="dxa"/>
            <w:tcBorders>
              <w:top w:val="nil"/>
              <w:left w:val="nil"/>
              <w:bottom w:val="single" w:sz="4" w:space="0" w:color="auto"/>
              <w:right w:val="nil"/>
            </w:tcBorders>
            <w:hideMark/>
          </w:tcPr>
          <w:p w:rsidR="00B85EB9" w:rsidRDefault="000C1C88">
            <w:pPr>
              <w:spacing w:before="60" w:after="60"/>
              <w:rPr>
                <w:noProof/>
              </w:rPr>
            </w:pPr>
            <w:r>
              <w:rPr>
                <w:noProof/>
              </w:rPr>
              <w:t>Ressortissants de pays tiers:</w:t>
            </w:r>
          </w:p>
        </w:tc>
        <w:tc>
          <w:tcPr>
            <w:tcW w:w="1176" w:type="dxa"/>
            <w:tcBorders>
              <w:bottom w:val="single" w:sz="4" w:space="0" w:color="auto"/>
            </w:tcBorders>
            <w:hideMark/>
          </w:tcPr>
          <w:p w:rsidR="00B85EB9" w:rsidRDefault="000C1C88">
            <w:pPr>
              <w:spacing w:before="60" w:after="60"/>
              <w:jc w:val="right"/>
              <w:rPr>
                <w:noProof/>
              </w:rPr>
            </w:pPr>
            <w:r>
              <w:rPr>
                <w:noProof/>
              </w:rPr>
              <w:t> 54</w:t>
            </w:r>
          </w:p>
        </w:tc>
        <w:tc>
          <w:tcPr>
            <w:tcW w:w="1485" w:type="dxa"/>
            <w:tcBorders>
              <w:bottom w:val="single" w:sz="4" w:space="0" w:color="auto"/>
            </w:tcBorders>
            <w:hideMark/>
          </w:tcPr>
          <w:p w:rsidR="00B85EB9" w:rsidRDefault="000C1C88">
            <w:pPr>
              <w:spacing w:before="60" w:after="60"/>
              <w:jc w:val="right"/>
              <w:rPr>
                <w:noProof/>
              </w:rPr>
            </w:pPr>
            <w:r>
              <w:rPr>
                <w:noProof/>
              </w:rPr>
              <w:t>(2,36 %)</w:t>
            </w:r>
          </w:p>
        </w:tc>
      </w:tr>
      <w:tr w:rsidR="00B85EB9">
        <w:trPr>
          <w:jc w:val="center"/>
        </w:trPr>
        <w:tc>
          <w:tcPr>
            <w:tcW w:w="1496" w:type="dxa"/>
            <w:tcBorders>
              <w:top w:val="single" w:sz="4" w:space="0" w:color="auto"/>
              <w:left w:val="nil"/>
              <w:bottom w:val="nil"/>
              <w:right w:val="nil"/>
            </w:tcBorders>
            <w:hideMark/>
          </w:tcPr>
          <w:p w:rsidR="00B85EB9" w:rsidRDefault="000C1C88">
            <w:pPr>
              <w:spacing w:before="60" w:after="60"/>
              <w:rPr>
                <w:noProof/>
              </w:rPr>
            </w:pPr>
            <w:r>
              <w:rPr>
                <w:noProof/>
              </w:rPr>
              <w:t>Tranche d’âge:</w:t>
            </w:r>
          </w:p>
        </w:tc>
        <w:tc>
          <w:tcPr>
            <w:tcW w:w="2063" w:type="dxa"/>
            <w:tcBorders>
              <w:top w:val="single" w:sz="4" w:space="0" w:color="auto"/>
              <w:left w:val="nil"/>
              <w:bottom w:val="nil"/>
              <w:right w:val="nil"/>
            </w:tcBorders>
            <w:hideMark/>
          </w:tcPr>
          <w:p w:rsidR="00B85EB9" w:rsidRDefault="000C1C88">
            <w:pPr>
              <w:spacing w:before="60" w:after="60"/>
              <w:rPr>
                <w:noProof/>
              </w:rPr>
            </w:pPr>
            <w:r>
              <w:rPr>
                <w:noProof/>
              </w:rPr>
              <w:t>15-24 ans:</w:t>
            </w:r>
          </w:p>
        </w:tc>
        <w:tc>
          <w:tcPr>
            <w:tcW w:w="1176" w:type="dxa"/>
            <w:tcBorders>
              <w:top w:val="single" w:sz="4" w:space="0" w:color="auto"/>
            </w:tcBorders>
            <w:hideMark/>
          </w:tcPr>
          <w:p w:rsidR="00B85EB9" w:rsidRDefault="000C1C88">
            <w:pPr>
              <w:spacing w:before="60" w:after="60"/>
              <w:jc w:val="right"/>
              <w:rPr>
                <w:noProof/>
              </w:rPr>
            </w:pPr>
            <w:r>
              <w:rPr>
                <w:noProof/>
              </w:rPr>
              <w:t> 2</w:t>
            </w:r>
          </w:p>
        </w:tc>
        <w:tc>
          <w:tcPr>
            <w:tcW w:w="1485" w:type="dxa"/>
            <w:tcBorders>
              <w:top w:val="single" w:sz="4" w:space="0" w:color="auto"/>
            </w:tcBorders>
            <w:hideMark/>
          </w:tcPr>
          <w:p w:rsidR="00B85EB9" w:rsidRDefault="000C1C88">
            <w:pPr>
              <w:spacing w:before="60" w:after="60"/>
              <w:jc w:val="right"/>
              <w:rPr>
                <w:noProof/>
              </w:rPr>
            </w:pPr>
            <w:r>
              <w:rPr>
                <w:noProof/>
              </w:rPr>
              <w:t>(0,09 %)</w:t>
            </w:r>
          </w:p>
        </w:tc>
      </w:tr>
      <w:tr w:rsidR="00B85EB9">
        <w:trPr>
          <w:jc w:val="center"/>
        </w:trPr>
        <w:tc>
          <w:tcPr>
            <w:tcW w:w="1496" w:type="dxa"/>
          </w:tcPr>
          <w:p w:rsidR="00B85EB9" w:rsidRDefault="00B85EB9">
            <w:pPr>
              <w:spacing w:before="60" w:after="60"/>
              <w:rPr>
                <w:noProof/>
              </w:rPr>
            </w:pPr>
          </w:p>
        </w:tc>
        <w:tc>
          <w:tcPr>
            <w:tcW w:w="2063" w:type="dxa"/>
            <w:hideMark/>
          </w:tcPr>
          <w:p w:rsidR="00B85EB9" w:rsidRDefault="000C1C88">
            <w:pPr>
              <w:spacing w:before="60" w:after="60"/>
              <w:rPr>
                <w:noProof/>
              </w:rPr>
            </w:pPr>
            <w:r>
              <w:rPr>
                <w:noProof/>
              </w:rPr>
              <w:t>25-29 ans:</w:t>
            </w:r>
          </w:p>
        </w:tc>
        <w:tc>
          <w:tcPr>
            <w:tcW w:w="1176" w:type="dxa"/>
            <w:hideMark/>
          </w:tcPr>
          <w:p w:rsidR="00B85EB9" w:rsidRDefault="000C1C88">
            <w:pPr>
              <w:spacing w:before="60" w:after="60"/>
              <w:jc w:val="right"/>
              <w:rPr>
                <w:noProof/>
              </w:rPr>
            </w:pPr>
            <w:r>
              <w:rPr>
                <w:noProof/>
              </w:rPr>
              <w:t> 70</w:t>
            </w:r>
          </w:p>
        </w:tc>
        <w:tc>
          <w:tcPr>
            <w:tcW w:w="1485" w:type="dxa"/>
            <w:hideMark/>
          </w:tcPr>
          <w:p w:rsidR="00B85EB9" w:rsidRDefault="000C1C88">
            <w:pPr>
              <w:spacing w:before="60" w:after="60"/>
              <w:jc w:val="right"/>
              <w:rPr>
                <w:noProof/>
              </w:rPr>
            </w:pPr>
            <w:r>
              <w:rPr>
                <w:noProof/>
              </w:rPr>
              <w:t>(3,06 %)</w:t>
            </w:r>
          </w:p>
        </w:tc>
      </w:tr>
      <w:tr w:rsidR="00B85EB9">
        <w:trPr>
          <w:jc w:val="center"/>
        </w:trPr>
        <w:tc>
          <w:tcPr>
            <w:tcW w:w="1496" w:type="dxa"/>
          </w:tcPr>
          <w:p w:rsidR="00B85EB9" w:rsidRDefault="00B85EB9">
            <w:pPr>
              <w:spacing w:before="60" w:after="60"/>
              <w:rPr>
                <w:noProof/>
              </w:rPr>
            </w:pPr>
          </w:p>
        </w:tc>
        <w:tc>
          <w:tcPr>
            <w:tcW w:w="2063" w:type="dxa"/>
            <w:hideMark/>
          </w:tcPr>
          <w:p w:rsidR="00B85EB9" w:rsidRDefault="000C1C88">
            <w:pPr>
              <w:spacing w:before="60" w:after="60"/>
              <w:rPr>
                <w:noProof/>
              </w:rPr>
            </w:pPr>
            <w:r>
              <w:rPr>
                <w:noProof/>
              </w:rPr>
              <w:t>30-54 ans:</w:t>
            </w:r>
          </w:p>
        </w:tc>
        <w:tc>
          <w:tcPr>
            <w:tcW w:w="1176" w:type="dxa"/>
            <w:hideMark/>
          </w:tcPr>
          <w:p w:rsidR="00B85EB9" w:rsidRDefault="000C1C88">
            <w:pPr>
              <w:spacing w:before="60" w:after="60"/>
              <w:jc w:val="right"/>
              <w:rPr>
                <w:noProof/>
              </w:rPr>
            </w:pPr>
            <w:r>
              <w:rPr>
                <w:noProof/>
              </w:rPr>
              <w:t>1 952</w:t>
            </w:r>
          </w:p>
        </w:tc>
        <w:tc>
          <w:tcPr>
            <w:tcW w:w="1485" w:type="dxa"/>
            <w:hideMark/>
          </w:tcPr>
          <w:p w:rsidR="00B85EB9" w:rsidRDefault="000C1C88">
            <w:pPr>
              <w:spacing w:before="60" w:after="60"/>
              <w:jc w:val="right"/>
              <w:rPr>
                <w:noProof/>
              </w:rPr>
            </w:pPr>
            <w:r>
              <w:rPr>
                <w:noProof/>
              </w:rPr>
              <w:t>(85,34 %)</w:t>
            </w:r>
          </w:p>
        </w:tc>
      </w:tr>
      <w:tr w:rsidR="00B85EB9">
        <w:trPr>
          <w:jc w:val="center"/>
        </w:trPr>
        <w:tc>
          <w:tcPr>
            <w:tcW w:w="1496" w:type="dxa"/>
          </w:tcPr>
          <w:p w:rsidR="00B85EB9" w:rsidRDefault="00B85EB9">
            <w:pPr>
              <w:spacing w:before="60" w:after="60"/>
              <w:rPr>
                <w:noProof/>
              </w:rPr>
            </w:pPr>
          </w:p>
        </w:tc>
        <w:tc>
          <w:tcPr>
            <w:tcW w:w="2063" w:type="dxa"/>
            <w:hideMark/>
          </w:tcPr>
          <w:p w:rsidR="00B85EB9" w:rsidRDefault="000C1C88">
            <w:pPr>
              <w:spacing w:before="60" w:after="60"/>
              <w:rPr>
                <w:noProof/>
              </w:rPr>
            </w:pPr>
            <w:r>
              <w:rPr>
                <w:noProof/>
              </w:rPr>
              <w:t>55-64 ans:</w:t>
            </w:r>
          </w:p>
        </w:tc>
        <w:tc>
          <w:tcPr>
            <w:tcW w:w="1176" w:type="dxa"/>
            <w:hideMark/>
          </w:tcPr>
          <w:p w:rsidR="00B85EB9" w:rsidRDefault="000C1C88">
            <w:pPr>
              <w:spacing w:before="60" w:after="60"/>
              <w:jc w:val="right"/>
              <w:rPr>
                <w:noProof/>
              </w:rPr>
            </w:pPr>
            <w:r>
              <w:rPr>
                <w:noProof/>
              </w:rPr>
              <w:t> 263</w:t>
            </w:r>
          </w:p>
        </w:tc>
        <w:tc>
          <w:tcPr>
            <w:tcW w:w="1485" w:type="dxa"/>
            <w:hideMark/>
          </w:tcPr>
          <w:p w:rsidR="00B85EB9" w:rsidRDefault="000C1C88">
            <w:pPr>
              <w:spacing w:before="60" w:after="60"/>
              <w:jc w:val="right"/>
              <w:rPr>
                <w:noProof/>
              </w:rPr>
            </w:pPr>
            <w:r>
              <w:rPr>
                <w:noProof/>
              </w:rPr>
              <w:t>(11,51 %)</w:t>
            </w:r>
          </w:p>
        </w:tc>
      </w:tr>
      <w:tr w:rsidR="00B85EB9">
        <w:trPr>
          <w:jc w:val="center"/>
        </w:trPr>
        <w:tc>
          <w:tcPr>
            <w:tcW w:w="1496" w:type="dxa"/>
            <w:tcBorders>
              <w:top w:val="nil"/>
              <w:left w:val="nil"/>
              <w:bottom w:val="single" w:sz="4" w:space="0" w:color="auto"/>
              <w:right w:val="nil"/>
            </w:tcBorders>
          </w:tcPr>
          <w:p w:rsidR="00B85EB9" w:rsidRDefault="00B85EB9">
            <w:pPr>
              <w:spacing w:before="60" w:after="60"/>
              <w:rPr>
                <w:noProof/>
              </w:rPr>
            </w:pPr>
          </w:p>
        </w:tc>
        <w:tc>
          <w:tcPr>
            <w:tcW w:w="2063" w:type="dxa"/>
            <w:tcBorders>
              <w:top w:val="nil"/>
              <w:left w:val="nil"/>
              <w:bottom w:val="single" w:sz="4" w:space="0" w:color="auto"/>
              <w:right w:val="nil"/>
            </w:tcBorders>
            <w:hideMark/>
          </w:tcPr>
          <w:p w:rsidR="00B85EB9" w:rsidRDefault="000C1C88">
            <w:pPr>
              <w:spacing w:before="60" w:after="60"/>
              <w:rPr>
                <w:noProof/>
              </w:rPr>
            </w:pPr>
            <w:r>
              <w:rPr>
                <w:noProof/>
              </w:rPr>
              <w:t>plus de 64 ans:</w:t>
            </w:r>
          </w:p>
        </w:tc>
        <w:tc>
          <w:tcPr>
            <w:tcW w:w="1176" w:type="dxa"/>
            <w:tcBorders>
              <w:top w:val="nil"/>
              <w:left w:val="nil"/>
              <w:bottom w:val="single" w:sz="4" w:space="0" w:color="auto"/>
              <w:right w:val="nil"/>
            </w:tcBorders>
            <w:hideMark/>
          </w:tcPr>
          <w:p w:rsidR="00B85EB9" w:rsidRDefault="000C1C88">
            <w:pPr>
              <w:spacing w:before="60" w:after="60"/>
              <w:jc w:val="right"/>
              <w:rPr>
                <w:noProof/>
              </w:rPr>
            </w:pPr>
            <w:r>
              <w:rPr>
                <w:noProof/>
              </w:rPr>
              <w:t> 0</w:t>
            </w:r>
          </w:p>
        </w:tc>
        <w:tc>
          <w:tcPr>
            <w:tcW w:w="1485" w:type="dxa"/>
            <w:tcBorders>
              <w:top w:val="nil"/>
              <w:left w:val="nil"/>
              <w:bottom w:val="single" w:sz="4" w:space="0" w:color="auto"/>
              <w:right w:val="nil"/>
            </w:tcBorders>
            <w:hideMark/>
          </w:tcPr>
          <w:p w:rsidR="00B85EB9" w:rsidRDefault="000C1C88">
            <w:pPr>
              <w:spacing w:before="60" w:after="60"/>
              <w:jc w:val="right"/>
              <w:rPr>
                <w:noProof/>
              </w:rPr>
            </w:pPr>
            <w:r>
              <w:rPr>
                <w:noProof/>
              </w:rPr>
              <w:t>(0,00 %)</w:t>
            </w:r>
          </w:p>
        </w:tc>
      </w:tr>
    </w:tbl>
    <w:p w:rsidR="00B85EB9" w:rsidRDefault="000C1C88">
      <w:pPr>
        <w:pStyle w:val="ManualNumPar1"/>
        <w:rPr>
          <w:noProof/>
        </w:rPr>
      </w:pPr>
      <w:r>
        <w:t>24.</w:t>
      </w:r>
      <w:r>
        <w:tab/>
      </w:r>
      <w:r>
        <w:rPr>
          <w:noProof/>
        </w:rPr>
        <w:t xml:space="preserve">En outre, la Belgique fournira des services personnalisés cofinancés par le FEM à un maximum de 300 jeunes ne </w:t>
      </w:r>
      <w:r>
        <w:rPr>
          <w:noProof/>
        </w:rPr>
        <w:t xml:space="preserve">travaillant pas, ne suivant pas d’études ou de formation (NEET), âgés de moins de 30 ans à la date d’introduction de la demande. En effet, les 1 364 licenciements visés au point 8 ont eu lieu dans la province de Hainaut, une région de niveau NUTS 2 (BE32) </w:t>
      </w:r>
      <w:r>
        <w:rPr>
          <w:noProof/>
        </w:rPr>
        <w:t>qui est admissible au titre de l’initiative pour l’emploi des jeunes.</w:t>
      </w:r>
    </w:p>
    <w:p w:rsidR="00B85EB9" w:rsidRDefault="000C1C88">
      <w:pPr>
        <w:pStyle w:val="ManualNumPar1"/>
        <w:rPr>
          <w:noProof/>
          <w:szCs w:val="20"/>
        </w:rPr>
      </w:pPr>
      <w:r>
        <w:t>25.</w:t>
      </w:r>
      <w:r>
        <w:tab/>
      </w:r>
      <w:r>
        <w:rPr>
          <w:noProof/>
        </w:rPr>
        <w:t>L’article 6, paragraphe 2, du règlement FEM prévoit que les États membres peuvent, jusqu’au 31 décembre 2017, fournir des services personnalisés cofinancés par le FEM également aux N</w:t>
      </w:r>
      <w:r>
        <w:rPr>
          <w:noProof/>
        </w:rPr>
        <w:t>EET. La proposition de règlement du Parlement européen et du Conseil relatif aux règles financières applicables au budget général de l’Union</w:t>
      </w:r>
      <w:r>
        <w:rPr>
          <w:rStyle w:val="FootnoteReference"/>
          <w:noProof/>
        </w:rPr>
        <w:footnoteReference w:id="15"/>
      </w:r>
      <w:r>
        <w:rPr>
          <w:noProof/>
        </w:rPr>
        <w:t xml:space="preserve"> (ci-après le «règlement Omnibus») prévoit une modification de l’article 6, paragraphe 2, du règlement FEM afin de </w:t>
      </w:r>
      <w:r>
        <w:rPr>
          <w:noProof/>
        </w:rPr>
        <w:t>proroger la dérogation pour les NEET. Selon les données publiées par Eurostat le 17 janvier 2018, le taux de chômage chez les jeunes âgés de 15 à 24 ans dans la province de Hainaut est de 33,3 %. Par conséquent, la région reste admissible au titre de l’art</w:t>
      </w:r>
      <w:r>
        <w:rPr>
          <w:noProof/>
        </w:rPr>
        <w:t>icle 6, paragraphe 2, du règlement FEM. Cette modification devrait s’appliquer avec effet rétroactif au 1</w:t>
      </w:r>
      <w:r>
        <w:rPr>
          <w:noProof/>
          <w:vertAlign w:val="superscript"/>
        </w:rPr>
        <w:t>er</w:t>
      </w:r>
      <w:r>
        <w:rPr>
          <w:noProof/>
        </w:rPr>
        <w:t> janvier 2018. Par conséquent, la présente décision, qui prévoit une aide aux NEET, peut être adoptée une fois que le règlement Omnibus aura été adop</w:t>
      </w:r>
      <w:r>
        <w:rPr>
          <w:noProof/>
        </w:rPr>
        <w:t>té et sera entré en vigueur.</w:t>
      </w:r>
    </w:p>
    <w:p w:rsidR="00B85EB9" w:rsidRDefault="000C1C88">
      <w:pPr>
        <w:pStyle w:val="ManualNumPar1"/>
        <w:rPr>
          <w:noProof/>
          <w:szCs w:val="20"/>
        </w:rPr>
      </w:pPr>
      <w:r>
        <w:t>26.</w:t>
      </w:r>
      <w:r>
        <w:tab/>
      </w:r>
      <w:r>
        <w:rPr>
          <w:noProof/>
        </w:rPr>
        <w:t>Le nombre total estimé des bénéficiaires concernés qui devraient être visés par les mesures, y compris les NEET, est donc de 2 587.</w:t>
      </w:r>
    </w:p>
    <w:p w:rsidR="00B85EB9" w:rsidRDefault="000C1C88">
      <w:pPr>
        <w:pStyle w:val="ManualHeading3"/>
        <w:rPr>
          <w:noProof/>
          <w:u w:val="single"/>
        </w:rPr>
      </w:pPr>
      <w:r>
        <w:rPr>
          <w:noProof/>
        </w:rPr>
        <w:t>Admissibilité des actions proposées</w:t>
      </w:r>
      <w:bookmarkStart w:id="2" w:name="_Ref372214239"/>
    </w:p>
    <w:p w:rsidR="00B85EB9" w:rsidRDefault="000C1C88">
      <w:pPr>
        <w:pStyle w:val="ManualNumPar1"/>
        <w:rPr>
          <w:noProof/>
        </w:rPr>
      </w:pPr>
      <w:r>
        <w:t>27.</w:t>
      </w:r>
      <w:r>
        <w:tab/>
      </w:r>
      <w:r>
        <w:rPr>
          <w:noProof/>
        </w:rPr>
        <w:t>Les services personnalisés à fournir aux travailleu</w:t>
      </w:r>
      <w:r>
        <w:rPr>
          <w:noProof/>
        </w:rPr>
        <w:t>rs licenciés et aux NEET comprennent les actions énumérées ci-dessous.</w:t>
      </w:r>
      <w:bookmarkEnd w:id="2"/>
    </w:p>
    <w:p w:rsidR="00B85EB9" w:rsidRDefault="000C1C88">
      <w:pPr>
        <w:pStyle w:val="Tiret1"/>
        <w:rPr>
          <w:noProof/>
          <w:color w:val="000000" w:themeColor="text1"/>
        </w:rPr>
      </w:pPr>
      <w:r>
        <w:rPr>
          <w:noProof/>
          <w:u w:val="single"/>
        </w:rPr>
        <w:t>Aide individuelle à la recherche d’emploi, accompagnement et services généraux d’information</w:t>
      </w:r>
      <w:r>
        <w:rPr>
          <w:noProof/>
        </w:rPr>
        <w:t>:</w:t>
      </w:r>
      <w:r>
        <w:rPr>
          <w:noProof/>
          <w:color w:val="000000" w:themeColor="text1"/>
        </w:rPr>
        <w:t xml:space="preserve"> ces mesures incluent une aide personnalisée à la recherche d’emploi, comme des conseils et </w:t>
      </w:r>
      <w:r>
        <w:rPr>
          <w:noProof/>
          <w:color w:val="000000" w:themeColor="text1"/>
        </w:rPr>
        <w:t>une orientation professionnelle, ainsi que des services d’information ouverts pour les travailleurs et les NEET.</w:t>
      </w:r>
    </w:p>
    <w:p w:rsidR="00B85EB9" w:rsidRDefault="000C1C88">
      <w:pPr>
        <w:pStyle w:val="Tiret1"/>
        <w:rPr>
          <w:noProof/>
          <w:color w:val="000000" w:themeColor="text1"/>
        </w:rPr>
      </w:pPr>
      <w:r>
        <w:rPr>
          <w:noProof/>
          <w:u w:val="single"/>
        </w:rPr>
        <w:t>Formation et recyclage</w:t>
      </w:r>
      <w:r>
        <w:rPr>
          <w:noProof/>
        </w:rPr>
        <w:t>:</w:t>
      </w:r>
      <w:r>
        <w:rPr>
          <w:noProof/>
          <w:color w:val="000000" w:themeColor="text1"/>
        </w:rPr>
        <w:t xml:space="preserve"> ce volet inclut la formation professionnelle et continue destinée aux travailleurs et aux NEET. Ces formations visaient</w:t>
      </w:r>
      <w:r>
        <w:rPr>
          <w:noProof/>
          <w:color w:val="000000" w:themeColor="text1"/>
        </w:rPr>
        <w:t xml:space="preserve"> à faire correspondre l’offre de formation avec les priorités de développement de Charleroi exposées dans le plan CATCH</w:t>
      </w:r>
      <w:r>
        <w:rPr>
          <w:rStyle w:val="FootnoteReference"/>
          <w:noProof/>
          <w:color w:val="000000" w:themeColor="text1"/>
        </w:rPr>
        <w:footnoteReference w:id="16"/>
      </w:r>
      <w:r>
        <w:rPr>
          <w:noProof/>
          <w:color w:val="000000" w:themeColor="text1"/>
        </w:rPr>
        <w:t>.</w:t>
      </w:r>
    </w:p>
    <w:p w:rsidR="00B85EB9" w:rsidRDefault="000C1C88">
      <w:pPr>
        <w:pStyle w:val="Tiret1"/>
        <w:rPr>
          <w:noProof/>
          <w:color w:val="000000" w:themeColor="text1"/>
        </w:rPr>
      </w:pPr>
      <w:r>
        <w:rPr>
          <w:noProof/>
          <w:u w:val="single"/>
        </w:rPr>
        <w:t>Valorisation de l’entrepreneuriat</w:t>
      </w:r>
      <w:r>
        <w:rPr>
          <w:noProof/>
        </w:rPr>
        <w:t>:</w:t>
      </w:r>
      <w:r>
        <w:rPr>
          <w:noProof/>
          <w:color w:val="000000" w:themeColor="text1"/>
        </w:rPr>
        <w:t xml:space="preserve"> cette mesure fournira aux participants un système de soutien aux entrepreneurs, qui prévoit une étr</w:t>
      </w:r>
      <w:r>
        <w:rPr>
          <w:noProof/>
          <w:color w:val="000000" w:themeColor="text1"/>
        </w:rPr>
        <w:t>oite collaboration avec les autorités régionales en vue d’encourager le travail indépendant.</w:t>
      </w:r>
    </w:p>
    <w:p w:rsidR="00B85EB9" w:rsidRDefault="000C1C88">
      <w:pPr>
        <w:pStyle w:val="Tiret1"/>
        <w:rPr>
          <w:noProof/>
          <w:color w:val="000000" w:themeColor="text1"/>
        </w:rPr>
      </w:pPr>
      <w:r>
        <w:rPr>
          <w:noProof/>
          <w:u w:val="single"/>
        </w:rPr>
        <w:t>Contribution à la création d’entreprise</w:t>
      </w:r>
      <w:r>
        <w:rPr>
          <w:noProof/>
        </w:rPr>
        <w:t>:</w:t>
      </w:r>
      <w:r>
        <w:rPr>
          <w:b/>
          <w:noProof/>
          <w:color w:val="000000" w:themeColor="text1"/>
        </w:rPr>
        <w:t xml:space="preserve"> </w:t>
      </w:r>
      <w:r>
        <w:rPr>
          <w:noProof/>
          <w:color w:val="000000" w:themeColor="text1"/>
        </w:rPr>
        <w:t>cette mesure consistera à fournir des subventions de démarrage permettant de promouvoir le travail indépendant et la créat</w:t>
      </w:r>
      <w:r>
        <w:rPr>
          <w:noProof/>
          <w:color w:val="000000" w:themeColor="text1"/>
        </w:rPr>
        <w:t>ion d’une activité économique, de lancer et de mettre en place une activité à temps plein ou à temps partiel.</w:t>
      </w:r>
    </w:p>
    <w:p w:rsidR="00B85EB9" w:rsidRDefault="000C1C88">
      <w:pPr>
        <w:pStyle w:val="Tiret1"/>
        <w:rPr>
          <w:noProof/>
        </w:rPr>
      </w:pPr>
      <w:r>
        <w:rPr>
          <w:noProof/>
          <w:u w:val="single"/>
        </w:rPr>
        <w:t>Allocations</w:t>
      </w:r>
      <w:r>
        <w:rPr>
          <w:noProof/>
        </w:rPr>
        <w:t>:</w:t>
      </w:r>
      <w:r>
        <w:rPr>
          <w:noProof/>
          <w:color w:val="000000" w:themeColor="text1"/>
        </w:rPr>
        <w:t xml:space="preserve"> celles-ci incluent: </w:t>
      </w:r>
      <w:r>
        <w:rPr>
          <w:b/>
          <w:noProof/>
          <w:color w:val="000000" w:themeColor="text1"/>
        </w:rPr>
        <w:t>1)</w:t>
      </w:r>
      <w:r>
        <w:rPr>
          <w:noProof/>
          <w:color w:val="000000" w:themeColor="text1"/>
        </w:rPr>
        <w:t xml:space="preserve"> </w:t>
      </w:r>
      <w:r>
        <w:rPr>
          <w:b/>
          <w:noProof/>
          <w:color w:val="000000" w:themeColor="text1"/>
        </w:rPr>
        <w:t>des allocations de formation</w:t>
      </w:r>
      <w:r>
        <w:rPr>
          <w:noProof/>
          <w:color w:val="000000" w:themeColor="text1"/>
        </w:rPr>
        <w:t xml:space="preserve"> destinées à couvrir les frais engagés par le demandeur d’emploi ou le NEET pendant une formation; </w:t>
      </w:r>
      <w:r>
        <w:rPr>
          <w:b/>
          <w:noProof/>
          <w:color w:val="000000" w:themeColor="text1"/>
        </w:rPr>
        <w:t>2)</w:t>
      </w:r>
      <w:r>
        <w:rPr>
          <w:noProof/>
          <w:color w:val="000000" w:themeColor="text1"/>
        </w:rPr>
        <w:t xml:space="preserve"> </w:t>
      </w:r>
      <w:r>
        <w:rPr>
          <w:b/>
          <w:noProof/>
          <w:color w:val="000000" w:themeColor="text1"/>
        </w:rPr>
        <w:t>des allocations de mobilité</w:t>
      </w:r>
      <w:r>
        <w:rPr>
          <w:noProof/>
          <w:color w:val="000000" w:themeColor="text1"/>
        </w:rPr>
        <w:t xml:space="preserve"> ayant pour but d’aider à l’acceptation d’un travail situé plus loin du domicile; </w:t>
      </w:r>
      <w:r>
        <w:rPr>
          <w:b/>
          <w:noProof/>
          <w:color w:val="000000" w:themeColor="text1"/>
        </w:rPr>
        <w:t xml:space="preserve">3) des </w:t>
      </w:r>
      <w:r>
        <w:rPr>
          <w:rStyle w:val="shorttext"/>
          <w:b/>
          <w:noProof/>
          <w:color w:val="000000" w:themeColor="text1"/>
        </w:rPr>
        <w:t>allocations de reprise d’études</w:t>
      </w:r>
      <w:r>
        <w:rPr>
          <w:noProof/>
        </w:rPr>
        <w:t xml:space="preserve"> destin</w:t>
      </w:r>
      <w:r>
        <w:rPr>
          <w:noProof/>
        </w:rPr>
        <w:t>ées à favoriser le retour dans le système éducatif, versées pendant 12 mois au maximum et subordonnées à la présentation, par les demandeurs, de la preuve qu’ils sont inscrits à un cursus d’enseignement supérieur;</w:t>
      </w:r>
      <w:r>
        <w:rPr>
          <w:noProof/>
          <w:color w:val="000000" w:themeColor="text1"/>
        </w:rPr>
        <w:t xml:space="preserve"> </w:t>
      </w:r>
      <w:r>
        <w:rPr>
          <w:b/>
          <w:noProof/>
          <w:color w:val="000000" w:themeColor="text1"/>
        </w:rPr>
        <w:t>4) des allocations de recherche d’emploi</w:t>
      </w:r>
      <w:r>
        <w:rPr>
          <w:noProof/>
          <w:color w:val="000000" w:themeColor="text1"/>
        </w:rPr>
        <w:t xml:space="preserve"> v</w:t>
      </w:r>
      <w:r>
        <w:rPr>
          <w:noProof/>
          <w:color w:val="000000" w:themeColor="text1"/>
        </w:rPr>
        <w:t xml:space="preserve">isant à aider les demandeurs d’emploi et les NEET à payer les frais engagés pour participer à des activités liées à la recherche d’un emploi; </w:t>
      </w:r>
      <w:r>
        <w:rPr>
          <w:b/>
          <w:noProof/>
          <w:color w:val="000000" w:themeColor="text1"/>
        </w:rPr>
        <w:t>5) une allocation à l’entrepreneuriat</w:t>
      </w:r>
      <w:r>
        <w:rPr>
          <w:noProof/>
        </w:rPr>
        <w:t xml:space="preserve"> destinée à couvrir les frais engagés par le demandeur d’emploi durant sa par</w:t>
      </w:r>
      <w:r>
        <w:rPr>
          <w:noProof/>
        </w:rPr>
        <w:t>ticipation aux activités liées à la recherche d’emploi et subordonnée à la présentation, par les demandeurs, d’un projet individuel ou collectif d’activité indépendante.</w:t>
      </w:r>
    </w:p>
    <w:p w:rsidR="00B85EB9" w:rsidRDefault="000C1C88">
      <w:pPr>
        <w:pStyle w:val="ManualNumPar1"/>
        <w:rPr>
          <w:noProof/>
        </w:rPr>
      </w:pPr>
      <w:bookmarkStart w:id="3" w:name="_Ref372214242"/>
      <w:r>
        <w:t>28.</w:t>
      </w:r>
      <w:r>
        <w:tab/>
      </w:r>
      <w:r>
        <w:rPr>
          <w:noProof/>
        </w:rPr>
        <w:t>Les services personnalisés qu’il est prévu de fournir aux NEET consistent en les m</w:t>
      </w:r>
      <w:r>
        <w:rPr>
          <w:noProof/>
        </w:rPr>
        <w:t>êmes actions que celles fournies aux travailleurs licenciés.</w:t>
      </w:r>
    </w:p>
    <w:p w:rsidR="00B85EB9" w:rsidRDefault="000C1C88">
      <w:pPr>
        <w:pStyle w:val="ManualNumPar1"/>
        <w:rPr>
          <w:noProof/>
        </w:rPr>
      </w:pPr>
      <w:r>
        <w:t>29.</w:t>
      </w:r>
      <w:r>
        <w:tab/>
      </w:r>
      <w:r>
        <w:rPr>
          <w:noProof/>
        </w:rPr>
        <w:t>Les actions proposées décrites ici constituent des mesures actives du marché du travail entrant dans le cadre des actions admissibles visées à l’article 7 du règlement FEM. Elles ne se substi</w:t>
      </w:r>
      <w:r>
        <w:rPr>
          <w:noProof/>
        </w:rPr>
        <w:t>tuent pas à des mesures passives de protection sociale.</w:t>
      </w:r>
    </w:p>
    <w:p w:rsidR="00B85EB9" w:rsidRDefault="000C1C88">
      <w:pPr>
        <w:pStyle w:val="ManualNumPar1"/>
        <w:rPr>
          <w:noProof/>
        </w:rPr>
      </w:pPr>
      <w:r>
        <w:t>30.</w:t>
      </w:r>
      <w:r>
        <w:tab/>
      </w:r>
      <w:r>
        <w:rPr>
          <w:noProof/>
        </w:rPr>
        <w:t>La Belgique a fourni les informations requises sur les mesures revêtant un caractère obligatoire pour l’entreprise concernée en vertu du droit national ou de conventions collectives. Elles ont con</w:t>
      </w:r>
      <w:r>
        <w:rPr>
          <w:noProof/>
        </w:rPr>
        <w:t>firmé qu’une contribution financière du FEM ne se substituerait pas à ces mesures.</w:t>
      </w:r>
      <w:bookmarkEnd w:id="3"/>
    </w:p>
    <w:p w:rsidR="00B85EB9" w:rsidRDefault="000C1C88">
      <w:pPr>
        <w:pStyle w:val="ManualHeading3"/>
        <w:rPr>
          <w:noProof/>
        </w:rPr>
      </w:pPr>
      <w:r>
        <w:rPr>
          <w:noProof/>
        </w:rPr>
        <w:t>Estimation du budget</w:t>
      </w:r>
    </w:p>
    <w:p w:rsidR="00B85EB9" w:rsidRDefault="000C1C88">
      <w:pPr>
        <w:pStyle w:val="ManualNumPar1"/>
        <w:rPr>
          <w:noProof/>
        </w:rPr>
      </w:pPr>
      <w:r>
        <w:t>31.</w:t>
      </w:r>
      <w:r>
        <w:tab/>
      </w:r>
      <w:r>
        <w:rPr>
          <w:noProof/>
        </w:rPr>
        <w:t>Le coût total est estimé à 7 702 694 EUR; il correspond aux dépenses relatives aux services personnalisés à concurrence de 7 575 294 EUR et aux dépe</w:t>
      </w:r>
      <w:r>
        <w:rPr>
          <w:noProof/>
        </w:rPr>
        <w:t>nses pour financer les activités de préparation, de gestion, d’information et de publicité ainsi que de contrôle et de rapport, à concurrence de 127 400 EUR.</w:t>
      </w:r>
    </w:p>
    <w:p w:rsidR="00B85EB9" w:rsidRDefault="000C1C88">
      <w:pPr>
        <w:pStyle w:val="ManualNumPar1"/>
        <w:rPr>
          <w:noProof/>
        </w:rPr>
      </w:pPr>
      <w:bookmarkStart w:id="4" w:name="_Ref372550770"/>
      <w:r>
        <w:t>32.</w:t>
      </w:r>
      <w:r>
        <w:tab/>
      </w:r>
      <w:r>
        <w:rPr>
          <w:noProof/>
        </w:rPr>
        <w:t>La contribution financière totale demandée au FEM s’élève à 4 621 616 EUR (60 % des coûts tota</w:t>
      </w:r>
      <w:r>
        <w:rPr>
          <w:noProof/>
        </w:rPr>
        <w:t>ux).</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3"/>
        <w:gridCol w:w="1548"/>
        <w:gridCol w:w="1548"/>
        <w:gridCol w:w="1548"/>
      </w:tblGrid>
      <w:tr w:rsidR="00B85EB9">
        <w:tc>
          <w:tcPr>
            <w:tcW w:w="4643" w:type="dxa"/>
            <w:shd w:val="clear" w:color="auto" w:fill="auto"/>
            <w:vAlign w:val="center"/>
          </w:tcPr>
          <w:p w:rsidR="00B85EB9" w:rsidRDefault="000C1C88">
            <w:pPr>
              <w:spacing w:before="60" w:after="60"/>
              <w:jc w:val="center"/>
              <w:rPr>
                <w:rFonts w:eastAsia="Times New Roman"/>
                <w:noProof/>
                <w:sz w:val="22"/>
              </w:rPr>
            </w:pPr>
            <w:r>
              <w:rPr>
                <w:noProof/>
                <w:sz w:val="22"/>
              </w:rPr>
              <w:t>Actions</w:t>
            </w:r>
          </w:p>
        </w:tc>
        <w:tc>
          <w:tcPr>
            <w:tcW w:w="1548" w:type="dxa"/>
            <w:shd w:val="clear" w:color="auto" w:fill="auto"/>
            <w:vAlign w:val="center"/>
          </w:tcPr>
          <w:p w:rsidR="00B85EB9" w:rsidRDefault="000C1C88">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rsidR="00B85EB9" w:rsidRDefault="000C1C88">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p>
        </w:tc>
        <w:tc>
          <w:tcPr>
            <w:tcW w:w="1548" w:type="dxa"/>
            <w:shd w:val="clear" w:color="auto" w:fill="auto"/>
            <w:vAlign w:val="center"/>
          </w:tcPr>
          <w:p w:rsidR="00B85EB9" w:rsidRDefault="000C1C88">
            <w:pPr>
              <w:spacing w:before="60" w:after="60"/>
              <w:jc w:val="center"/>
              <w:rPr>
                <w:rFonts w:eastAsia="Times New Roman"/>
                <w:noProof/>
                <w:sz w:val="22"/>
              </w:rPr>
            </w:pPr>
            <w:r>
              <w:rPr>
                <w:noProof/>
                <w:sz w:val="22"/>
              </w:rPr>
              <w:t>Estimation du coût total</w:t>
            </w:r>
          </w:p>
          <w:p w:rsidR="00B85EB9" w:rsidRDefault="000C1C88">
            <w:pPr>
              <w:spacing w:before="60" w:after="60"/>
              <w:jc w:val="center"/>
              <w:rPr>
                <w:rFonts w:eastAsia="Times New Roman"/>
                <w:noProof/>
                <w:sz w:val="22"/>
              </w:rPr>
            </w:pPr>
            <w:r>
              <w:rPr>
                <w:i/>
                <w:noProof/>
                <w:sz w:val="22"/>
              </w:rPr>
              <w:t>(en EUR)</w:t>
            </w:r>
            <w:r>
              <w:rPr>
                <w:rStyle w:val="FootnoteReference"/>
                <w:i/>
                <w:noProof/>
                <w:sz w:val="22"/>
              </w:rPr>
              <w:footnoteReference w:id="17"/>
            </w:r>
          </w:p>
        </w:tc>
      </w:tr>
      <w:tr w:rsidR="00B85EB9">
        <w:tc>
          <w:tcPr>
            <w:tcW w:w="9287" w:type="dxa"/>
            <w:gridSpan w:val="4"/>
            <w:shd w:val="clear" w:color="auto" w:fill="auto"/>
          </w:tcPr>
          <w:p w:rsidR="00B85EB9" w:rsidRDefault="000C1C88">
            <w:pPr>
              <w:spacing w:before="60" w:after="60"/>
              <w:jc w:val="left"/>
              <w:rPr>
                <w:rFonts w:eastAsia="Times New Roman"/>
                <w:noProof/>
                <w:sz w:val="22"/>
              </w:rPr>
            </w:pPr>
            <w:r>
              <w:rPr>
                <w:noProof/>
                <w:sz w:val="22"/>
              </w:rPr>
              <w:t>Services personnalisés [actions au titre de l’article 7, paragraphe 1, points a) et c), du règlement FEM]</w:t>
            </w:r>
          </w:p>
        </w:tc>
      </w:tr>
      <w:tr w:rsidR="00B85EB9">
        <w:trPr>
          <w:trHeight w:val="802"/>
        </w:trPr>
        <w:tc>
          <w:tcPr>
            <w:tcW w:w="4643" w:type="dxa"/>
            <w:tcBorders>
              <w:top w:val="single" w:sz="4" w:space="0" w:color="auto"/>
              <w:left w:val="nil"/>
              <w:bottom w:val="single" w:sz="4" w:space="0" w:color="auto"/>
              <w:right w:val="single" w:sz="4" w:space="0" w:color="auto"/>
            </w:tcBorders>
            <w:vAlign w:val="center"/>
            <w:hideMark/>
          </w:tcPr>
          <w:p w:rsidR="00B85EB9" w:rsidRDefault="000C1C88">
            <w:pPr>
              <w:spacing w:before="60" w:after="60"/>
              <w:jc w:val="left"/>
              <w:rPr>
                <w:noProof/>
              </w:rPr>
            </w:pPr>
            <w:r>
              <w:rPr>
                <w:noProof/>
              </w:rPr>
              <w:t xml:space="preserve">Mesures </w:t>
            </w:r>
            <w:r>
              <w:rPr>
                <w:noProof/>
              </w:rPr>
              <w:t>d’accompagnement et autres mesures de préparation (</w:t>
            </w:r>
            <w:r>
              <w:rPr>
                <w:i/>
                <w:noProof/>
              </w:rPr>
              <w:t>reconversion: accompagnement/orientation/insertion</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2 587</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1 852</w:t>
            </w:r>
          </w:p>
        </w:tc>
        <w:tc>
          <w:tcPr>
            <w:tcW w:w="1548" w:type="dxa"/>
            <w:tcBorders>
              <w:top w:val="single" w:sz="4" w:space="0" w:color="auto"/>
              <w:left w:val="single" w:sz="4" w:space="0" w:color="auto"/>
              <w:bottom w:val="single" w:sz="4" w:space="0" w:color="auto"/>
              <w:right w:val="nil"/>
            </w:tcBorders>
            <w:vAlign w:val="center"/>
            <w:hideMark/>
          </w:tcPr>
          <w:p w:rsidR="00B85EB9" w:rsidRDefault="000C1C88">
            <w:pPr>
              <w:spacing w:before="60" w:after="60"/>
              <w:jc w:val="center"/>
              <w:rPr>
                <w:noProof/>
              </w:rPr>
            </w:pPr>
            <w:r>
              <w:rPr>
                <w:noProof/>
              </w:rPr>
              <w:t>4 790 323</w:t>
            </w:r>
          </w:p>
        </w:tc>
      </w:tr>
      <w:tr w:rsidR="00B85EB9">
        <w:trPr>
          <w:trHeight w:val="802"/>
        </w:trPr>
        <w:tc>
          <w:tcPr>
            <w:tcW w:w="4643" w:type="dxa"/>
            <w:tcBorders>
              <w:top w:val="single" w:sz="4" w:space="0" w:color="auto"/>
              <w:left w:val="nil"/>
              <w:bottom w:val="single" w:sz="4" w:space="0" w:color="auto"/>
              <w:right w:val="single" w:sz="4" w:space="0" w:color="auto"/>
            </w:tcBorders>
            <w:vAlign w:val="center"/>
            <w:hideMark/>
          </w:tcPr>
          <w:p w:rsidR="00B85EB9" w:rsidRDefault="000C1C88">
            <w:pPr>
              <w:spacing w:before="60" w:after="60"/>
              <w:jc w:val="left"/>
              <w:rPr>
                <w:noProof/>
              </w:rPr>
            </w:pPr>
            <w:r>
              <w:rPr>
                <w:noProof/>
              </w:rPr>
              <w:t>Formation et recyclage</w:t>
            </w:r>
          </w:p>
          <w:p w:rsidR="00B85EB9" w:rsidRDefault="000C1C88">
            <w:pPr>
              <w:spacing w:before="60" w:after="60"/>
              <w:jc w:val="left"/>
              <w:rPr>
                <w:noProof/>
              </w:rPr>
            </w:pPr>
            <w:r>
              <w:rPr>
                <w:noProof/>
              </w:rPr>
              <w:t>(</w:t>
            </w:r>
            <w:r>
              <w:rPr>
                <w:i/>
                <w:noProof/>
              </w:rPr>
              <w:t>formations spécifiques</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1 050</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841</w:t>
            </w:r>
          </w:p>
        </w:tc>
        <w:tc>
          <w:tcPr>
            <w:tcW w:w="1548" w:type="dxa"/>
            <w:tcBorders>
              <w:top w:val="single" w:sz="4" w:space="0" w:color="auto"/>
              <w:left w:val="single" w:sz="4" w:space="0" w:color="auto"/>
              <w:bottom w:val="single" w:sz="4" w:space="0" w:color="auto"/>
              <w:right w:val="nil"/>
            </w:tcBorders>
            <w:vAlign w:val="center"/>
            <w:hideMark/>
          </w:tcPr>
          <w:p w:rsidR="00B85EB9" w:rsidRDefault="000C1C88">
            <w:pPr>
              <w:spacing w:before="60" w:after="60"/>
              <w:jc w:val="center"/>
              <w:rPr>
                <w:noProof/>
              </w:rPr>
            </w:pPr>
            <w:r>
              <w:rPr>
                <w:noProof/>
              </w:rPr>
              <w:t>883 265</w:t>
            </w:r>
          </w:p>
        </w:tc>
      </w:tr>
      <w:tr w:rsidR="00B85EB9">
        <w:trPr>
          <w:trHeight w:val="802"/>
        </w:trPr>
        <w:tc>
          <w:tcPr>
            <w:tcW w:w="4643" w:type="dxa"/>
            <w:tcBorders>
              <w:top w:val="single" w:sz="4" w:space="0" w:color="auto"/>
              <w:left w:val="nil"/>
              <w:bottom w:val="single" w:sz="4" w:space="0" w:color="auto"/>
              <w:right w:val="single" w:sz="4" w:space="0" w:color="auto"/>
            </w:tcBorders>
            <w:vAlign w:val="center"/>
            <w:hideMark/>
          </w:tcPr>
          <w:p w:rsidR="00B85EB9" w:rsidRDefault="000C1C88">
            <w:pPr>
              <w:spacing w:before="60" w:after="60"/>
              <w:jc w:val="left"/>
              <w:rPr>
                <w:noProof/>
              </w:rPr>
            </w:pPr>
            <w:r>
              <w:rPr>
                <w:noProof/>
              </w:rPr>
              <w:t>Valorisation de l’entrepreneuriat</w:t>
            </w:r>
          </w:p>
          <w:p w:rsidR="00B85EB9" w:rsidRDefault="000C1C88">
            <w:pPr>
              <w:spacing w:before="60" w:after="60"/>
              <w:jc w:val="left"/>
              <w:rPr>
                <w:i/>
                <w:noProof/>
              </w:rPr>
            </w:pPr>
            <w:r>
              <w:rPr>
                <w:noProof/>
              </w:rPr>
              <w:t>(</w:t>
            </w:r>
            <w:r>
              <w:rPr>
                <w:i/>
                <w:noProof/>
              </w:rPr>
              <w:t xml:space="preserve">dispositif d’accompagnement </w:t>
            </w:r>
            <w:r>
              <w:rPr>
                <w:i/>
                <w:noProof/>
              </w:rPr>
              <w:t>à l’entreprenariat)</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szCs w:val="24"/>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szCs w:val="24"/>
              </w:rPr>
            </w:pPr>
            <w:r>
              <w:rPr>
                <w:noProof/>
              </w:rPr>
              <w:t>463</w:t>
            </w:r>
          </w:p>
        </w:tc>
        <w:tc>
          <w:tcPr>
            <w:tcW w:w="1548" w:type="dxa"/>
            <w:tcBorders>
              <w:top w:val="single" w:sz="4" w:space="0" w:color="auto"/>
              <w:left w:val="single" w:sz="4" w:space="0" w:color="auto"/>
              <w:bottom w:val="single" w:sz="4" w:space="0" w:color="auto"/>
              <w:right w:val="nil"/>
            </w:tcBorders>
            <w:vAlign w:val="center"/>
            <w:hideMark/>
          </w:tcPr>
          <w:p w:rsidR="00B85EB9" w:rsidRDefault="000C1C88">
            <w:pPr>
              <w:spacing w:before="60" w:after="60"/>
              <w:jc w:val="center"/>
              <w:rPr>
                <w:noProof/>
                <w:szCs w:val="24"/>
              </w:rPr>
            </w:pPr>
            <w:r>
              <w:rPr>
                <w:noProof/>
              </w:rPr>
              <w:t>115 743</w:t>
            </w:r>
          </w:p>
        </w:tc>
      </w:tr>
      <w:tr w:rsidR="00B85EB9">
        <w:trPr>
          <w:trHeight w:val="802"/>
        </w:trPr>
        <w:tc>
          <w:tcPr>
            <w:tcW w:w="4643" w:type="dxa"/>
            <w:tcBorders>
              <w:top w:val="single" w:sz="4" w:space="0" w:color="auto"/>
              <w:left w:val="nil"/>
              <w:bottom w:val="single" w:sz="4" w:space="0" w:color="auto"/>
              <w:right w:val="single" w:sz="4" w:space="0" w:color="auto"/>
            </w:tcBorders>
            <w:vAlign w:val="center"/>
            <w:hideMark/>
          </w:tcPr>
          <w:p w:rsidR="00B85EB9" w:rsidRDefault="000C1C88">
            <w:pPr>
              <w:spacing w:before="60" w:after="60"/>
              <w:jc w:val="left"/>
              <w:rPr>
                <w:noProof/>
              </w:rPr>
            </w:pPr>
            <w:r>
              <w:rPr>
                <w:noProof/>
              </w:rPr>
              <w:t>Subvention de démarrage</w:t>
            </w:r>
          </w:p>
          <w:p w:rsidR="00B85EB9" w:rsidRDefault="000C1C88">
            <w:pPr>
              <w:spacing w:before="60" w:after="60"/>
              <w:jc w:val="left"/>
              <w:rPr>
                <w:noProof/>
              </w:rPr>
            </w:pPr>
            <w:r>
              <w:rPr>
                <w:noProof/>
              </w:rPr>
              <w:t>(</w:t>
            </w:r>
            <w:r>
              <w:rPr>
                <w:i/>
                <w:noProof/>
              </w:rPr>
              <w:t>bourse de lancement</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75</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szCs w:val="24"/>
              </w:rPr>
            </w:pPr>
            <w:r>
              <w:rPr>
                <w:noProof/>
              </w:rPr>
              <w:t>10 000</w:t>
            </w:r>
          </w:p>
        </w:tc>
        <w:tc>
          <w:tcPr>
            <w:tcW w:w="1548" w:type="dxa"/>
            <w:tcBorders>
              <w:top w:val="single" w:sz="4" w:space="0" w:color="auto"/>
              <w:left w:val="single" w:sz="4" w:space="0" w:color="auto"/>
              <w:bottom w:val="single" w:sz="4" w:space="0" w:color="auto"/>
              <w:right w:val="nil"/>
            </w:tcBorders>
            <w:vAlign w:val="center"/>
            <w:hideMark/>
          </w:tcPr>
          <w:p w:rsidR="00B85EB9" w:rsidRDefault="000C1C88">
            <w:pPr>
              <w:spacing w:before="60" w:after="60"/>
              <w:jc w:val="center"/>
              <w:rPr>
                <w:noProof/>
              </w:rPr>
            </w:pPr>
            <w:r>
              <w:rPr>
                <w:noProof/>
              </w:rPr>
              <w:t>750 000</w:t>
            </w:r>
          </w:p>
        </w:tc>
      </w:tr>
      <w:tr w:rsidR="00B85EB9">
        <w:trPr>
          <w:trHeight w:val="398"/>
        </w:trPr>
        <w:tc>
          <w:tcPr>
            <w:tcW w:w="4643" w:type="dxa"/>
            <w:vMerge w:val="restart"/>
            <w:shd w:val="clear" w:color="auto" w:fill="auto"/>
            <w:vAlign w:val="center"/>
          </w:tcPr>
          <w:p w:rsidR="00B85EB9" w:rsidRDefault="000C1C88">
            <w:pPr>
              <w:spacing w:before="60" w:after="60"/>
              <w:jc w:val="right"/>
              <w:rPr>
                <w:rFonts w:eastAsia="Times New Roman"/>
                <w:noProof/>
                <w:sz w:val="22"/>
              </w:rPr>
            </w:pPr>
            <w:r>
              <w:rPr>
                <w:noProof/>
                <w:sz w:val="22"/>
              </w:rPr>
              <w:t>Sous-total a):</w:t>
            </w:r>
          </w:p>
          <w:p w:rsidR="00B85EB9" w:rsidRDefault="000C1C88">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rsidR="00B85EB9" w:rsidRDefault="000C1C88">
            <w:pPr>
              <w:spacing w:before="60" w:after="60"/>
              <w:jc w:val="center"/>
              <w:rPr>
                <w:rFonts w:eastAsia="Times New Roman"/>
                <w:noProof/>
                <w:sz w:val="22"/>
              </w:rPr>
            </w:pPr>
            <w:r>
              <w:rPr>
                <w:noProof/>
              </w:rPr>
              <w:t>6 539 331</w:t>
            </w:r>
          </w:p>
        </w:tc>
      </w:tr>
      <w:tr w:rsidR="00B85EB9">
        <w:trPr>
          <w:trHeight w:val="397"/>
        </w:trPr>
        <w:tc>
          <w:tcPr>
            <w:tcW w:w="4643" w:type="dxa"/>
            <w:vMerge/>
            <w:shd w:val="clear" w:color="auto" w:fill="auto"/>
            <w:vAlign w:val="center"/>
          </w:tcPr>
          <w:p w:rsidR="00B85EB9" w:rsidRDefault="00B85EB9">
            <w:pPr>
              <w:spacing w:before="60" w:after="60"/>
              <w:jc w:val="right"/>
              <w:rPr>
                <w:rFonts w:eastAsia="Times New Roman"/>
                <w:noProof/>
                <w:sz w:val="22"/>
              </w:rPr>
            </w:pPr>
          </w:p>
        </w:tc>
        <w:tc>
          <w:tcPr>
            <w:tcW w:w="3096" w:type="dxa"/>
            <w:gridSpan w:val="2"/>
            <w:vMerge/>
            <w:shd w:val="clear" w:color="auto" w:fill="D9D9D9"/>
            <w:vAlign w:val="center"/>
          </w:tcPr>
          <w:p w:rsidR="00B85EB9" w:rsidRDefault="00B85EB9">
            <w:pPr>
              <w:spacing w:before="60" w:after="60"/>
              <w:jc w:val="center"/>
              <w:rPr>
                <w:rFonts w:eastAsia="Times New Roman"/>
                <w:noProof/>
                <w:sz w:val="22"/>
              </w:rPr>
            </w:pPr>
          </w:p>
        </w:tc>
        <w:tc>
          <w:tcPr>
            <w:tcW w:w="1548" w:type="dxa"/>
            <w:tcBorders>
              <w:top w:val="nil"/>
            </w:tcBorders>
            <w:shd w:val="clear" w:color="auto" w:fill="auto"/>
            <w:vAlign w:val="center"/>
          </w:tcPr>
          <w:p w:rsidR="00B85EB9" w:rsidRDefault="000C1C88">
            <w:pPr>
              <w:spacing w:before="60" w:after="60"/>
              <w:jc w:val="center"/>
              <w:rPr>
                <w:rFonts w:eastAsia="Times New Roman"/>
                <w:noProof/>
                <w:sz w:val="22"/>
              </w:rPr>
            </w:pPr>
            <w:r>
              <w:rPr>
                <w:noProof/>
              </w:rPr>
              <w:t>(86,32 %)</w:t>
            </w:r>
          </w:p>
        </w:tc>
      </w:tr>
      <w:tr w:rsidR="00B85EB9">
        <w:tc>
          <w:tcPr>
            <w:tcW w:w="9287" w:type="dxa"/>
            <w:gridSpan w:val="4"/>
            <w:shd w:val="clear" w:color="auto" w:fill="auto"/>
            <w:vAlign w:val="center"/>
          </w:tcPr>
          <w:p w:rsidR="00B85EB9" w:rsidRDefault="000C1C88">
            <w:pPr>
              <w:spacing w:before="60" w:after="60"/>
              <w:jc w:val="left"/>
              <w:rPr>
                <w:noProof/>
                <w:sz w:val="22"/>
              </w:rPr>
            </w:pPr>
            <w:r>
              <w:rPr>
                <w:noProof/>
                <w:sz w:val="22"/>
              </w:rPr>
              <w:t xml:space="preserve">Allocations et mesures d’incitation [actions au </w:t>
            </w:r>
            <w:r>
              <w:rPr>
                <w:noProof/>
                <w:sz w:val="22"/>
              </w:rPr>
              <w:t>titre de l’article 7, paragraphe 1, point b), du règlement FEM]</w:t>
            </w:r>
          </w:p>
        </w:tc>
      </w:tr>
      <w:tr w:rsidR="00B85EB9">
        <w:trPr>
          <w:trHeight w:val="802"/>
        </w:trPr>
        <w:tc>
          <w:tcPr>
            <w:tcW w:w="4643" w:type="dxa"/>
            <w:tcBorders>
              <w:top w:val="single" w:sz="4" w:space="0" w:color="auto"/>
              <w:left w:val="nil"/>
              <w:bottom w:val="single" w:sz="4" w:space="0" w:color="auto"/>
              <w:right w:val="single" w:sz="4" w:space="0" w:color="auto"/>
            </w:tcBorders>
            <w:vAlign w:val="center"/>
            <w:hideMark/>
          </w:tcPr>
          <w:p w:rsidR="00B85EB9" w:rsidRDefault="000C1C88">
            <w:pPr>
              <w:spacing w:before="60" w:after="60"/>
              <w:jc w:val="left"/>
              <w:rPr>
                <w:noProof/>
              </w:rPr>
            </w:pPr>
            <w:r>
              <w:rPr>
                <w:noProof/>
              </w:rPr>
              <w:t>Allocations pour la formation, la mobilité, la reprise d’études, la recherche d’emploi et l’entrepreneuriat</w:t>
            </w:r>
          </w:p>
          <w:p w:rsidR="00B85EB9" w:rsidRDefault="000C1C88">
            <w:pPr>
              <w:spacing w:before="60" w:after="60"/>
              <w:jc w:val="left"/>
              <w:rPr>
                <w:noProof/>
              </w:rPr>
            </w:pPr>
            <w:r>
              <w:rPr>
                <w:i/>
                <w:noProof/>
              </w:rPr>
              <w:t>(formation, prime à l’emploi distant, reprise d’études, recherche d’emploi et créat</w:t>
            </w:r>
            <w:r>
              <w:rPr>
                <w:i/>
                <w:noProof/>
              </w:rPr>
              <w:t>ion d’activité)</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2 587</w:t>
            </w:r>
          </w:p>
        </w:tc>
        <w:tc>
          <w:tcPr>
            <w:tcW w:w="1548" w:type="dxa"/>
            <w:tcBorders>
              <w:top w:val="single" w:sz="4" w:space="0" w:color="auto"/>
              <w:left w:val="single" w:sz="4" w:space="0" w:color="auto"/>
              <w:bottom w:val="single" w:sz="4" w:space="0" w:color="auto"/>
              <w:right w:val="single" w:sz="4" w:space="0" w:color="auto"/>
            </w:tcBorders>
            <w:vAlign w:val="center"/>
            <w:hideMark/>
          </w:tcPr>
          <w:p w:rsidR="00B85EB9" w:rsidRDefault="000C1C88">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nil"/>
            </w:tcBorders>
            <w:vAlign w:val="center"/>
            <w:hideMark/>
          </w:tcPr>
          <w:p w:rsidR="00B85EB9" w:rsidRDefault="000C1C88">
            <w:pPr>
              <w:spacing w:before="60" w:after="60"/>
              <w:jc w:val="center"/>
              <w:rPr>
                <w:noProof/>
              </w:rPr>
            </w:pPr>
            <w:r>
              <w:rPr>
                <w:noProof/>
              </w:rPr>
              <w:t>1 035 963</w:t>
            </w:r>
          </w:p>
        </w:tc>
      </w:tr>
      <w:tr w:rsidR="00B85EB9">
        <w:trPr>
          <w:trHeight w:val="203"/>
        </w:trPr>
        <w:tc>
          <w:tcPr>
            <w:tcW w:w="4643" w:type="dxa"/>
            <w:vMerge w:val="restart"/>
            <w:shd w:val="clear" w:color="auto" w:fill="auto"/>
            <w:vAlign w:val="center"/>
          </w:tcPr>
          <w:p w:rsidR="00B85EB9" w:rsidRDefault="000C1C88">
            <w:pPr>
              <w:spacing w:before="60" w:after="60"/>
              <w:jc w:val="right"/>
              <w:rPr>
                <w:rFonts w:eastAsia="Times New Roman"/>
                <w:noProof/>
                <w:sz w:val="22"/>
              </w:rPr>
            </w:pPr>
            <w:r>
              <w:rPr>
                <w:noProof/>
                <w:sz w:val="22"/>
              </w:rPr>
              <w:t>Sous-total b):</w:t>
            </w:r>
          </w:p>
          <w:p w:rsidR="00B85EB9" w:rsidRDefault="000C1C88">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rsidR="00B85EB9" w:rsidRDefault="000C1C88">
            <w:pPr>
              <w:spacing w:before="60" w:after="60"/>
              <w:jc w:val="center"/>
              <w:rPr>
                <w:noProof/>
              </w:rPr>
            </w:pPr>
            <w:r>
              <w:rPr>
                <w:noProof/>
              </w:rPr>
              <w:t>1 035 963</w:t>
            </w:r>
          </w:p>
        </w:tc>
      </w:tr>
      <w:tr w:rsidR="00B85EB9">
        <w:trPr>
          <w:trHeight w:val="202"/>
        </w:trPr>
        <w:tc>
          <w:tcPr>
            <w:tcW w:w="4643" w:type="dxa"/>
            <w:vMerge/>
            <w:shd w:val="clear" w:color="auto" w:fill="auto"/>
            <w:vAlign w:val="center"/>
          </w:tcPr>
          <w:p w:rsidR="00B85EB9" w:rsidRDefault="00B85EB9">
            <w:pPr>
              <w:spacing w:before="60" w:after="60"/>
              <w:jc w:val="right"/>
              <w:rPr>
                <w:rFonts w:eastAsia="Times New Roman"/>
                <w:noProof/>
                <w:sz w:val="22"/>
              </w:rPr>
            </w:pPr>
          </w:p>
        </w:tc>
        <w:tc>
          <w:tcPr>
            <w:tcW w:w="3096" w:type="dxa"/>
            <w:gridSpan w:val="2"/>
            <w:vMerge/>
            <w:shd w:val="clear" w:color="auto" w:fill="D9D9D9"/>
            <w:vAlign w:val="center"/>
          </w:tcPr>
          <w:p w:rsidR="00B85EB9" w:rsidRDefault="00B85EB9">
            <w:pPr>
              <w:spacing w:before="60" w:after="60"/>
              <w:jc w:val="center"/>
              <w:rPr>
                <w:rFonts w:eastAsia="Times New Roman"/>
                <w:noProof/>
                <w:sz w:val="22"/>
              </w:rPr>
            </w:pPr>
          </w:p>
        </w:tc>
        <w:tc>
          <w:tcPr>
            <w:tcW w:w="1548" w:type="dxa"/>
            <w:tcBorders>
              <w:top w:val="nil"/>
            </w:tcBorders>
            <w:shd w:val="clear" w:color="auto" w:fill="auto"/>
            <w:vAlign w:val="center"/>
          </w:tcPr>
          <w:p w:rsidR="00B85EB9" w:rsidRDefault="000C1C88">
            <w:pPr>
              <w:spacing w:before="60" w:after="60"/>
              <w:jc w:val="center"/>
              <w:rPr>
                <w:rFonts w:eastAsia="Times New Roman"/>
                <w:noProof/>
                <w:sz w:val="22"/>
              </w:rPr>
            </w:pPr>
            <w:r>
              <w:rPr>
                <w:noProof/>
              </w:rPr>
              <w:t>(13,68 %)</w:t>
            </w:r>
          </w:p>
        </w:tc>
      </w:tr>
      <w:tr w:rsidR="00B85EB9">
        <w:tc>
          <w:tcPr>
            <w:tcW w:w="9287" w:type="dxa"/>
            <w:gridSpan w:val="4"/>
            <w:shd w:val="clear" w:color="auto" w:fill="auto"/>
            <w:vAlign w:val="center"/>
          </w:tcPr>
          <w:p w:rsidR="00B85EB9" w:rsidRDefault="000C1C88">
            <w:pPr>
              <w:spacing w:before="60" w:after="60"/>
              <w:jc w:val="left"/>
              <w:rPr>
                <w:rFonts w:eastAsia="Times New Roman"/>
                <w:noProof/>
                <w:sz w:val="22"/>
              </w:rPr>
            </w:pPr>
            <w:r>
              <w:rPr>
                <w:noProof/>
                <w:sz w:val="22"/>
              </w:rPr>
              <w:t>Actions au titre de l’article 7, paragraphe 4, du règlement FEM</w:t>
            </w:r>
          </w:p>
        </w:tc>
      </w:tr>
      <w:tr w:rsidR="00B85EB9">
        <w:tc>
          <w:tcPr>
            <w:tcW w:w="4643" w:type="dxa"/>
            <w:shd w:val="clear" w:color="auto" w:fill="auto"/>
          </w:tcPr>
          <w:p w:rsidR="00B85EB9" w:rsidRDefault="000C1C88">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shd w:val="clear" w:color="auto" w:fill="auto"/>
          </w:tcPr>
          <w:p w:rsidR="00B85EB9" w:rsidRDefault="000C1C88">
            <w:pPr>
              <w:spacing w:before="60" w:after="60"/>
              <w:jc w:val="center"/>
              <w:rPr>
                <w:rFonts w:eastAsia="Times New Roman"/>
                <w:noProof/>
                <w:sz w:val="22"/>
              </w:rPr>
            </w:pPr>
            <w:r>
              <w:rPr>
                <w:noProof/>
              </w:rPr>
              <w:t>82 000</w:t>
            </w:r>
          </w:p>
        </w:tc>
      </w:tr>
      <w:tr w:rsidR="00B85EB9">
        <w:tc>
          <w:tcPr>
            <w:tcW w:w="4643" w:type="dxa"/>
            <w:shd w:val="clear" w:color="auto" w:fill="auto"/>
          </w:tcPr>
          <w:p w:rsidR="00B85EB9" w:rsidRDefault="000C1C88">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shd w:val="clear" w:color="auto" w:fill="auto"/>
          </w:tcPr>
          <w:p w:rsidR="00B85EB9" w:rsidRDefault="000C1C88">
            <w:pPr>
              <w:spacing w:before="60" w:after="60"/>
              <w:jc w:val="center"/>
              <w:rPr>
                <w:noProof/>
              </w:rPr>
            </w:pPr>
            <w:r>
              <w:rPr>
                <w:noProof/>
              </w:rPr>
              <w:t>10 400</w:t>
            </w:r>
          </w:p>
        </w:tc>
      </w:tr>
      <w:tr w:rsidR="00B85EB9">
        <w:tc>
          <w:tcPr>
            <w:tcW w:w="4643" w:type="dxa"/>
            <w:shd w:val="clear" w:color="auto" w:fill="auto"/>
          </w:tcPr>
          <w:p w:rsidR="00B85EB9" w:rsidRDefault="000C1C88">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shd w:val="clear" w:color="auto" w:fill="auto"/>
          </w:tcPr>
          <w:p w:rsidR="00B85EB9" w:rsidRDefault="000C1C88">
            <w:pPr>
              <w:spacing w:before="60" w:after="60"/>
              <w:jc w:val="center"/>
              <w:rPr>
                <w:noProof/>
              </w:rPr>
            </w:pPr>
            <w:r>
              <w:rPr>
                <w:noProof/>
              </w:rPr>
              <w:t>5 000</w:t>
            </w:r>
          </w:p>
        </w:tc>
      </w:tr>
      <w:tr w:rsidR="00B85EB9">
        <w:tc>
          <w:tcPr>
            <w:tcW w:w="4643" w:type="dxa"/>
            <w:shd w:val="clear" w:color="auto" w:fill="auto"/>
          </w:tcPr>
          <w:p w:rsidR="00B85EB9" w:rsidRDefault="000C1C88">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rsidR="00B85EB9" w:rsidRDefault="000C1C88">
            <w:pPr>
              <w:spacing w:before="60" w:after="60"/>
              <w:jc w:val="center"/>
              <w:rPr>
                <w:noProof/>
              </w:rPr>
            </w:pPr>
            <w:r>
              <w:rPr>
                <w:noProof/>
              </w:rPr>
              <w:t> 30 000</w:t>
            </w:r>
          </w:p>
        </w:tc>
      </w:tr>
      <w:tr w:rsidR="00B85EB9">
        <w:trPr>
          <w:trHeight w:val="203"/>
        </w:trPr>
        <w:tc>
          <w:tcPr>
            <w:tcW w:w="4643" w:type="dxa"/>
            <w:vMerge w:val="restart"/>
            <w:shd w:val="clear" w:color="auto" w:fill="auto"/>
            <w:vAlign w:val="center"/>
          </w:tcPr>
          <w:p w:rsidR="00B85EB9" w:rsidRDefault="000C1C88">
            <w:pPr>
              <w:spacing w:before="60" w:after="60"/>
              <w:jc w:val="right"/>
              <w:rPr>
                <w:rFonts w:eastAsia="Times New Roman"/>
                <w:noProof/>
                <w:sz w:val="22"/>
              </w:rPr>
            </w:pPr>
            <w:r>
              <w:rPr>
                <w:noProof/>
                <w:sz w:val="22"/>
              </w:rPr>
              <w:t>Sous-total c):</w:t>
            </w:r>
          </w:p>
          <w:p w:rsidR="00B85EB9" w:rsidRDefault="000C1C88">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rsidR="00B85EB9" w:rsidRDefault="000C1C88">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rsidR="00B85EB9" w:rsidRDefault="000C1C88">
            <w:pPr>
              <w:spacing w:before="60" w:after="60"/>
              <w:jc w:val="center"/>
              <w:rPr>
                <w:noProof/>
              </w:rPr>
            </w:pPr>
            <w:r>
              <w:rPr>
                <w:noProof/>
              </w:rPr>
              <w:t>127 400</w:t>
            </w:r>
          </w:p>
        </w:tc>
      </w:tr>
      <w:tr w:rsidR="00B85EB9">
        <w:trPr>
          <w:trHeight w:val="202"/>
        </w:trPr>
        <w:tc>
          <w:tcPr>
            <w:tcW w:w="4643" w:type="dxa"/>
            <w:vMerge/>
            <w:shd w:val="clear" w:color="auto" w:fill="auto"/>
          </w:tcPr>
          <w:p w:rsidR="00B85EB9" w:rsidRDefault="00B85EB9">
            <w:pPr>
              <w:spacing w:before="0" w:after="0"/>
              <w:jc w:val="right"/>
              <w:rPr>
                <w:rFonts w:eastAsia="Times New Roman"/>
                <w:noProof/>
                <w:sz w:val="22"/>
              </w:rPr>
            </w:pPr>
          </w:p>
        </w:tc>
        <w:tc>
          <w:tcPr>
            <w:tcW w:w="3096" w:type="dxa"/>
            <w:gridSpan w:val="2"/>
            <w:vMerge/>
            <w:shd w:val="clear" w:color="auto" w:fill="D9D9D9"/>
            <w:vAlign w:val="center"/>
          </w:tcPr>
          <w:p w:rsidR="00B85EB9" w:rsidRDefault="00B85EB9">
            <w:pPr>
              <w:spacing w:before="0" w:after="0"/>
              <w:jc w:val="center"/>
              <w:rPr>
                <w:rFonts w:eastAsia="Times New Roman"/>
                <w:noProof/>
                <w:sz w:val="22"/>
              </w:rPr>
            </w:pPr>
          </w:p>
        </w:tc>
        <w:tc>
          <w:tcPr>
            <w:tcW w:w="1548" w:type="dxa"/>
            <w:tcBorders>
              <w:top w:val="nil"/>
            </w:tcBorders>
            <w:shd w:val="clear" w:color="auto" w:fill="auto"/>
            <w:vAlign w:val="center"/>
          </w:tcPr>
          <w:p w:rsidR="00B85EB9" w:rsidRDefault="000C1C88">
            <w:pPr>
              <w:spacing w:before="60" w:after="60"/>
              <w:jc w:val="center"/>
              <w:rPr>
                <w:noProof/>
                <w:sz w:val="22"/>
              </w:rPr>
            </w:pPr>
            <w:r>
              <w:rPr>
                <w:noProof/>
                <w:sz w:val="22"/>
              </w:rPr>
              <w:t>(1,65 %)</w:t>
            </w:r>
          </w:p>
        </w:tc>
      </w:tr>
      <w:tr w:rsidR="00B85EB9">
        <w:tc>
          <w:tcPr>
            <w:tcW w:w="4643" w:type="dxa"/>
            <w:shd w:val="clear" w:color="auto" w:fill="auto"/>
          </w:tcPr>
          <w:p w:rsidR="00B85EB9" w:rsidRDefault="000C1C88">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shd w:val="clear" w:color="auto" w:fill="auto"/>
          </w:tcPr>
          <w:p w:rsidR="00B85EB9" w:rsidRDefault="000C1C88">
            <w:pPr>
              <w:spacing w:before="60" w:after="60"/>
              <w:jc w:val="center"/>
              <w:rPr>
                <w:noProof/>
              </w:rPr>
            </w:pPr>
            <w:r>
              <w:rPr>
                <w:noProof/>
              </w:rPr>
              <w:t>7 702 694</w:t>
            </w:r>
          </w:p>
        </w:tc>
      </w:tr>
      <w:tr w:rsidR="00B85EB9">
        <w:tc>
          <w:tcPr>
            <w:tcW w:w="4643" w:type="dxa"/>
            <w:shd w:val="clear" w:color="auto" w:fill="auto"/>
          </w:tcPr>
          <w:p w:rsidR="00B85EB9" w:rsidRDefault="000C1C88">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rsidR="00B85EB9" w:rsidRDefault="000C1C88">
            <w:pPr>
              <w:spacing w:before="60" w:after="60"/>
              <w:jc w:val="center"/>
              <w:rPr>
                <w:rFonts w:eastAsia="Times New Roman"/>
                <w:noProof/>
                <w:sz w:val="22"/>
              </w:rPr>
            </w:pPr>
            <w:r>
              <w:rPr>
                <w:noProof/>
                <w:sz w:val="22"/>
              </w:rPr>
              <w:t>–</w:t>
            </w:r>
          </w:p>
        </w:tc>
        <w:tc>
          <w:tcPr>
            <w:tcW w:w="1548" w:type="dxa"/>
            <w:shd w:val="clear" w:color="auto" w:fill="auto"/>
          </w:tcPr>
          <w:p w:rsidR="00B85EB9" w:rsidRDefault="000C1C88">
            <w:pPr>
              <w:spacing w:before="60" w:after="60"/>
              <w:jc w:val="center"/>
              <w:rPr>
                <w:noProof/>
              </w:rPr>
            </w:pPr>
            <w:r>
              <w:rPr>
                <w:noProof/>
              </w:rPr>
              <w:t>4 621 616</w:t>
            </w:r>
          </w:p>
        </w:tc>
      </w:tr>
    </w:tbl>
    <w:p w:rsidR="00B85EB9" w:rsidRDefault="000C1C88">
      <w:pPr>
        <w:pStyle w:val="ManualNumPar1"/>
        <w:rPr>
          <w:noProof/>
          <w:szCs w:val="20"/>
        </w:rPr>
      </w:pPr>
      <w:r>
        <w:t>33.</w:t>
      </w:r>
      <w:r>
        <w:tab/>
      </w:r>
      <w:r>
        <w:rPr>
          <w:noProof/>
        </w:rPr>
        <w:t xml:space="preserve">Le coût des </w:t>
      </w:r>
      <w:r>
        <w:rPr>
          <w:noProof/>
        </w:rPr>
        <w:t>actions indiquées dans le tableau ci-dessus en tant qu’actions menées au titre de l’article 7, paragraphe 1, point b), du règlement FEM ne dépasse pas 35 % du coût total de l’ensemble coordonné de services personnalisés. La Belgique a confirmé que ces acti</w:t>
      </w:r>
      <w:r>
        <w:rPr>
          <w:noProof/>
        </w:rPr>
        <w:t>ons étaient conditionnées à la participation active des bénéficiaires visés à des activités de recherche d’emploi ou de formation.</w:t>
      </w:r>
    </w:p>
    <w:p w:rsidR="00B85EB9" w:rsidRDefault="000C1C88">
      <w:pPr>
        <w:pStyle w:val="ManualNumPar1"/>
        <w:rPr>
          <w:noProof/>
        </w:rPr>
      </w:pPr>
      <w:r>
        <w:t>34.</w:t>
      </w:r>
      <w:r>
        <w:tab/>
      </w:r>
      <w:r>
        <w:rPr>
          <w:noProof/>
        </w:rPr>
        <w:t>La Belgique a également confirmé que les coûts d’investissement pour l’emploi indépendant, la création d’entreprises et l</w:t>
      </w:r>
      <w:r>
        <w:rPr>
          <w:noProof/>
        </w:rPr>
        <w:t>a reprise d’entreprises par les salariés ne dépasseront pas 15 000 EUR par bénéficiaire.</w:t>
      </w:r>
    </w:p>
    <w:p w:rsidR="00B85EB9" w:rsidRDefault="000C1C88">
      <w:pPr>
        <w:pStyle w:val="ManualHeading3"/>
        <w:rPr>
          <w:noProof/>
        </w:rPr>
      </w:pPr>
      <w:r>
        <w:rPr>
          <w:noProof/>
        </w:rPr>
        <w:t>Période d’admissibilité des dépenses</w:t>
      </w:r>
    </w:p>
    <w:p w:rsidR="00B85EB9" w:rsidRDefault="000C1C88">
      <w:pPr>
        <w:pStyle w:val="ManualNumPar1"/>
        <w:rPr>
          <w:noProof/>
        </w:rPr>
      </w:pPr>
      <w:r>
        <w:t>35.</w:t>
      </w:r>
      <w:r>
        <w:tab/>
      </w:r>
      <w:r>
        <w:rPr>
          <w:noProof/>
        </w:rPr>
        <w:t>La Belgique a commencé à fournir les services personnalisés aux bénéficiaires visés le 22 octobre 2016. Les dépenses relatives</w:t>
      </w:r>
      <w:r>
        <w:rPr>
          <w:noProof/>
        </w:rPr>
        <w:t xml:space="preserve"> aux actions sont donc admissibles, au titre de la participation financière du FEM, du 22 octobre 2016 au 18 décembre 2019.</w:t>
      </w:r>
    </w:p>
    <w:p w:rsidR="00B85EB9" w:rsidRDefault="000C1C88">
      <w:pPr>
        <w:pStyle w:val="ManualNumPar1"/>
        <w:rPr>
          <w:noProof/>
        </w:rPr>
      </w:pPr>
      <w:r>
        <w:t>36.</w:t>
      </w:r>
      <w:r>
        <w:tab/>
      </w:r>
      <w:r>
        <w:rPr>
          <w:noProof/>
        </w:rPr>
        <w:t>La Belgique a commencé à engager les dépenses administratives pour la mise en œuvre du FEM le 5 septembre 2016. Les dépenses rel</w:t>
      </w:r>
      <w:r>
        <w:rPr>
          <w:noProof/>
        </w:rPr>
        <w:t>atives aux activités de préparation, de gestion, d’information et de publicité ainsi que de contrôle et de rapport peuvent, par conséquent, faire l’objet d’une contribution financière du FEM du 5 septembre 2016 au 18 juin 2020.</w:t>
      </w:r>
    </w:p>
    <w:p w:rsidR="00B85EB9" w:rsidRDefault="000C1C88">
      <w:pPr>
        <w:pStyle w:val="ManualHeading3"/>
        <w:rPr>
          <w:i w:val="0"/>
          <w:noProof/>
        </w:rPr>
      </w:pPr>
      <w:r>
        <w:rPr>
          <w:noProof/>
        </w:rPr>
        <w:t>Complémentarité avec les act</w:t>
      </w:r>
      <w:r>
        <w:rPr>
          <w:noProof/>
        </w:rPr>
        <w:t>ions financées par des fonds nationaux ou de l’Union</w:t>
      </w:r>
    </w:p>
    <w:p w:rsidR="00B85EB9" w:rsidRDefault="000C1C88">
      <w:pPr>
        <w:pStyle w:val="ManualNumPar1"/>
        <w:rPr>
          <w:noProof/>
        </w:rPr>
      </w:pPr>
      <w:r>
        <w:t>37.</w:t>
      </w:r>
      <w:r>
        <w:tab/>
      </w:r>
      <w:r>
        <w:rPr>
          <w:noProof/>
        </w:rPr>
        <w:t>Les sources de préfinancement ou de cofinancement national sont le service public de l’emploi en Wallonie (Forem) ainsi que la Région wallonne.</w:t>
      </w:r>
    </w:p>
    <w:p w:rsidR="00B85EB9" w:rsidRDefault="000C1C88">
      <w:pPr>
        <w:pStyle w:val="ManualNumPar1"/>
        <w:rPr>
          <w:noProof/>
        </w:rPr>
      </w:pPr>
      <w:r>
        <w:t>38.</w:t>
      </w:r>
      <w:r>
        <w:tab/>
      </w:r>
      <w:r>
        <w:rPr>
          <w:noProof/>
        </w:rPr>
        <w:t xml:space="preserve">La Belgique a confirmé que les mesures décrites </w:t>
      </w:r>
      <w:r>
        <w:rPr>
          <w:noProof/>
        </w:rPr>
        <w:t>ci-dessus bénéficiant d’une contribution financière du FEM ne recevront pas d’aide au titre d’autres instruments financiers de l’Union.</w:t>
      </w:r>
    </w:p>
    <w:p w:rsidR="00B85EB9" w:rsidRDefault="000C1C88">
      <w:pPr>
        <w:pStyle w:val="ManualHeading3"/>
        <w:tabs>
          <w:tab w:val="clear" w:pos="850"/>
          <w:tab w:val="left" w:pos="0"/>
        </w:tabs>
        <w:ind w:left="0" w:firstLine="0"/>
        <w:rPr>
          <w:noProof/>
          <w:u w:val="single"/>
        </w:rPr>
      </w:pPr>
      <w:r>
        <w:rPr>
          <w:noProof/>
        </w:rPr>
        <w:t xml:space="preserve">Procédures suivies pour la consultation des bénéficiaires visés ou de leurs représentants, des partenaires sociaux et </w:t>
      </w:r>
      <w:r>
        <w:rPr>
          <w:noProof/>
        </w:rPr>
        <w:t>des collectivités locales et régionales</w:t>
      </w:r>
    </w:p>
    <w:p w:rsidR="00B85EB9" w:rsidRDefault="000C1C88">
      <w:pPr>
        <w:pStyle w:val="ManualNumPar1"/>
        <w:rPr>
          <w:noProof/>
        </w:rPr>
      </w:pPr>
      <w:r>
        <w:t>39.</w:t>
      </w:r>
      <w:r>
        <w:tab/>
      </w:r>
      <w:r>
        <w:rPr>
          <w:noProof/>
        </w:rPr>
        <w:t>La Belgique a indiqué que l’ensemble coordonné de services personnalisés avait été établi en concertation avec un groupe de travail, auquel participaient le service public de l’emploi en Wallonie, la Sogepa</w:t>
      </w:r>
      <w:r>
        <w:rPr>
          <w:rStyle w:val="FootnoteReference"/>
          <w:noProof/>
        </w:rPr>
        <w:footnoteReference w:id="18"/>
      </w:r>
      <w:r>
        <w:rPr>
          <w:noProof/>
        </w:rPr>
        <w:t>, les</w:t>
      </w:r>
      <w:r>
        <w:rPr>
          <w:noProof/>
        </w:rPr>
        <w:t xml:space="preserve"> représentants des syndicats et d’autres partenaires sociaux.</w:t>
      </w:r>
    </w:p>
    <w:p w:rsidR="00B85EB9" w:rsidRDefault="000C1C88">
      <w:pPr>
        <w:pStyle w:val="ManualHeading2"/>
        <w:rPr>
          <w:b w:val="0"/>
          <w:i/>
          <w:noProof/>
        </w:rPr>
      </w:pPr>
      <w:r>
        <w:rPr>
          <w:b w:val="0"/>
          <w:i/>
          <w:noProof/>
        </w:rPr>
        <w:t>Systèmes de gestion et de contrôle</w:t>
      </w:r>
    </w:p>
    <w:p w:rsidR="00B85EB9" w:rsidRDefault="000C1C88">
      <w:pPr>
        <w:pStyle w:val="ManualNumPar1"/>
        <w:rPr>
          <w:noProof/>
        </w:rPr>
      </w:pPr>
      <w:r>
        <w:t>40.</w:t>
      </w:r>
      <w:r>
        <w:tab/>
      </w:r>
      <w:r>
        <w:rPr>
          <w:noProof/>
        </w:rPr>
        <w:t>La Belgique a fait savoir à la Commission que la contribution financière serait gérée et contrôlée par les organismes déjà chargés de cette mission pour le</w:t>
      </w:r>
      <w:r>
        <w:rPr>
          <w:noProof/>
        </w:rPr>
        <w:t xml:space="preserve"> Fonds social européen (FSE).</w:t>
      </w:r>
    </w:p>
    <w:p w:rsidR="00B85EB9" w:rsidRDefault="000C1C88">
      <w:pPr>
        <w:pStyle w:val="ManualHeading2"/>
        <w:rPr>
          <w:b w:val="0"/>
          <w:i/>
          <w:noProof/>
        </w:rPr>
      </w:pPr>
      <w:r>
        <w:rPr>
          <w:b w:val="0"/>
          <w:i/>
          <w:noProof/>
        </w:rPr>
        <w:t>Engagements de l’État membre concerné</w:t>
      </w:r>
    </w:p>
    <w:p w:rsidR="00B85EB9" w:rsidRDefault="000C1C88">
      <w:pPr>
        <w:pStyle w:val="ManualNumPar1"/>
        <w:rPr>
          <w:noProof/>
        </w:rPr>
      </w:pPr>
      <w:r>
        <w:t>41.</w:t>
      </w:r>
      <w:r>
        <w:tab/>
      </w:r>
      <w:r>
        <w:rPr>
          <w:noProof/>
        </w:rPr>
        <w:t>La Belgique a apporté toutes les assurances nécessaires concernant les aspects suivants:</w:t>
      </w:r>
    </w:p>
    <w:p w:rsidR="00B85EB9" w:rsidRDefault="000C1C88">
      <w:pPr>
        <w:pStyle w:val="Tiret1"/>
        <w:rPr>
          <w:noProof/>
        </w:rPr>
      </w:pPr>
      <w:r>
        <w:rPr>
          <w:noProof/>
        </w:rPr>
        <w:t>les principes d’égalité de traitement et de non-discrimination seront respectés pour l’accès au</w:t>
      </w:r>
      <w:r>
        <w:rPr>
          <w:noProof/>
        </w:rPr>
        <w:t>x actions proposées et leur réalisation;</w:t>
      </w:r>
    </w:p>
    <w:p w:rsidR="00B85EB9" w:rsidRDefault="000C1C88">
      <w:pPr>
        <w:pStyle w:val="Tiret1"/>
        <w:rPr>
          <w:noProof/>
        </w:rPr>
      </w:pPr>
      <w:r>
        <w:rPr>
          <w:noProof/>
        </w:rPr>
        <w:t>les exigences fixées dans la législation nationale et dans celle de l’Union concernant les licenciements collectifs ont été respectées;</w:t>
      </w:r>
    </w:p>
    <w:p w:rsidR="00B85EB9" w:rsidRDefault="000C1C88">
      <w:pPr>
        <w:pStyle w:val="Tiret1"/>
        <w:rPr>
          <w:noProof/>
        </w:rPr>
      </w:pPr>
      <w:r>
        <w:rPr>
          <w:noProof/>
        </w:rPr>
        <w:t>les entreprises à l’origine des licenciements qui ont poursuivi leurs activités</w:t>
      </w:r>
      <w:r>
        <w:rPr>
          <w:noProof/>
        </w:rPr>
        <w:t xml:space="preserve"> par la suite ont respecté leurs obligations légales en matière de licenciements et ont pris des dispositions pour leurs salariés en conséquence;</w:t>
      </w:r>
    </w:p>
    <w:p w:rsidR="00B85EB9" w:rsidRDefault="000C1C88">
      <w:pPr>
        <w:pStyle w:val="Tiret1"/>
        <w:rPr>
          <w:noProof/>
        </w:rPr>
      </w:pPr>
      <w:r>
        <w:rPr>
          <w:noProof/>
        </w:rPr>
        <w:t>les actions proposées ne bénéficieront d’aucune aide financière provenant d’autres Fonds ou instruments financ</w:t>
      </w:r>
      <w:r>
        <w:rPr>
          <w:noProof/>
        </w:rPr>
        <w:t>iers de l’Union et les doubles financements seront évités;</w:t>
      </w:r>
    </w:p>
    <w:p w:rsidR="00B85EB9" w:rsidRDefault="000C1C88">
      <w:pPr>
        <w:pStyle w:val="Tiret1"/>
        <w:rPr>
          <w:noProof/>
        </w:rPr>
      </w:pPr>
      <w:r>
        <w:rPr>
          <w:noProof/>
        </w:rPr>
        <w:t>les actions proposées seront complémentaires des actions financées par les Fonds structurels;</w:t>
      </w:r>
    </w:p>
    <w:p w:rsidR="00B85EB9" w:rsidRDefault="000C1C88">
      <w:pPr>
        <w:pStyle w:val="Tiret1"/>
        <w:rPr>
          <w:noProof/>
        </w:rPr>
      </w:pPr>
      <w:r>
        <w:rPr>
          <w:noProof/>
        </w:rPr>
        <w:t>la contribution financière du FEM sera conforme aux règles procédurales et de fond de l’Union en matièr</w:t>
      </w:r>
      <w:r>
        <w:rPr>
          <w:noProof/>
        </w:rPr>
        <w:t>e d’aides d’État.</w:t>
      </w:r>
    </w:p>
    <w:p w:rsidR="00B85EB9" w:rsidRDefault="000C1C88">
      <w:pPr>
        <w:pStyle w:val="ManualHeading1"/>
        <w:rPr>
          <w:noProof/>
        </w:rPr>
      </w:pPr>
      <w:r>
        <w:rPr>
          <w:noProof/>
        </w:rPr>
        <w:t>INCIDENCE BUDGÉTAIRE</w:t>
      </w:r>
    </w:p>
    <w:p w:rsidR="00B85EB9" w:rsidRDefault="000C1C88">
      <w:pPr>
        <w:pStyle w:val="ManualHeading2"/>
        <w:rPr>
          <w:b w:val="0"/>
          <w:i/>
          <w:noProof/>
        </w:rPr>
      </w:pPr>
      <w:r>
        <w:rPr>
          <w:b w:val="0"/>
          <w:i/>
          <w:noProof/>
        </w:rPr>
        <w:t>Proposition budgétaire</w:t>
      </w:r>
    </w:p>
    <w:p w:rsidR="00B85EB9" w:rsidRDefault="000C1C88">
      <w:pPr>
        <w:pStyle w:val="ManualNumPar1"/>
        <w:rPr>
          <w:noProof/>
        </w:rPr>
      </w:pPr>
      <w:r>
        <w:t>42.</w:t>
      </w:r>
      <w:r>
        <w:tab/>
      </w:r>
      <w:r>
        <w:rPr>
          <w:noProof/>
        </w:rPr>
        <w:t xml:space="preserve">La dotation annuelle du FEM n’excède pas 150 millions d’EUR (aux prix de 2011), comme le prévoit l’article 12 du règlement (UE, Euratom) nº 1311/2013 du Conseil du 2 décembre 2013 fixant le </w:t>
      </w:r>
      <w:r>
        <w:rPr>
          <w:noProof/>
        </w:rPr>
        <w:t>cadre financier pluriannuel pour la période 2014-2020</w:t>
      </w:r>
      <w:r>
        <w:rPr>
          <w:rStyle w:val="FootnoteReference"/>
          <w:noProof/>
        </w:rPr>
        <w:footnoteReference w:id="19"/>
      </w:r>
      <w:r>
        <w:rPr>
          <w:noProof/>
        </w:rPr>
        <w:t>.</w:t>
      </w:r>
    </w:p>
    <w:p w:rsidR="00B85EB9" w:rsidRDefault="000C1C88">
      <w:pPr>
        <w:pStyle w:val="ManualNumPar1"/>
        <w:rPr>
          <w:rFonts w:eastAsia="Calibri"/>
          <w:noProof/>
        </w:rPr>
      </w:pPr>
      <w:r>
        <w:t>43.</w:t>
      </w:r>
      <w:r>
        <w:tab/>
      </w:r>
      <w:r>
        <w:rPr>
          <w:noProof/>
        </w:rPr>
        <w:t>Au terme de l’examen de la demande eu égard aux conditions fixées à l’article 13, paragraphe 1, du règlement FEM, et compte tenu du nombre de bénéficiaires visés, des actions proposées et des coût</w:t>
      </w:r>
      <w:r>
        <w:rPr>
          <w:noProof/>
        </w:rPr>
        <w:t>s estimés, la Commission propose de mobiliser le FEM pour un montant de 4 621 616 EUR, soit 60 % du coût total des actions proposées, afin d’apporter une contribution financière en réponse à la demande.</w:t>
      </w:r>
    </w:p>
    <w:p w:rsidR="00B85EB9" w:rsidRDefault="000C1C88">
      <w:pPr>
        <w:pStyle w:val="ManualNumPar1"/>
        <w:rPr>
          <w:rFonts w:eastAsia="Times New Roman"/>
          <w:noProof/>
        </w:rPr>
      </w:pPr>
      <w:r>
        <w:t>44.</w:t>
      </w:r>
      <w:r>
        <w:tab/>
      </w:r>
      <w:r>
        <w:rPr>
          <w:noProof/>
        </w:rPr>
        <w:t xml:space="preserve">La décision proposée de mobilisation du FEM sera </w:t>
      </w:r>
      <w:r>
        <w:rPr>
          <w:noProof/>
        </w:rPr>
        <w:t>prise conjointement par le Parlement européen et le Conseil, en application du point 13 de l’accord interinstitutionnel du 2 décembre 2013 entre le Parlement européen, le Conseil et la Commission sur la discipline budgétaire, la coopération en matière budg</w:t>
      </w:r>
      <w:r>
        <w:rPr>
          <w:noProof/>
        </w:rPr>
        <w:t>étaire et la bonne gestion financière</w:t>
      </w:r>
      <w:r>
        <w:rPr>
          <w:rStyle w:val="FootnoteReference"/>
          <w:noProof/>
        </w:rPr>
        <w:footnoteReference w:id="20"/>
      </w:r>
      <w:r>
        <w:rPr>
          <w:noProof/>
        </w:rPr>
        <w:t>.</w:t>
      </w:r>
    </w:p>
    <w:p w:rsidR="00B85EB9" w:rsidRDefault="000C1C88">
      <w:pPr>
        <w:pStyle w:val="ManualHeading2"/>
        <w:rPr>
          <w:b w:val="0"/>
          <w:i/>
          <w:noProof/>
        </w:rPr>
      </w:pPr>
      <w:r>
        <w:rPr>
          <w:b w:val="0"/>
          <w:i/>
          <w:noProof/>
        </w:rPr>
        <w:t>Actes liés</w:t>
      </w:r>
    </w:p>
    <w:p w:rsidR="00B85EB9" w:rsidRDefault="000C1C88">
      <w:pPr>
        <w:pStyle w:val="ManualNumPar1"/>
        <w:rPr>
          <w:noProof/>
        </w:rPr>
      </w:pPr>
      <w:r>
        <w:t>45.</w:t>
      </w:r>
      <w:r>
        <w:tab/>
      </w:r>
      <w:r>
        <w:rPr>
          <w:noProof/>
        </w:rPr>
        <w:t>En même temps qu’elle présentera sa proposition de décision de mobilisation du FEM, la Commission présentera au Parlement européen et au Conseil une proposition de virement d’un montant de 4 621 616 EU</w:t>
      </w:r>
      <w:r>
        <w:rPr>
          <w:noProof/>
        </w:rPr>
        <w:t>R sur la ligne budgétaire concernée.</w:t>
      </w:r>
    </w:p>
    <w:p w:rsidR="00B85EB9" w:rsidRDefault="000C1C88">
      <w:pPr>
        <w:pStyle w:val="ManualNumPar1"/>
        <w:rPr>
          <w:noProof/>
        </w:rPr>
      </w:pPr>
      <w:r>
        <w:t>46.</w:t>
      </w:r>
      <w:r>
        <w:tab/>
      </w:r>
      <w:r>
        <w:rPr>
          <w:noProof/>
        </w:rPr>
        <w:t>En même temps qu’elle adoptera la présente proposition de décision de mobilisation du FEM, la Commission adoptera une décision d’octroi d’une contribution financière, par la voie d’un acte d’exécution, qui entrera e</w:t>
      </w:r>
      <w:r>
        <w:rPr>
          <w:noProof/>
        </w:rPr>
        <w:t>n vigueur à la date à laquelle le Parlement européen et le Conseil adopteront la proposition de décision de mobilisation du FEM.</w:t>
      </w:r>
    </w:p>
    <w:p w:rsidR="00B85EB9" w:rsidRDefault="00B85EB9">
      <w:pPr>
        <w:rPr>
          <w:noProof/>
        </w:rPr>
        <w:sectPr w:rsidR="00B85EB9" w:rsidSect="000C1C88">
          <w:footerReference w:type="default" r:id="rId16"/>
          <w:footerReference w:type="first" r:id="rId17"/>
          <w:pgSz w:w="11907" w:h="16839"/>
          <w:pgMar w:top="1134" w:right="1418" w:bottom="1134" w:left="1418" w:header="709" w:footer="709" w:gutter="0"/>
          <w:pgNumType w:start="1"/>
          <w:cols w:space="720"/>
          <w:docGrid w:linePitch="360"/>
        </w:sectPr>
      </w:pPr>
    </w:p>
    <w:p w:rsidR="00B85EB9" w:rsidRDefault="000C1C88">
      <w:pPr>
        <w:pStyle w:val="Statut"/>
        <w:rPr>
          <w:noProof/>
        </w:rPr>
      </w:pPr>
      <w:r>
        <w:rPr>
          <w:noProof/>
        </w:rPr>
        <w:t>Proposition de</w:t>
      </w:r>
    </w:p>
    <w:p w:rsidR="00B85EB9" w:rsidRDefault="000C1C88">
      <w:pPr>
        <w:pStyle w:val="Typedudocument"/>
        <w:rPr>
          <w:noProof/>
        </w:rPr>
      </w:pPr>
      <w:r>
        <w:rPr>
          <w:noProof/>
        </w:rPr>
        <w:t>DÉCISION DU PARLEMENT EUROPÉEN ET DU CONSEIL</w:t>
      </w:r>
    </w:p>
    <w:p w:rsidR="00B85EB9" w:rsidRDefault="000C1C88">
      <w:pPr>
        <w:pStyle w:val="Titreobjet"/>
        <w:rPr>
          <w:noProof/>
        </w:rPr>
      </w:pPr>
      <w:r>
        <w:rPr>
          <w:noProof/>
        </w:rPr>
        <w:t>relative à</w:t>
      </w:r>
      <w:r>
        <w:rPr>
          <w:noProof/>
        </w:rPr>
        <w:t xml:space="preserve"> la mobilisation du Fonds européen d’ajustement à la mondialisation à la suite d’une demande présentée par la Belgique – EGF/2017/010 BE/Caterpillar</w:t>
      </w:r>
    </w:p>
    <w:p w:rsidR="00B85EB9" w:rsidRDefault="000C1C88">
      <w:pPr>
        <w:pStyle w:val="Institutionquiagit"/>
        <w:rPr>
          <w:noProof/>
        </w:rPr>
      </w:pPr>
      <w:r>
        <w:rPr>
          <w:noProof/>
        </w:rPr>
        <w:t>LE PARLEMENT EUROPÉEN ET LE CONSEIL DE L’UNION EUROPÉENNE,</w:t>
      </w:r>
    </w:p>
    <w:p w:rsidR="00B85EB9" w:rsidRDefault="000C1C88">
      <w:pPr>
        <w:rPr>
          <w:noProof/>
        </w:rPr>
      </w:pPr>
      <w:r>
        <w:rPr>
          <w:noProof/>
        </w:rPr>
        <w:t>vu le traité sur le fonctionnement de l’Union eu</w:t>
      </w:r>
      <w:r>
        <w:rPr>
          <w:noProof/>
        </w:rPr>
        <w:t>ropéenne,</w:t>
      </w:r>
    </w:p>
    <w:p w:rsidR="00B85EB9" w:rsidRDefault="000C1C88">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1"/>
      </w:r>
      <w:r>
        <w:rPr>
          <w:noProof/>
        </w:rPr>
        <w:t>, et notamment son article </w:t>
      </w:r>
      <w:r>
        <w:rPr>
          <w:noProof/>
        </w:rPr>
        <w:t>15, paragraphe 4,</w:t>
      </w:r>
    </w:p>
    <w:p w:rsidR="00B85EB9" w:rsidRDefault="000C1C88">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2"/>
      </w:r>
      <w:r>
        <w:rPr>
          <w:noProof/>
        </w:rPr>
        <w:t>, et notamment son point 13,</w:t>
      </w:r>
    </w:p>
    <w:p w:rsidR="00B85EB9" w:rsidRDefault="000C1C88">
      <w:pPr>
        <w:rPr>
          <w:noProof/>
        </w:rPr>
      </w:pPr>
      <w:r>
        <w:rPr>
          <w:noProof/>
        </w:rPr>
        <w:t xml:space="preserve">vu </w:t>
      </w:r>
      <w:r>
        <w:rPr>
          <w:noProof/>
        </w:rPr>
        <w:t>la proposition de la Commission européenne,</w:t>
      </w:r>
    </w:p>
    <w:p w:rsidR="00B85EB9" w:rsidRDefault="000C1C88">
      <w:pPr>
        <w:rPr>
          <w:noProof/>
        </w:rPr>
      </w:pPr>
      <w:r>
        <w:rPr>
          <w:noProof/>
        </w:rPr>
        <w:t>considérant ce qui suit:</w:t>
      </w:r>
    </w:p>
    <w:p w:rsidR="00B85EB9" w:rsidRDefault="000C1C88">
      <w:pPr>
        <w:pStyle w:val="ManualConsidrant"/>
        <w:rPr>
          <w:noProof/>
        </w:rPr>
      </w:pPr>
      <w:r>
        <w:t>(1)</w:t>
      </w:r>
      <w:r>
        <w:tab/>
      </w:r>
      <w:r>
        <w:rPr>
          <w:noProof/>
        </w:rPr>
        <w:t>Le Fonds européen d’ajustement à la mondialisation (FEM) vise à apporter une aide aux salariés licenciés et aux travailleurs indépendants en cessation d’activité en raison de modifica</w:t>
      </w:r>
      <w:r>
        <w:rPr>
          <w:noProof/>
        </w:rPr>
        <w:t>tions majeures de la structure du commerce international résultant de la mondialisation, en raison de la persistance de la crise financière et économique mondiale, ou en raison d’une nouvelle crise financière et économique mondiale, et à favoriser leur réi</w:t>
      </w:r>
      <w:r>
        <w:rPr>
          <w:noProof/>
        </w:rPr>
        <w:t>nsertion sur le marché du travail.</w:t>
      </w:r>
    </w:p>
    <w:p w:rsidR="00B85EB9" w:rsidRDefault="000C1C88">
      <w:pPr>
        <w:pStyle w:val="ManualConsidrant"/>
        <w:rPr>
          <w:noProof/>
        </w:rPr>
      </w:pPr>
      <w:r>
        <w:t>(2)</w:t>
      </w:r>
      <w:r>
        <w:tab/>
      </w:r>
      <w:r>
        <w:rPr>
          <w:noProof/>
        </w:rPr>
        <w:t>La dotation annuelle du FEM n’excède pas 150 millions d’EUR (aux prix de 2011), comme le prévoit l’article 12 du règlement (UE, Euratom) nº 1311/2013 du Conseil</w:t>
      </w:r>
      <w:r>
        <w:rPr>
          <w:rStyle w:val="FootnoteReference"/>
          <w:noProof/>
        </w:rPr>
        <w:footnoteReference w:id="23"/>
      </w:r>
      <w:r>
        <w:rPr>
          <w:noProof/>
        </w:rPr>
        <w:t>.</w:t>
      </w:r>
    </w:p>
    <w:p w:rsidR="00B85EB9" w:rsidRDefault="000C1C88">
      <w:pPr>
        <w:pStyle w:val="ManualConsidrant"/>
        <w:rPr>
          <w:noProof/>
        </w:rPr>
      </w:pPr>
      <w:r>
        <w:t>(3)</w:t>
      </w:r>
      <w:r>
        <w:tab/>
      </w:r>
      <w:r>
        <w:rPr>
          <w:noProof/>
        </w:rPr>
        <w:t>Le 18 décembre 2017, la Belgique a présenté une de</w:t>
      </w:r>
      <w:r>
        <w:rPr>
          <w:noProof/>
        </w:rPr>
        <w:t>mande de mobilisation du FEM en ce qui concerne des licenciements survenus chez Caterpillar et cinq de ses fournisseurs ainsi que des cessations d’activités (ci-après les «licenciements»). Des informations complémentaires ont été fournies conformément à l’</w:t>
      </w:r>
      <w:r>
        <w:rPr>
          <w:noProof/>
        </w:rPr>
        <w:t>article 8, paragraphe 3, du règlement (UE) nº 1309/2013. Cette demande remplit les conditions relatives à la fixation du montant de la contribution financière du FEM conformément à l’article 13 dudit règlement.</w:t>
      </w:r>
    </w:p>
    <w:p w:rsidR="00B85EB9" w:rsidRDefault="000C1C88">
      <w:pPr>
        <w:pStyle w:val="ManualConsidrant"/>
        <w:rPr>
          <w:noProof/>
        </w:rPr>
      </w:pPr>
      <w:r>
        <w:t>(4)</w:t>
      </w:r>
      <w:r>
        <w:tab/>
      </w:r>
      <w:r>
        <w:rPr>
          <w:noProof/>
        </w:rPr>
        <w:t>En vertu de l’article 6, paragraphe 2, du</w:t>
      </w:r>
      <w:r>
        <w:rPr>
          <w:noProof/>
        </w:rPr>
        <w:t xml:space="preserve"> règlement (UE) nº 1309/2013, la Belgique a en outre décidé de fournir des services personnalisés cofinancés par le FEM à 300 jeunes ne travaillant pas, ne suivant pas d’études ou de formation (NEET).</w:t>
      </w:r>
    </w:p>
    <w:p w:rsidR="00B85EB9" w:rsidRDefault="000C1C88">
      <w:pPr>
        <w:pStyle w:val="ManualConsidrant"/>
        <w:rPr>
          <w:noProof/>
        </w:rPr>
      </w:pPr>
      <w:r>
        <w:t>(5)</w:t>
      </w:r>
      <w:r>
        <w:tab/>
      </w:r>
      <w:r>
        <w:rPr>
          <w:noProof/>
        </w:rPr>
        <w:t>Il convient par conséquent de mobiliser le FEM en v</w:t>
      </w:r>
      <w:r>
        <w:rPr>
          <w:noProof/>
        </w:rPr>
        <w:t>ue d’octroyer une contribution financière d’un montant de 4 621 616 EUR en réponse à la demande présentée par la Belgique.</w:t>
      </w:r>
    </w:p>
    <w:p w:rsidR="00B85EB9" w:rsidRDefault="000C1C88">
      <w:pPr>
        <w:pStyle w:val="ManualConsidrant"/>
        <w:rPr>
          <w:noProof/>
        </w:rPr>
      </w:pPr>
      <w:r>
        <w:t>(6)</w:t>
      </w:r>
      <w:r>
        <w:tab/>
      </w:r>
      <w:r>
        <w:rPr>
          <w:noProof/>
        </w:rPr>
        <w:t>Afin de limiter au maximum le délai de mobilisation du FEM, la présente décision devrait s’appliquer à partir de la date de son a</w:t>
      </w:r>
      <w:r>
        <w:rPr>
          <w:noProof/>
        </w:rPr>
        <w:t>doption,</w:t>
      </w:r>
    </w:p>
    <w:p w:rsidR="00B85EB9" w:rsidRDefault="000C1C88">
      <w:pPr>
        <w:pStyle w:val="Formuledadoption"/>
        <w:rPr>
          <w:noProof/>
        </w:rPr>
      </w:pPr>
      <w:r>
        <w:rPr>
          <w:noProof/>
        </w:rPr>
        <w:t>ONT ADOPTÉ LA PRÉSENTE DÉCISION:</w:t>
      </w:r>
    </w:p>
    <w:p w:rsidR="00B85EB9" w:rsidRDefault="000C1C88">
      <w:pPr>
        <w:pStyle w:val="Titrearticle"/>
        <w:rPr>
          <w:noProof/>
        </w:rPr>
      </w:pPr>
      <w:r>
        <w:rPr>
          <w:noProof/>
        </w:rPr>
        <w:t>Article premier</w:t>
      </w:r>
    </w:p>
    <w:p w:rsidR="00B85EB9" w:rsidRDefault="000C1C88">
      <w:pPr>
        <w:rPr>
          <w:noProof/>
        </w:rPr>
      </w:pPr>
      <w:r>
        <w:rPr>
          <w:noProof/>
        </w:rPr>
        <w:t>Dans le cadre du budget général de l’Union établi pour l’exercice 2018, un montant de 4 621 616 EUR en crédits d’engagement et de paiement est mobilisé au titre du Fonds européen d’ajustement à la m</w:t>
      </w:r>
      <w:r>
        <w:rPr>
          <w:noProof/>
        </w:rPr>
        <w:t>ondialisation.</w:t>
      </w:r>
    </w:p>
    <w:p w:rsidR="00B85EB9" w:rsidRDefault="000C1C88">
      <w:pPr>
        <w:pStyle w:val="Titrearticle"/>
        <w:rPr>
          <w:noProof/>
        </w:rPr>
      </w:pPr>
      <w:r>
        <w:rPr>
          <w:noProof/>
        </w:rPr>
        <w:t>Article 2</w:t>
      </w:r>
    </w:p>
    <w:p w:rsidR="00B85EB9" w:rsidRDefault="000C1C88">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date de son adoption</w:t>
      </w:r>
      <w:r>
        <w:rPr>
          <w:noProof/>
          <w:color w:val="FF0000"/>
        </w:rPr>
        <w:t>]</w:t>
      </w:r>
      <w:r>
        <w:rPr>
          <w:rStyle w:val="FootnoteReference"/>
          <w:noProof/>
          <w:color w:val="FF0000"/>
        </w:rPr>
        <w:sym w:font="Symbol" w:char="F02A"/>
      </w:r>
      <w:r>
        <w:rPr>
          <w:noProof/>
        </w:rPr>
        <w:t>.</w:t>
      </w:r>
    </w:p>
    <w:p w:rsidR="00B85EB9" w:rsidRDefault="000C1C88">
      <w:pPr>
        <w:pStyle w:val="Fait"/>
        <w:rPr>
          <w:noProof/>
        </w:rPr>
      </w:pPr>
      <w:r>
        <w:t>Fait à Bruxelles, le</w:t>
      </w:r>
    </w:p>
    <w:p w:rsidR="00B85EB9" w:rsidRDefault="000C1C88">
      <w:pPr>
        <w:pStyle w:val="Institutionquisigne"/>
        <w:rPr>
          <w:noProof/>
        </w:rPr>
      </w:pPr>
      <w:r>
        <w:rPr>
          <w:noProof/>
        </w:rPr>
        <w:t>Par le Parlement européen</w:t>
      </w:r>
      <w:r>
        <w:rPr>
          <w:noProof/>
        </w:rPr>
        <w:tab/>
        <w:t>Par le Conseil</w:t>
      </w:r>
    </w:p>
    <w:p w:rsidR="00B85EB9" w:rsidRDefault="000C1C88">
      <w:pPr>
        <w:pStyle w:val="Personnequisigne"/>
        <w:rPr>
          <w:noProof/>
        </w:rPr>
      </w:pPr>
      <w:r>
        <w:rPr>
          <w:noProof/>
        </w:rPr>
        <w:t>Le pr</w:t>
      </w:r>
      <w:r>
        <w:rPr>
          <w:noProof/>
        </w:rPr>
        <w:t>ésident</w:t>
      </w:r>
      <w:r>
        <w:rPr>
          <w:noProof/>
        </w:rPr>
        <w:tab/>
        <w:t>Le président</w:t>
      </w:r>
    </w:p>
    <w:sectPr w:rsidR="00B85EB9" w:rsidSect="000C1C88">
      <w:pgSz w:w="11907" w:h="16839"/>
      <w:pgMar w:top="1134" w:right="1417" w:bottom="1134" w:left="1417"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B9" w:rsidRDefault="000C1C88">
      <w:pPr>
        <w:spacing w:before="0" w:after="0"/>
      </w:pPr>
      <w:r>
        <w:separator/>
      </w:r>
    </w:p>
  </w:endnote>
  <w:endnote w:type="continuationSeparator" w:id="0">
    <w:p w:rsidR="00B85EB9" w:rsidRDefault="000C1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88" w:rsidRDefault="000C1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B9" w:rsidRDefault="000C1C88">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88" w:rsidRDefault="000C1C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B9" w:rsidRDefault="000C1C88">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B9" w:rsidRDefault="00B85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B9" w:rsidRDefault="000C1C88">
      <w:pPr>
        <w:spacing w:before="0" w:after="0"/>
      </w:pPr>
      <w:r>
        <w:separator/>
      </w:r>
    </w:p>
  </w:footnote>
  <w:footnote w:type="continuationSeparator" w:id="0">
    <w:p w:rsidR="00B85EB9" w:rsidRDefault="000C1C88">
      <w:pPr>
        <w:spacing w:before="0" w:after="0"/>
      </w:pPr>
      <w:r>
        <w:continuationSeparator/>
      </w:r>
    </w:p>
  </w:footnote>
  <w:footnote w:id="1">
    <w:p w:rsidR="00B85EB9" w:rsidRDefault="000C1C88">
      <w:pPr>
        <w:pStyle w:val="FootnoteText"/>
      </w:pPr>
      <w:r>
        <w:rPr>
          <w:rStyle w:val="FootnoteReference"/>
        </w:rPr>
        <w:footnoteRef/>
      </w:r>
      <w:r>
        <w:tab/>
        <w:t>JO L 347 du 20.12.2013, p. 855.</w:t>
      </w:r>
    </w:p>
  </w:footnote>
  <w:footnote w:id="2">
    <w:p w:rsidR="00B85EB9" w:rsidRDefault="000C1C88">
      <w:pPr>
        <w:pStyle w:val="FootnoteText"/>
      </w:pPr>
      <w:r>
        <w:rPr>
          <w:rStyle w:val="FootnoteReference"/>
        </w:rPr>
        <w:footnoteRef/>
      </w:r>
      <w:r>
        <w:tab/>
        <w:t>Au sens de l’article 3 du règlement FEM.</w:t>
      </w:r>
    </w:p>
  </w:footnote>
  <w:footnote w:id="3">
    <w:p w:rsidR="00B85EB9" w:rsidRDefault="000C1C88">
      <w:pPr>
        <w:pStyle w:val="FootnoteText"/>
      </w:pPr>
      <w:r>
        <w:rPr>
          <w:rStyle w:val="FootnoteReference"/>
        </w:rPr>
        <w:footnoteRef/>
      </w:r>
      <w:r>
        <w:tab/>
        <w:t xml:space="preserve">Règlement (UE) nº 1046/2012 de la Commission du 8 novembre 2012 portant application du règlement (CE) nº 1059/2003 du Parlement européen et du Conseil </w:t>
      </w:r>
      <w:r>
        <w:t>relatif à l’établissement d’une nomenclature commune des unités territoriales statistiques (NUTS), concernant les séries chronologiques à transmettre pour le nouveau découpage régional (JO L 310 du 9.11.2012, p. 34).</w:t>
      </w:r>
    </w:p>
  </w:footnote>
  <w:footnote w:id="4">
    <w:p w:rsidR="00B85EB9" w:rsidRDefault="000C1C88">
      <w:pPr>
        <w:pStyle w:val="FootnoteText"/>
      </w:pPr>
      <w:r>
        <w:rPr>
          <w:rStyle w:val="FootnoteReference"/>
        </w:rPr>
        <w:footnoteRef/>
      </w:r>
      <w:r>
        <w:tab/>
        <w:t>JO L 393 du 30.12.2006, p. 1.</w:t>
      </w:r>
    </w:p>
  </w:footnote>
  <w:footnote w:id="5">
    <w:p w:rsidR="00B85EB9" w:rsidRDefault="000C1C88">
      <w:pPr>
        <w:pStyle w:val="FootnoteText"/>
      </w:pPr>
      <w:r>
        <w:rPr>
          <w:rStyle w:val="FootnoteReference"/>
        </w:rPr>
        <w:footnoteRef/>
      </w:r>
      <w:r>
        <w:tab/>
      </w:r>
      <w:r>
        <w:t>Quatre fournisseurs ont licencié des travailleurs au cours de la période de référence et un en a licencié en dehors de cette période.</w:t>
      </w:r>
    </w:p>
  </w:footnote>
  <w:footnote w:id="6">
    <w:p w:rsidR="00B85EB9" w:rsidRDefault="000C1C88">
      <w:pPr>
        <w:pStyle w:val="FootnoteText"/>
      </w:pPr>
      <w:r>
        <w:rPr>
          <w:rStyle w:val="FootnoteReference"/>
        </w:rPr>
        <w:footnoteRef/>
      </w:r>
      <w:r>
        <w:tab/>
        <w:t>Conformément à l’article 7, paragraphe 4, du règlement (UE) nº 1309/2013.</w:t>
      </w:r>
    </w:p>
  </w:footnote>
  <w:footnote w:id="7">
    <w:p w:rsidR="00B85EB9" w:rsidRDefault="000C1C88">
      <w:pPr>
        <w:pStyle w:val="FootnoteText"/>
      </w:pPr>
      <w:r>
        <w:rPr>
          <w:rStyle w:val="FootnoteReference"/>
        </w:rPr>
        <w:footnoteRef/>
      </w:r>
      <w:r>
        <w:tab/>
        <w:t>De 26 % en 2003 à 13 % en 2013 (Caterpillar,</w:t>
      </w:r>
      <w:r>
        <w:t xml:space="preserve"> communication au conseil d’administration, 28 février 2013).</w:t>
      </w:r>
    </w:p>
  </w:footnote>
  <w:footnote w:id="8">
    <w:p w:rsidR="00B85EB9" w:rsidRDefault="000C1C88">
      <w:pPr>
        <w:pStyle w:val="FootnoteText"/>
      </w:pPr>
      <w:r>
        <w:rPr>
          <w:rStyle w:val="FootnoteReference"/>
        </w:rPr>
        <w:footnoteRef/>
      </w:r>
      <w:r>
        <w:tab/>
        <w:t>Eurostat, statistiques annuelles détaillées sur l’industrie (NACE Rév. 2, sections B-E).</w:t>
      </w:r>
    </w:p>
  </w:footnote>
  <w:footnote w:id="9">
    <w:p w:rsidR="00B85EB9" w:rsidRDefault="000C1C88">
      <w:pPr>
        <w:spacing w:before="0" w:after="0"/>
        <w:rPr>
          <w:sz w:val="20"/>
          <w:szCs w:val="20"/>
        </w:rPr>
      </w:pPr>
      <w:r>
        <w:rPr>
          <w:rStyle w:val="FootnoteReference"/>
        </w:rPr>
        <w:footnoteRef/>
      </w:r>
      <w:r>
        <w:tab/>
      </w:r>
      <w:r>
        <w:rPr>
          <w:sz w:val="20"/>
        </w:rPr>
        <w:t>De 3,1 milliards d’EUR en 2014 à 8 millions d’EUR en 2016 (Eurostat).</w:t>
      </w:r>
    </w:p>
    <w:p w:rsidR="00B85EB9" w:rsidRDefault="000C1C88">
      <w:pPr>
        <w:spacing w:before="0" w:after="0"/>
        <w:ind w:left="720"/>
        <w:jc w:val="left"/>
        <w:rPr>
          <w:sz w:val="20"/>
          <w:szCs w:val="20"/>
        </w:rPr>
      </w:pPr>
      <w:r>
        <w:rPr>
          <w:sz w:val="20"/>
        </w:rPr>
        <w:t>Eurostat: code DS016890</w:t>
      </w:r>
    </w:p>
  </w:footnote>
  <w:footnote w:id="10">
    <w:p w:rsidR="00B85EB9" w:rsidRDefault="000C1C88">
      <w:pPr>
        <w:pStyle w:val="FootnoteText"/>
      </w:pPr>
      <w:r>
        <w:rPr>
          <w:rStyle w:val="FootnoteReference"/>
        </w:rPr>
        <w:footnoteRef/>
      </w:r>
      <w:r>
        <w:tab/>
        <w:t>De 25</w:t>
      </w:r>
      <w:r>
        <w:t> % en 2003 à 48 % en 2013.</w:t>
      </w:r>
    </w:p>
  </w:footnote>
  <w:footnote w:id="11">
    <w:p w:rsidR="00B85EB9" w:rsidRDefault="000C1C88">
      <w:pPr>
        <w:pStyle w:val="FootnoteText"/>
      </w:pPr>
      <w:r>
        <w:rPr>
          <w:rStyle w:val="FootnoteReference"/>
        </w:rPr>
        <w:footnoteRef/>
      </w:r>
      <w:r>
        <w:tab/>
      </w:r>
      <w:hyperlink r:id="rId1">
        <w:r>
          <w:t>http://steelbenchmarker.com/files/history.pdf</w:t>
        </w:r>
      </w:hyperlink>
    </w:p>
  </w:footnote>
  <w:footnote w:id="12">
    <w:p w:rsidR="00B85EB9" w:rsidRDefault="000C1C88">
      <w:pPr>
        <w:pStyle w:val="FootnoteText"/>
      </w:pPr>
      <w:r>
        <w:rPr>
          <w:rStyle w:val="FootnoteReference"/>
        </w:rPr>
        <w:footnoteRef/>
      </w:r>
      <w:r>
        <w:tab/>
        <w:t>Caterpillar, communication au conseil d’administration, 28 février 2013.</w:t>
      </w:r>
    </w:p>
  </w:footnote>
  <w:footnote w:id="13">
    <w:p w:rsidR="00B85EB9" w:rsidRDefault="000C1C88">
      <w:pPr>
        <w:pStyle w:val="FootnoteText"/>
      </w:pPr>
      <w:r>
        <w:rPr>
          <w:rStyle w:val="FootnoteReference"/>
        </w:rPr>
        <w:footnoteRef/>
      </w:r>
      <w:r>
        <w:tab/>
        <w:t>Calcul fondé sur le nombre de demandeur</w:t>
      </w:r>
      <w:r>
        <w:t>s d’emploi en décembre 2016.</w:t>
      </w:r>
    </w:p>
  </w:footnote>
  <w:footnote w:id="14">
    <w:p w:rsidR="00B85EB9" w:rsidRDefault="000C1C88">
      <w:pPr>
        <w:pStyle w:val="FootnoteText"/>
      </w:pPr>
      <w:r>
        <w:rPr>
          <w:rStyle w:val="FootnoteReference"/>
        </w:rPr>
        <w:footnoteRef/>
      </w:r>
      <w:r>
        <w:tab/>
      </w:r>
      <w:hyperlink r:id="rId2">
        <w:r>
          <w:t>https://www.leforem.be/MungoBlobs/44/644/20180212_Chiffres_SeriesStatistiquesMde201801.pdf</w:t>
        </w:r>
      </w:hyperlink>
    </w:p>
  </w:footnote>
  <w:footnote w:id="15">
    <w:p w:rsidR="00B85EB9" w:rsidRDefault="000C1C88">
      <w:pPr>
        <w:pStyle w:val="Footno"/>
        <w:rPr>
          <w:sz w:val="20"/>
          <w:szCs w:val="20"/>
        </w:rPr>
      </w:pPr>
      <w:r>
        <w:rPr>
          <w:rStyle w:val="FootnoteReference"/>
        </w:rPr>
        <w:footnoteRef/>
      </w:r>
      <w:r>
        <w:tab/>
      </w:r>
      <w:hyperlink r:id="rId3">
        <w:r>
          <w:rPr>
            <w:sz w:val="20"/>
            <w:szCs w:val="20"/>
          </w:rPr>
          <w:t>http://eur-lex.europa.eu/resource.html?uri=cellar:a59b6beb-7a4f-11e6-b076-01aa75ed71a1.0002.02/DOC_1&amp;format=PDF</w:t>
        </w:r>
      </w:hyperlink>
    </w:p>
  </w:footnote>
  <w:footnote w:id="16">
    <w:p w:rsidR="00B85EB9" w:rsidRDefault="000C1C88">
      <w:pPr>
        <w:pStyle w:val="FootnoteText"/>
        <w:rPr>
          <w:lang w:val="fr-BE"/>
        </w:rPr>
      </w:pPr>
      <w:r>
        <w:rPr>
          <w:rStyle w:val="FootnoteReference"/>
        </w:rPr>
        <w:footnoteRef/>
      </w:r>
      <w:r>
        <w:tab/>
        <w:t>Plan CATCH - Accélérer la croissa</w:t>
      </w:r>
      <w:r>
        <w:t>nce de l’emploi dans la région de Charleroi, septembre 2017</w:t>
      </w:r>
    </w:p>
    <w:p w:rsidR="00B85EB9" w:rsidRDefault="000C1C88">
      <w:pPr>
        <w:pStyle w:val="FootnoteText"/>
        <w:ind w:left="0" w:firstLine="0"/>
        <w:rPr>
          <w:lang w:val="fr-BE"/>
        </w:rPr>
      </w:pPr>
      <w:r>
        <w:tab/>
      </w:r>
      <w:hyperlink r:id="rId4">
        <w:r>
          <w:rPr>
            <w:rStyle w:val="Hyperlink"/>
          </w:rPr>
          <w:t>http://www.catch-charleroi.be/</w:t>
        </w:r>
      </w:hyperlink>
    </w:p>
  </w:footnote>
  <w:footnote w:id="17">
    <w:p w:rsidR="00B85EB9" w:rsidRDefault="000C1C88">
      <w:pPr>
        <w:pStyle w:val="FootnoteText"/>
      </w:pPr>
      <w:r>
        <w:rPr>
          <w:rStyle w:val="FootnoteReference"/>
        </w:rPr>
        <w:footnoteRef/>
      </w:r>
      <w:r>
        <w:tab/>
        <w:t>Le total diffère de la somme des rubriques en raison de l’arrondi.</w:t>
      </w:r>
    </w:p>
  </w:footnote>
  <w:footnote w:id="18">
    <w:p w:rsidR="00B85EB9" w:rsidRDefault="000C1C88">
      <w:pPr>
        <w:pStyle w:val="FootnoteText"/>
      </w:pPr>
      <w:r>
        <w:rPr>
          <w:rStyle w:val="FootnoteReference"/>
        </w:rPr>
        <w:footnoteRef/>
      </w:r>
      <w:r>
        <w:tab/>
        <w:t>La Sogepa est un fonds d’investissement qui</w:t>
      </w:r>
      <w:r>
        <w:t xml:space="preserve"> intervient financièrement et accompagne les initiatives de redéploiement d’entreprises portées par un projet économique et industriel crédible et durable.</w:t>
      </w:r>
    </w:p>
  </w:footnote>
  <w:footnote w:id="19">
    <w:p w:rsidR="00B85EB9" w:rsidRDefault="000C1C88">
      <w:pPr>
        <w:pStyle w:val="FootnoteText"/>
      </w:pPr>
      <w:r>
        <w:rPr>
          <w:rStyle w:val="FootnoteReference"/>
        </w:rPr>
        <w:footnoteRef/>
      </w:r>
      <w:r>
        <w:tab/>
        <w:t>JO L 347 du 20.12.2013, p. 884.</w:t>
      </w:r>
    </w:p>
  </w:footnote>
  <w:footnote w:id="20">
    <w:p w:rsidR="00B85EB9" w:rsidRDefault="000C1C88">
      <w:pPr>
        <w:pStyle w:val="FootnoteText"/>
      </w:pPr>
      <w:r>
        <w:rPr>
          <w:rStyle w:val="FootnoteReference"/>
        </w:rPr>
        <w:footnoteRef/>
      </w:r>
      <w:r>
        <w:tab/>
        <w:t>JO C 373 du 20.12.2013, p. 1.</w:t>
      </w:r>
    </w:p>
  </w:footnote>
  <w:footnote w:id="21">
    <w:p w:rsidR="00B85EB9" w:rsidRDefault="000C1C88">
      <w:pPr>
        <w:pStyle w:val="FootnoteText"/>
      </w:pPr>
      <w:r>
        <w:rPr>
          <w:rStyle w:val="FootnoteReference"/>
        </w:rPr>
        <w:footnoteRef/>
      </w:r>
      <w:r>
        <w:tab/>
        <w:t>JO L 347 du 20.12.2013, p. 855.</w:t>
      </w:r>
    </w:p>
  </w:footnote>
  <w:footnote w:id="22">
    <w:p w:rsidR="00B85EB9" w:rsidRDefault="000C1C88">
      <w:pPr>
        <w:pStyle w:val="FootnoteText"/>
      </w:pPr>
      <w:r>
        <w:rPr>
          <w:rStyle w:val="FootnoteReference"/>
        </w:rPr>
        <w:footnoteRef/>
      </w:r>
      <w:r>
        <w:tab/>
        <w:t>JO C 373 du 20.12.2013, p. 1.</w:t>
      </w:r>
    </w:p>
  </w:footnote>
  <w:footnote w:id="23">
    <w:p w:rsidR="00B85EB9" w:rsidRDefault="000C1C88">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88" w:rsidRDefault="000C1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88" w:rsidRDefault="000C1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88" w:rsidRDefault="000C1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1:19:1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2"/>
    <w:docVar w:name="DQCResult_StructureCheck" w:val="0;0"/>
    <w:docVar w:name="DQCResult_SuperfluousWhitespace" w:val="0;10"/>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49D9DF04-41C6-4944-A24D-42CAEC04AA9B"/>
    <w:docVar w:name="LW_COVERPAGE_TYPE" w:val="1"/>
    <w:docVar w:name="LW_CROSSREFERENCE" w:val="&lt;UNUSED&gt;"/>
    <w:docVar w:name="LW_DocType" w:val="COM"/>
    <w:docVar w:name="LW_EMISSION" w:val="23.3.2018"/>
    <w:docVar w:name="LW_EMISSION_ISODATE" w:val="2018-03-23"/>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mobilisation du Fonds européen d\u8217?ajustement à la mondialisation à la suite d\u8217?une demande présentée par la Belgique \u8211? EGF/2017/010 BE/Caterpillar"/>
    <w:docVar w:name="LW_TYPE.DOC.CP" w:val="DÉCISION DU PARLEMENT EUROPÉEN ET DU CONSEIL"/>
  </w:docVars>
  <w:rsids>
    <w:rsidRoot w:val="00B85EB9"/>
    <w:rsid w:val="000C1C88"/>
    <w:rsid w:val="00B8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shorttext">
    <w:name w:val="short_tex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
    <w:name w:val="Footno"/>
    <w:basedOn w:val="Normal"/>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shorttext">
    <w:name w:val="short_tex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
    <w:name w:val="Footno"/>
    <w:basedOn w:val="Normal"/>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9584">
      <w:bodyDiv w:val="1"/>
      <w:marLeft w:val="0"/>
      <w:marRight w:val="0"/>
      <w:marTop w:val="0"/>
      <w:marBottom w:val="0"/>
      <w:divBdr>
        <w:top w:val="none" w:sz="0" w:space="0" w:color="auto"/>
        <w:left w:val="none" w:sz="0" w:space="0" w:color="auto"/>
        <w:bottom w:val="none" w:sz="0" w:space="0" w:color="auto"/>
        <w:right w:val="none" w:sz="0" w:space="0" w:color="auto"/>
      </w:divBdr>
    </w:div>
    <w:div w:id="1209099711">
      <w:bodyDiv w:val="1"/>
      <w:marLeft w:val="0"/>
      <w:marRight w:val="0"/>
      <w:marTop w:val="0"/>
      <w:marBottom w:val="0"/>
      <w:divBdr>
        <w:top w:val="none" w:sz="0" w:space="0" w:color="auto"/>
        <w:left w:val="none" w:sz="0" w:space="0" w:color="auto"/>
        <w:bottom w:val="none" w:sz="0" w:space="0" w:color="auto"/>
        <w:right w:val="none" w:sz="0" w:space="0" w:color="auto"/>
      </w:divBdr>
    </w:div>
    <w:div w:id="1264723693">
      <w:bodyDiv w:val="1"/>
      <w:marLeft w:val="0"/>
      <w:marRight w:val="0"/>
      <w:marTop w:val="0"/>
      <w:marBottom w:val="0"/>
      <w:divBdr>
        <w:top w:val="none" w:sz="0" w:space="0" w:color="auto"/>
        <w:left w:val="none" w:sz="0" w:space="0" w:color="auto"/>
        <w:bottom w:val="none" w:sz="0" w:space="0" w:color="auto"/>
        <w:right w:val="none" w:sz="0" w:space="0" w:color="auto"/>
      </w:divBdr>
    </w:div>
    <w:div w:id="1849832883">
      <w:bodyDiv w:val="1"/>
      <w:marLeft w:val="0"/>
      <w:marRight w:val="0"/>
      <w:marTop w:val="0"/>
      <w:marBottom w:val="0"/>
      <w:divBdr>
        <w:top w:val="none" w:sz="0" w:space="0" w:color="auto"/>
        <w:left w:val="none" w:sz="0" w:space="0" w:color="auto"/>
        <w:bottom w:val="none" w:sz="0" w:space="0" w:color="auto"/>
        <w:right w:val="none" w:sz="0" w:space="0" w:color="auto"/>
      </w:divBdr>
      <w:divsChild>
        <w:div w:id="311518765">
          <w:marLeft w:val="0"/>
          <w:marRight w:val="0"/>
          <w:marTop w:val="0"/>
          <w:marBottom w:val="0"/>
          <w:divBdr>
            <w:top w:val="none" w:sz="0" w:space="0" w:color="auto"/>
            <w:left w:val="none" w:sz="0" w:space="0" w:color="auto"/>
            <w:bottom w:val="none" w:sz="0" w:space="0" w:color="auto"/>
            <w:right w:val="none" w:sz="0" w:space="0" w:color="auto"/>
          </w:divBdr>
          <w:divsChild>
            <w:div w:id="1717585935">
              <w:marLeft w:val="0"/>
              <w:marRight w:val="0"/>
              <w:marTop w:val="0"/>
              <w:marBottom w:val="0"/>
              <w:divBdr>
                <w:top w:val="none" w:sz="0" w:space="0" w:color="auto"/>
                <w:left w:val="none" w:sz="0" w:space="0" w:color="auto"/>
                <w:bottom w:val="none" w:sz="0" w:space="0" w:color="auto"/>
                <w:right w:val="none" w:sz="0" w:space="0" w:color="auto"/>
              </w:divBdr>
              <w:divsChild>
                <w:div w:id="967320564">
                  <w:marLeft w:val="0"/>
                  <w:marRight w:val="0"/>
                  <w:marTop w:val="0"/>
                  <w:marBottom w:val="0"/>
                  <w:divBdr>
                    <w:top w:val="none" w:sz="0" w:space="0" w:color="auto"/>
                    <w:left w:val="none" w:sz="0" w:space="0" w:color="auto"/>
                    <w:bottom w:val="none" w:sz="0" w:space="0" w:color="auto"/>
                    <w:right w:val="none" w:sz="0" w:space="0" w:color="auto"/>
                  </w:divBdr>
                  <w:divsChild>
                    <w:div w:id="937982752">
                      <w:marLeft w:val="0"/>
                      <w:marRight w:val="0"/>
                      <w:marTop w:val="0"/>
                      <w:marBottom w:val="0"/>
                      <w:divBdr>
                        <w:top w:val="none" w:sz="0" w:space="0" w:color="auto"/>
                        <w:left w:val="none" w:sz="0" w:space="0" w:color="auto"/>
                        <w:bottom w:val="none" w:sz="0" w:space="0" w:color="auto"/>
                        <w:right w:val="none" w:sz="0" w:space="0" w:color="auto"/>
                      </w:divBdr>
                      <w:divsChild>
                        <w:div w:id="829950915">
                          <w:marLeft w:val="0"/>
                          <w:marRight w:val="0"/>
                          <w:marTop w:val="0"/>
                          <w:marBottom w:val="0"/>
                          <w:divBdr>
                            <w:top w:val="none" w:sz="0" w:space="0" w:color="auto"/>
                            <w:left w:val="none" w:sz="0" w:space="0" w:color="auto"/>
                            <w:bottom w:val="none" w:sz="0" w:space="0" w:color="auto"/>
                            <w:right w:val="none" w:sz="0" w:space="0" w:color="auto"/>
                          </w:divBdr>
                          <w:divsChild>
                            <w:div w:id="781920794">
                              <w:marLeft w:val="0"/>
                              <w:marRight w:val="0"/>
                              <w:marTop w:val="0"/>
                              <w:marBottom w:val="0"/>
                              <w:divBdr>
                                <w:top w:val="none" w:sz="0" w:space="0" w:color="auto"/>
                                <w:left w:val="none" w:sz="0" w:space="0" w:color="auto"/>
                                <w:bottom w:val="none" w:sz="0" w:space="0" w:color="auto"/>
                                <w:right w:val="none" w:sz="0" w:space="0" w:color="auto"/>
                              </w:divBdr>
                              <w:divsChild>
                                <w:div w:id="86658461">
                                  <w:marLeft w:val="0"/>
                                  <w:marRight w:val="0"/>
                                  <w:marTop w:val="0"/>
                                  <w:marBottom w:val="0"/>
                                  <w:divBdr>
                                    <w:top w:val="none" w:sz="0" w:space="0" w:color="auto"/>
                                    <w:left w:val="none" w:sz="0" w:space="0" w:color="auto"/>
                                    <w:bottom w:val="none" w:sz="0" w:space="0" w:color="auto"/>
                                    <w:right w:val="none" w:sz="0" w:space="0" w:color="auto"/>
                                  </w:divBdr>
                                  <w:divsChild>
                                    <w:div w:id="1640528271">
                                      <w:marLeft w:val="0"/>
                                      <w:marRight w:val="0"/>
                                      <w:marTop w:val="0"/>
                                      <w:marBottom w:val="0"/>
                                      <w:divBdr>
                                        <w:top w:val="none" w:sz="0" w:space="0" w:color="auto"/>
                                        <w:left w:val="none" w:sz="0" w:space="0" w:color="auto"/>
                                        <w:bottom w:val="none" w:sz="0" w:space="0" w:color="auto"/>
                                        <w:right w:val="none" w:sz="0" w:space="0" w:color="auto"/>
                                      </w:divBdr>
                                      <w:divsChild>
                                        <w:div w:id="6369419">
                                          <w:marLeft w:val="0"/>
                                          <w:marRight w:val="0"/>
                                          <w:marTop w:val="0"/>
                                          <w:marBottom w:val="0"/>
                                          <w:divBdr>
                                            <w:top w:val="none" w:sz="0" w:space="0" w:color="auto"/>
                                            <w:left w:val="none" w:sz="0" w:space="0" w:color="auto"/>
                                            <w:bottom w:val="none" w:sz="0" w:space="0" w:color="auto"/>
                                            <w:right w:val="none" w:sz="0" w:space="0" w:color="auto"/>
                                          </w:divBdr>
                                          <w:divsChild>
                                            <w:div w:id="1105684964">
                                              <w:marLeft w:val="0"/>
                                              <w:marRight w:val="0"/>
                                              <w:marTop w:val="0"/>
                                              <w:marBottom w:val="0"/>
                                              <w:divBdr>
                                                <w:top w:val="none" w:sz="0" w:space="0" w:color="auto"/>
                                                <w:left w:val="none" w:sz="0" w:space="0" w:color="auto"/>
                                                <w:bottom w:val="none" w:sz="0" w:space="0" w:color="auto"/>
                                                <w:right w:val="none" w:sz="0" w:space="0" w:color="auto"/>
                                              </w:divBdr>
                                              <w:divsChild>
                                                <w:div w:id="1239903058">
                                                  <w:marLeft w:val="0"/>
                                                  <w:marRight w:val="0"/>
                                                  <w:marTop w:val="0"/>
                                                  <w:marBottom w:val="0"/>
                                                  <w:divBdr>
                                                    <w:top w:val="none" w:sz="0" w:space="0" w:color="auto"/>
                                                    <w:left w:val="none" w:sz="0" w:space="0" w:color="auto"/>
                                                    <w:bottom w:val="none" w:sz="0" w:space="0" w:color="auto"/>
                                                    <w:right w:val="none" w:sz="0" w:space="0" w:color="auto"/>
                                                  </w:divBdr>
                                                  <w:divsChild>
                                                    <w:div w:id="1855459194">
                                                      <w:marLeft w:val="0"/>
                                                      <w:marRight w:val="0"/>
                                                      <w:marTop w:val="0"/>
                                                      <w:marBottom w:val="0"/>
                                                      <w:divBdr>
                                                        <w:top w:val="none" w:sz="0" w:space="0" w:color="auto"/>
                                                        <w:left w:val="none" w:sz="0" w:space="0" w:color="auto"/>
                                                        <w:bottom w:val="none" w:sz="0" w:space="0" w:color="auto"/>
                                                        <w:right w:val="none" w:sz="0" w:space="0" w:color="auto"/>
                                                      </w:divBdr>
                                                      <w:divsChild>
                                                        <w:div w:id="1529099734">
                                                          <w:marLeft w:val="0"/>
                                                          <w:marRight w:val="0"/>
                                                          <w:marTop w:val="0"/>
                                                          <w:marBottom w:val="0"/>
                                                          <w:divBdr>
                                                            <w:top w:val="none" w:sz="0" w:space="0" w:color="auto"/>
                                                            <w:left w:val="single" w:sz="6" w:space="0" w:color="DCDCDC"/>
                                                            <w:bottom w:val="none" w:sz="0" w:space="0" w:color="auto"/>
                                                            <w:right w:val="single" w:sz="6" w:space="0" w:color="DCDCDC"/>
                                                          </w:divBdr>
                                                          <w:divsChild>
                                                            <w:div w:id="215627061">
                                                              <w:marLeft w:val="0"/>
                                                              <w:marRight w:val="0"/>
                                                              <w:marTop w:val="0"/>
                                                              <w:marBottom w:val="0"/>
                                                              <w:divBdr>
                                                                <w:top w:val="none" w:sz="0" w:space="0" w:color="auto"/>
                                                                <w:left w:val="none" w:sz="0" w:space="0" w:color="auto"/>
                                                                <w:bottom w:val="none" w:sz="0" w:space="0" w:color="auto"/>
                                                                <w:right w:val="none" w:sz="0" w:space="0" w:color="auto"/>
                                                              </w:divBdr>
                                                              <w:divsChild>
                                                                <w:div w:id="610824310">
                                                                  <w:marLeft w:val="0"/>
                                                                  <w:marRight w:val="0"/>
                                                                  <w:marTop w:val="0"/>
                                                                  <w:marBottom w:val="0"/>
                                                                  <w:divBdr>
                                                                    <w:top w:val="none" w:sz="0" w:space="0" w:color="auto"/>
                                                                    <w:left w:val="none" w:sz="0" w:space="0" w:color="auto"/>
                                                                    <w:bottom w:val="none" w:sz="0" w:space="0" w:color="auto"/>
                                                                    <w:right w:val="none" w:sz="0" w:space="0" w:color="auto"/>
                                                                  </w:divBdr>
                                                                  <w:divsChild>
                                                                    <w:div w:id="2115247737">
                                                                      <w:marLeft w:val="0"/>
                                                                      <w:marRight w:val="0"/>
                                                                      <w:marTop w:val="0"/>
                                                                      <w:marBottom w:val="0"/>
                                                                      <w:divBdr>
                                                                        <w:top w:val="none" w:sz="0" w:space="0" w:color="auto"/>
                                                                        <w:left w:val="none" w:sz="0" w:space="0" w:color="auto"/>
                                                                        <w:bottom w:val="none" w:sz="0" w:space="0" w:color="auto"/>
                                                                        <w:right w:val="none" w:sz="0" w:space="0" w:color="auto"/>
                                                                      </w:divBdr>
                                                                      <w:divsChild>
                                                                        <w:div w:id="75441928">
                                                                          <w:marLeft w:val="0"/>
                                                                          <w:marRight w:val="0"/>
                                                                          <w:marTop w:val="0"/>
                                                                          <w:marBottom w:val="0"/>
                                                                          <w:divBdr>
                                                                            <w:top w:val="none" w:sz="0" w:space="0" w:color="auto"/>
                                                                            <w:left w:val="none" w:sz="0" w:space="0" w:color="auto"/>
                                                                            <w:bottom w:val="none" w:sz="0" w:space="0" w:color="auto"/>
                                                                            <w:right w:val="none" w:sz="0" w:space="0" w:color="auto"/>
                                                                          </w:divBdr>
                                                                          <w:divsChild>
                                                                            <w:div w:id="1924409470">
                                                                              <w:marLeft w:val="0"/>
                                                                              <w:marRight w:val="0"/>
                                                                              <w:marTop w:val="0"/>
                                                                              <w:marBottom w:val="0"/>
                                                                              <w:divBdr>
                                                                                <w:top w:val="none" w:sz="0" w:space="0" w:color="auto"/>
                                                                                <w:left w:val="none" w:sz="0" w:space="0" w:color="auto"/>
                                                                                <w:bottom w:val="none" w:sz="0" w:space="0" w:color="auto"/>
                                                                                <w:right w:val="none" w:sz="0" w:space="0" w:color="auto"/>
                                                                              </w:divBdr>
                                                                              <w:divsChild>
                                                                                <w:div w:id="2145346290">
                                                                                  <w:marLeft w:val="0"/>
                                                                                  <w:marRight w:val="0"/>
                                                                                  <w:marTop w:val="0"/>
                                                                                  <w:marBottom w:val="0"/>
                                                                                  <w:divBdr>
                                                                                    <w:top w:val="none" w:sz="0" w:space="0" w:color="auto"/>
                                                                                    <w:left w:val="none" w:sz="0" w:space="0" w:color="auto"/>
                                                                                    <w:bottom w:val="none" w:sz="0" w:space="0" w:color="auto"/>
                                                                                    <w:right w:val="none" w:sz="0" w:space="0" w:color="auto"/>
                                                                                  </w:divBdr>
                                                                                  <w:divsChild>
                                                                                    <w:div w:id="367025525">
                                                                                      <w:marLeft w:val="0"/>
                                                                                      <w:marRight w:val="0"/>
                                                                                      <w:marTop w:val="0"/>
                                                                                      <w:marBottom w:val="0"/>
                                                                                      <w:divBdr>
                                                                                        <w:top w:val="none" w:sz="0" w:space="0" w:color="auto"/>
                                                                                        <w:left w:val="none" w:sz="0" w:space="0" w:color="auto"/>
                                                                                        <w:bottom w:val="none" w:sz="0" w:space="0" w:color="auto"/>
                                                                                        <w:right w:val="none" w:sz="0" w:space="0" w:color="auto"/>
                                                                                      </w:divBdr>
                                                                                      <w:divsChild>
                                                                                        <w:div w:id="1473057143">
                                                                                          <w:marLeft w:val="0"/>
                                                                                          <w:marRight w:val="0"/>
                                                                                          <w:marTop w:val="0"/>
                                                                                          <w:marBottom w:val="0"/>
                                                                                          <w:divBdr>
                                                                                            <w:top w:val="none" w:sz="0" w:space="0" w:color="auto"/>
                                                                                            <w:left w:val="none" w:sz="0" w:space="0" w:color="auto"/>
                                                                                            <w:bottom w:val="none" w:sz="0" w:space="0" w:color="auto"/>
                                                                                            <w:right w:val="none" w:sz="0" w:space="0" w:color="auto"/>
                                                                                          </w:divBdr>
                                                                                          <w:divsChild>
                                                                                            <w:div w:id="823158433">
                                                                                              <w:marLeft w:val="0"/>
                                                                                              <w:marRight w:val="0"/>
                                                                                              <w:marTop w:val="0"/>
                                                                                              <w:marBottom w:val="0"/>
                                                                                              <w:divBdr>
                                                                                                <w:top w:val="none" w:sz="0" w:space="0" w:color="auto"/>
                                                                                                <w:left w:val="none" w:sz="0" w:space="0" w:color="auto"/>
                                                                                                <w:bottom w:val="none" w:sz="0" w:space="0" w:color="auto"/>
                                                                                                <w:right w:val="none" w:sz="0" w:space="0" w:color="auto"/>
                                                                                              </w:divBdr>
                                                                                              <w:divsChild>
                                                                                                <w:div w:id="488865699">
                                                                                                  <w:marLeft w:val="0"/>
                                                                                                  <w:marRight w:val="0"/>
                                                                                                  <w:marTop w:val="0"/>
                                                                                                  <w:marBottom w:val="0"/>
                                                                                                  <w:divBdr>
                                                                                                    <w:top w:val="none" w:sz="0" w:space="0" w:color="auto"/>
                                                                                                    <w:left w:val="none" w:sz="0" w:space="0" w:color="auto"/>
                                                                                                    <w:bottom w:val="none" w:sz="0" w:space="0" w:color="auto"/>
                                                                                                    <w:right w:val="none" w:sz="0" w:space="0" w:color="auto"/>
                                                                                                  </w:divBdr>
                                                                                                  <w:divsChild>
                                                                                                    <w:div w:id="1828130117">
                                                                                                      <w:marLeft w:val="0"/>
                                                                                                      <w:marRight w:val="0"/>
                                                                                                      <w:marTop w:val="0"/>
                                                                                                      <w:marBottom w:val="0"/>
                                                                                                      <w:divBdr>
                                                                                                        <w:top w:val="none" w:sz="0" w:space="0" w:color="auto"/>
                                                                                                        <w:left w:val="none" w:sz="0" w:space="0" w:color="auto"/>
                                                                                                        <w:bottom w:val="none" w:sz="0" w:space="0" w:color="auto"/>
                                                                                                        <w:right w:val="none" w:sz="0" w:space="0" w:color="auto"/>
                                                                                                      </w:divBdr>
                                                                                                      <w:divsChild>
                                                                                                        <w:div w:id="1385786632">
                                                                                                          <w:marLeft w:val="0"/>
                                                                                                          <w:marRight w:val="0"/>
                                                                                                          <w:marTop w:val="0"/>
                                                                                                          <w:marBottom w:val="0"/>
                                                                                                          <w:divBdr>
                                                                                                            <w:top w:val="none" w:sz="0" w:space="0" w:color="auto"/>
                                                                                                            <w:left w:val="none" w:sz="0" w:space="0" w:color="auto"/>
                                                                                                            <w:bottom w:val="none" w:sz="0" w:space="0" w:color="auto"/>
                                                                                                            <w:right w:val="none" w:sz="0" w:space="0" w:color="auto"/>
                                                                                                          </w:divBdr>
                                                                                                          <w:divsChild>
                                                                                                            <w:div w:id="1212572474">
                                                                                                              <w:marLeft w:val="0"/>
                                                                                                              <w:marRight w:val="0"/>
                                                                                                              <w:marTop w:val="0"/>
                                                                                                              <w:marBottom w:val="0"/>
                                                                                                              <w:divBdr>
                                                                                                                <w:top w:val="none" w:sz="0" w:space="0" w:color="auto"/>
                                                                                                                <w:left w:val="none" w:sz="0" w:space="0" w:color="auto"/>
                                                                                                                <w:bottom w:val="none" w:sz="0" w:space="0" w:color="auto"/>
                                                                                                                <w:right w:val="none" w:sz="0" w:space="0" w:color="auto"/>
                                                                                                              </w:divBdr>
                                                                                                              <w:divsChild>
                                                                                                                <w:div w:id="1054962124">
                                                                                                                  <w:marLeft w:val="0"/>
                                                                                                                  <w:marRight w:val="0"/>
                                                                                                                  <w:marTop w:val="0"/>
                                                                                                                  <w:marBottom w:val="0"/>
                                                                                                                  <w:divBdr>
                                                                                                                    <w:top w:val="none" w:sz="0" w:space="0" w:color="auto"/>
                                                                                                                    <w:left w:val="none" w:sz="0" w:space="0" w:color="auto"/>
                                                                                                                    <w:bottom w:val="none" w:sz="0" w:space="0" w:color="auto"/>
                                                                                                                    <w:right w:val="none" w:sz="0" w:space="0" w:color="auto"/>
                                                                                                                  </w:divBdr>
                                                                                                                  <w:divsChild>
                                                                                                                    <w:div w:id="1398434822">
                                                                                                                      <w:marLeft w:val="0"/>
                                                                                                                      <w:marRight w:val="0"/>
                                                                                                                      <w:marTop w:val="0"/>
                                                                                                                      <w:marBottom w:val="0"/>
                                                                                                                      <w:divBdr>
                                                                                                                        <w:top w:val="none" w:sz="0" w:space="0" w:color="auto"/>
                                                                                                                        <w:left w:val="single" w:sz="6" w:space="0" w:color="DCDCDC"/>
                                                                                                                        <w:bottom w:val="none" w:sz="0" w:space="0" w:color="auto"/>
                                                                                                                        <w:right w:val="single" w:sz="6" w:space="0" w:color="DCDCDC"/>
                                                                                                                      </w:divBdr>
                                                                                                                      <w:divsChild>
                                                                                                                        <w:div w:id="221449883">
                                                                                                                          <w:marLeft w:val="0"/>
                                                                                                                          <w:marRight w:val="0"/>
                                                                                                                          <w:marTop w:val="0"/>
                                                                                                                          <w:marBottom w:val="0"/>
                                                                                                                          <w:divBdr>
                                                                                                                            <w:top w:val="none" w:sz="0" w:space="0" w:color="auto"/>
                                                                                                                            <w:left w:val="none" w:sz="0" w:space="0" w:color="auto"/>
                                                                                                                            <w:bottom w:val="none" w:sz="0" w:space="0" w:color="auto"/>
                                                                                                                            <w:right w:val="none" w:sz="0" w:space="0" w:color="auto"/>
                                                                                                                          </w:divBdr>
                                                                                                                          <w:divsChild>
                                                                                                                            <w:div w:id="2068721871">
                                                                                                                              <w:marLeft w:val="0"/>
                                                                                                                              <w:marRight w:val="0"/>
                                                                                                                              <w:marTop w:val="0"/>
                                                                                                                              <w:marBottom w:val="0"/>
                                                                                                                              <w:divBdr>
                                                                                                                                <w:top w:val="none" w:sz="0" w:space="0" w:color="auto"/>
                                                                                                                                <w:left w:val="none" w:sz="0" w:space="0" w:color="auto"/>
                                                                                                                                <w:bottom w:val="none" w:sz="0" w:space="0" w:color="auto"/>
                                                                                                                                <w:right w:val="none" w:sz="0" w:space="0" w:color="auto"/>
                                                                                                                              </w:divBdr>
                                                                                                                              <w:divsChild>
                                                                                                                                <w:div w:id="5835803">
                                                                                                                                  <w:marLeft w:val="0"/>
                                                                                                                                  <w:marRight w:val="0"/>
                                                                                                                                  <w:marTop w:val="0"/>
                                                                                                                                  <w:marBottom w:val="0"/>
                                                                                                                                  <w:divBdr>
                                                                                                                                    <w:top w:val="none" w:sz="0" w:space="0" w:color="auto"/>
                                                                                                                                    <w:left w:val="none" w:sz="0" w:space="0" w:color="auto"/>
                                                                                                                                    <w:bottom w:val="none" w:sz="0" w:space="0" w:color="auto"/>
                                                                                                                                    <w:right w:val="none" w:sz="0" w:space="0" w:color="auto"/>
                                                                                                                                  </w:divBdr>
                                                                                                                                  <w:divsChild>
                                                                                                                                    <w:div w:id="122578788">
                                                                                                                                      <w:marLeft w:val="0"/>
                                                                                                                                      <w:marRight w:val="0"/>
                                                                                                                                      <w:marTop w:val="0"/>
                                                                                                                                      <w:marBottom w:val="0"/>
                                                                                                                                      <w:divBdr>
                                                                                                                                        <w:top w:val="none" w:sz="0" w:space="0" w:color="auto"/>
                                                                                                                                        <w:left w:val="none" w:sz="0" w:space="0" w:color="auto"/>
                                                                                                                                        <w:bottom w:val="none" w:sz="0" w:space="0" w:color="auto"/>
                                                                                                                                        <w:right w:val="none" w:sz="0" w:space="0" w:color="auto"/>
                                                                                                                                      </w:divBdr>
                                                                                                                                      <w:divsChild>
                                                                                                                                        <w:div w:id="1212616728">
                                                                                                                                          <w:marLeft w:val="0"/>
                                                                                                                                          <w:marRight w:val="0"/>
                                                                                                                                          <w:marTop w:val="0"/>
                                                                                                                                          <w:marBottom w:val="0"/>
                                                                                                                                          <w:divBdr>
                                                                                                                                            <w:top w:val="none" w:sz="0" w:space="0" w:color="auto"/>
                                                                                                                                            <w:left w:val="none" w:sz="0" w:space="0" w:color="auto"/>
                                                                                                                                            <w:bottom w:val="none" w:sz="0" w:space="0" w:color="auto"/>
                                                                                                                                            <w:right w:val="none" w:sz="0" w:space="0" w:color="auto"/>
                                                                                                                                          </w:divBdr>
                                                                                                                                          <w:divsChild>
                                                                                                                                            <w:div w:id="611940899">
                                                                                                                                              <w:marLeft w:val="0"/>
                                                                                                                                              <w:marRight w:val="0"/>
                                                                                                                                              <w:marTop w:val="0"/>
                                                                                                                                              <w:marBottom w:val="0"/>
                                                                                                                                              <w:divBdr>
                                                                                                                                                <w:top w:val="none" w:sz="0" w:space="0" w:color="auto"/>
                                                                                                                                                <w:left w:val="none" w:sz="0" w:space="0" w:color="auto"/>
                                                                                                                                                <w:bottom w:val="none" w:sz="0" w:space="0" w:color="auto"/>
                                                                                                                                                <w:right w:val="none" w:sz="0" w:space="0" w:color="auto"/>
                                                                                                                                              </w:divBdr>
                                                                                                                                              <w:divsChild>
                                                                                                                                                <w:div w:id="1567303216">
                                                                                                                                                  <w:marLeft w:val="0"/>
                                                                                                                                                  <w:marRight w:val="0"/>
                                                                                                                                                  <w:marTop w:val="0"/>
                                                                                                                                                  <w:marBottom w:val="0"/>
                                                                                                                                                  <w:divBdr>
                                                                                                                                                    <w:top w:val="none" w:sz="0" w:space="0" w:color="auto"/>
                                                                                                                                                    <w:left w:val="none" w:sz="0" w:space="0" w:color="auto"/>
                                                                                                                                                    <w:bottom w:val="none" w:sz="0" w:space="0" w:color="auto"/>
                                                                                                                                                    <w:right w:val="none" w:sz="0" w:space="0" w:color="auto"/>
                                                                                                                                                  </w:divBdr>
                                                                                                                                                  <w:divsChild>
                                                                                                                                                    <w:div w:id="846559676">
                                                                                                                                                      <w:marLeft w:val="0"/>
                                                                                                                                                      <w:marRight w:val="0"/>
                                                                                                                                                      <w:marTop w:val="0"/>
                                                                                                                                                      <w:marBottom w:val="0"/>
                                                                                                                                                      <w:divBdr>
                                                                                                                                                        <w:top w:val="none" w:sz="0" w:space="0" w:color="auto"/>
                                                                                                                                                        <w:left w:val="none" w:sz="0" w:space="0" w:color="auto"/>
                                                                                                                                                        <w:bottom w:val="none" w:sz="0" w:space="0" w:color="auto"/>
                                                                                                                                                        <w:right w:val="none" w:sz="0" w:space="0" w:color="auto"/>
                                                                                                                                                      </w:divBdr>
                                                                                                                                                      <w:divsChild>
                                                                                                                                                        <w:div w:id="301272336">
                                                                                                                                                          <w:marLeft w:val="0"/>
                                                                                                                                                          <w:marRight w:val="0"/>
                                                                                                                                                          <w:marTop w:val="0"/>
                                                                                                                                                          <w:marBottom w:val="0"/>
                                                                                                                                                          <w:divBdr>
                                                                                                                                                            <w:top w:val="none" w:sz="0" w:space="0" w:color="auto"/>
                                                                                                                                                            <w:left w:val="none" w:sz="0" w:space="0" w:color="auto"/>
                                                                                                                                                            <w:bottom w:val="none" w:sz="0" w:space="0" w:color="auto"/>
                                                                                                                                                            <w:right w:val="none" w:sz="0" w:space="0" w:color="auto"/>
                                                                                                                                                          </w:divBdr>
                                                                                                                                                          <w:divsChild>
                                                                                                                                                            <w:div w:id="1605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394">
      <w:bodyDiv w:val="1"/>
      <w:marLeft w:val="0"/>
      <w:marRight w:val="0"/>
      <w:marTop w:val="0"/>
      <w:marBottom w:val="0"/>
      <w:divBdr>
        <w:top w:val="none" w:sz="0" w:space="0" w:color="auto"/>
        <w:left w:val="none" w:sz="0" w:space="0" w:color="auto"/>
        <w:bottom w:val="none" w:sz="0" w:space="0" w:color="auto"/>
        <w:right w:val="none" w:sz="0" w:space="0" w:color="auto"/>
      </w:divBdr>
      <w:divsChild>
        <w:div w:id="2045322872">
          <w:marLeft w:val="0"/>
          <w:marRight w:val="0"/>
          <w:marTop w:val="0"/>
          <w:marBottom w:val="0"/>
          <w:divBdr>
            <w:top w:val="none" w:sz="0" w:space="0" w:color="auto"/>
            <w:left w:val="none" w:sz="0" w:space="0" w:color="auto"/>
            <w:bottom w:val="none" w:sz="0" w:space="0" w:color="auto"/>
            <w:right w:val="none" w:sz="0" w:space="0" w:color="auto"/>
          </w:divBdr>
          <w:divsChild>
            <w:div w:id="1756635678">
              <w:marLeft w:val="0"/>
              <w:marRight w:val="0"/>
              <w:marTop w:val="0"/>
              <w:marBottom w:val="0"/>
              <w:divBdr>
                <w:top w:val="none" w:sz="0" w:space="0" w:color="auto"/>
                <w:left w:val="none" w:sz="0" w:space="0" w:color="auto"/>
                <w:bottom w:val="none" w:sz="0" w:space="0" w:color="auto"/>
                <w:right w:val="none" w:sz="0" w:space="0" w:color="auto"/>
              </w:divBdr>
              <w:divsChild>
                <w:div w:id="1959680639">
                  <w:marLeft w:val="0"/>
                  <w:marRight w:val="0"/>
                  <w:marTop w:val="0"/>
                  <w:marBottom w:val="0"/>
                  <w:divBdr>
                    <w:top w:val="none" w:sz="0" w:space="0" w:color="auto"/>
                    <w:left w:val="none" w:sz="0" w:space="0" w:color="auto"/>
                    <w:bottom w:val="none" w:sz="0" w:space="0" w:color="auto"/>
                    <w:right w:val="none" w:sz="0" w:space="0" w:color="auto"/>
                  </w:divBdr>
                  <w:divsChild>
                    <w:div w:id="1362248758">
                      <w:marLeft w:val="0"/>
                      <w:marRight w:val="0"/>
                      <w:marTop w:val="0"/>
                      <w:marBottom w:val="0"/>
                      <w:divBdr>
                        <w:top w:val="none" w:sz="0" w:space="0" w:color="auto"/>
                        <w:left w:val="none" w:sz="0" w:space="0" w:color="auto"/>
                        <w:bottom w:val="none" w:sz="0" w:space="0" w:color="auto"/>
                        <w:right w:val="none" w:sz="0" w:space="0" w:color="auto"/>
                      </w:divBdr>
                      <w:divsChild>
                        <w:div w:id="884680412">
                          <w:marLeft w:val="0"/>
                          <w:marRight w:val="0"/>
                          <w:marTop w:val="0"/>
                          <w:marBottom w:val="0"/>
                          <w:divBdr>
                            <w:top w:val="none" w:sz="0" w:space="0" w:color="auto"/>
                            <w:left w:val="none" w:sz="0" w:space="0" w:color="auto"/>
                            <w:bottom w:val="none" w:sz="0" w:space="0" w:color="auto"/>
                            <w:right w:val="none" w:sz="0" w:space="0" w:color="auto"/>
                          </w:divBdr>
                          <w:divsChild>
                            <w:div w:id="227350384">
                              <w:marLeft w:val="0"/>
                              <w:marRight w:val="0"/>
                              <w:marTop w:val="0"/>
                              <w:marBottom w:val="0"/>
                              <w:divBdr>
                                <w:top w:val="none" w:sz="0" w:space="0" w:color="auto"/>
                                <w:left w:val="none" w:sz="0" w:space="0" w:color="auto"/>
                                <w:bottom w:val="none" w:sz="0" w:space="0" w:color="auto"/>
                                <w:right w:val="none" w:sz="0" w:space="0" w:color="auto"/>
                              </w:divBdr>
                              <w:divsChild>
                                <w:div w:id="1203904024">
                                  <w:marLeft w:val="0"/>
                                  <w:marRight w:val="0"/>
                                  <w:marTop w:val="0"/>
                                  <w:marBottom w:val="0"/>
                                  <w:divBdr>
                                    <w:top w:val="none" w:sz="0" w:space="0" w:color="auto"/>
                                    <w:left w:val="none" w:sz="0" w:space="0" w:color="auto"/>
                                    <w:bottom w:val="none" w:sz="0" w:space="0" w:color="auto"/>
                                    <w:right w:val="none" w:sz="0" w:space="0" w:color="auto"/>
                                  </w:divBdr>
                                  <w:divsChild>
                                    <w:div w:id="640496709">
                                      <w:marLeft w:val="0"/>
                                      <w:marRight w:val="0"/>
                                      <w:marTop w:val="0"/>
                                      <w:marBottom w:val="0"/>
                                      <w:divBdr>
                                        <w:top w:val="none" w:sz="0" w:space="0" w:color="auto"/>
                                        <w:left w:val="none" w:sz="0" w:space="0" w:color="auto"/>
                                        <w:bottom w:val="none" w:sz="0" w:space="0" w:color="auto"/>
                                        <w:right w:val="none" w:sz="0" w:space="0" w:color="auto"/>
                                      </w:divBdr>
                                      <w:divsChild>
                                        <w:div w:id="1299649431">
                                          <w:marLeft w:val="0"/>
                                          <w:marRight w:val="0"/>
                                          <w:marTop w:val="0"/>
                                          <w:marBottom w:val="0"/>
                                          <w:divBdr>
                                            <w:top w:val="none" w:sz="0" w:space="0" w:color="auto"/>
                                            <w:left w:val="none" w:sz="0" w:space="0" w:color="auto"/>
                                            <w:bottom w:val="none" w:sz="0" w:space="0" w:color="auto"/>
                                            <w:right w:val="none" w:sz="0" w:space="0" w:color="auto"/>
                                          </w:divBdr>
                                          <w:divsChild>
                                            <w:div w:id="1891721879">
                                              <w:marLeft w:val="0"/>
                                              <w:marRight w:val="0"/>
                                              <w:marTop w:val="0"/>
                                              <w:marBottom w:val="0"/>
                                              <w:divBdr>
                                                <w:top w:val="none" w:sz="0" w:space="0" w:color="auto"/>
                                                <w:left w:val="none" w:sz="0" w:space="0" w:color="auto"/>
                                                <w:bottom w:val="none" w:sz="0" w:space="0" w:color="auto"/>
                                                <w:right w:val="none" w:sz="0" w:space="0" w:color="auto"/>
                                              </w:divBdr>
                                              <w:divsChild>
                                                <w:div w:id="318116668">
                                                  <w:marLeft w:val="0"/>
                                                  <w:marRight w:val="0"/>
                                                  <w:marTop w:val="0"/>
                                                  <w:marBottom w:val="0"/>
                                                  <w:divBdr>
                                                    <w:top w:val="none" w:sz="0" w:space="0" w:color="auto"/>
                                                    <w:left w:val="none" w:sz="0" w:space="0" w:color="auto"/>
                                                    <w:bottom w:val="none" w:sz="0" w:space="0" w:color="auto"/>
                                                    <w:right w:val="none" w:sz="0" w:space="0" w:color="auto"/>
                                                  </w:divBdr>
                                                  <w:divsChild>
                                                    <w:div w:id="129439049">
                                                      <w:marLeft w:val="0"/>
                                                      <w:marRight w:val="0"/>
                                                      <w:marTop w:val="0"/>
                                                      <w:marBottom w:val="0"/>
                                                      <w:divBdr>
                                                        <w:top w:val="none" w:sz="0" w:space="0" w:color="auto"/>
                                                        <w:left w:val="none" w:sz="0" w:space="0" w:color="auto"/>
                                                        <w:bottom w:val="none" w:sz="0" w:space="0" w:color="auto"/>
                                                        <w:right w:val="none" w:sz="0" w:space="0" w:color="auto"/>
                                                      </w:divBdr>
                                                      <w:divsChild>
                                                        <w:div w:id="1289701788">
                                                          <w:marLeft w:val="0"/>
                                                          <w:marRight w:val="0"/>
                                                          <w:marTop w:val="0"/>
                                                          <w:marBottom w:val="0"/>
                                                          <w:divBdr>
                                                            <w:top w:val="none" w:sz="0" w:space="0" w:color="auto"/>
                                                            <w:left w:val="single" w:sz="6" w:space="0" w:color="DCDCDC"/>
                                                            <w:bottom w:val="none" w:sz="0" w:space="0" w:color="auto"/>
                                                            <w:right w:val="single" w:sz="6" w:space="0" w:color="DCDCDC"/>
                                                          </w:divBdr>
                                                          <w:divsChild>
                                                            <w:div w:id="1639260364">
                                                              <w:marLeft w:val="0"/>
                                                              <w:marRight w:val="0"/>
                                                              <w:marTop w:val="0"/>
                                                              <w:marBottom w:val="0"/>
                                                              <w:divBdr>
                                                                <w:top w:val="none" w:sz="0" w:space="0" w:color="auto"/>
                                                                <w:left w:val="none" w:sz="0" w:space="0" w:color="auto"/>
                                                                <w:bottom w:val="none" w:sz="0" w:space="0" w:color="auto"/>
                                                                <w:right w:val="none" w:sz="0" w:space="0" w:color="auto"/>
                                                              </w:divBdr>
                                                              <w:divsChild>
                                                                <w:div w:id="1660500765">
                                                                  <w:marLeft w:val="0"/>
                                                                  <w:marRight w:val="0"/>
                                                                  <w:marTop w:val="0"/>
                                                                  <w:marBottom w:val="0"/>
                                                                  <w:divBdr>
                                                                    <w:top w:val="none" w:sz="0" w:space="0" w:color="auto"/>
                                                                    <w:left w:val="none" w:sz="0" w:space="0" w:color="auto"/>
                                                                    <w:bottom w:val="none" w:sz="0" w:space="0" w:color="auto"/>
                                                                    <w:right w:val="none" w:sz="0" w:space="0" w:color="auto"/>
                                                                  </w:divBdr>
                                                                  <w:divsChild>
                                                                    <w:div w:id="615328013">
                                                                      <w:marLeft w:val="0"/>
                                                                      <w:marRight w:val="0"/>
                                                                      <w:marTop w:val="0"/>
                                                                      <w:marBottom w:val="0"/>
                                                                      <w:divBdr>
                                                                        <w:top w:val="none" w:sz="0" w:space="0" w:color="auto"/>
                                                                        <w:left w:val="none" w:sz="0" w:space="0" w:color="auto"/>
                                                                        <w:bottom w:val="none" w:sz="0" w:space="0" w:color="auto"/>
                                                                        <w:right w:val="none" w:sz="0" w:space="0" w:color="auto"/>
                                                                      </w:divBdr>
                                                                      <w:divsChild>
                                                                        <w:div w:id="470752799">
                                                                          <w:marLeft w:val="0"/>
                                                                          <w:marRight w:val="0"/>
                                                                          <w:marTop w:val="0"/>
                                                                          <w:marBottom w:val="0"/>
                                                                          <w:divBdr>
                                                                            <w:top w:val="none" w:sz="0" w:space="0" w:color="auto"/>
                                                                            <w:left w:val="none" w:sz="0" w:space="0" w:color="auto"/>
                                                                            <w:bottom w:val="none" w:sz="0" w:space="0" w:color="auto"/>
                                                                            <w:right w:val="none" w:sz="0" w:space="0" w:color="auto"/>
                                                                          </w:divBdr>
                                                                          <w:divsChild>
                                                                            <w:div w:id="931745007">
                                                                              <w:marLeft w:val="0"/>
                                                                              <w:marRight w:val="0"/>
                                                                              <w:marTop w:val="0"/>
                                                                              <w:marBottom w:val="0"/>
                                                                              <w:divBdr>
                                                                                <w:top w:val="none" w:sz="0" w:space="0" w:color="auto"/>
                                                                                <w:left w:val="none" w:sz="0" w:space="0" w:color="auto"/>
                                                                                <w:bottom w:val="none" w:sz="0" w:space="0" w:color="auto"/>
                                                                                <w:right w:val="none" w:sz="0" w:space="0" w:color="auto"/>
                                                                              </w:divBdr>
                                                                              <w:divsChild>
                                                                                <w:div w:id="33359744">
                                                                                  <w:marLeft w:val="0"/>
                                                                                  <w:marRight w:val="0"/>
                                                                                  <w:marTop w:val="0"/>
                                                                                  <w:marBottom w:val="0"/>
                                                                                  <w:divBdr>
                                                                                    <w:top w:val="none" w:sz="0" w:space="0" w:color="auto"/>
                                                                                    <w:left w:val="none" w:sz="0" w:space="0" w:color="auto"/>
                                                                                    <w:bottom w:val="none" w:sz="0" w:space="0" w:color="auto"/>
                                                                                    <w:right w:val="none" w:sz="0" w:space="0" w:color="auto"/>
                                                                                  </w:divBdr>
                                                                                  <w:divsChild>
                                                                                    <w:div w:id="1925140075">
                                                                                      <w:marLeft w:val="0"/>
                                                                                      <w:marRight w:val="0"/>
                                                                                      <w:marTop w:val="0"/>
                                                                                      <w:marBottom w:val="0"/>
                                                                                      <w:divBdr>
                                                                                        <w:top w:val="none" w:sz="0" w:space="0" w:color="auto"/>
                                                                                        <w:left w:val="none" w:sz="0" w:space="0" w:color="auto"/>
                                                                                        <w:bottom w:val="none" w:sz="0" w:space="0" w:color="auto"/>
                                                                                        <w:right w:val="none" w:sz="0" w:space="0" w:color="auto"/>
                                                                                      </w:divBdr>
                                                                                      <w:divsChild>
                                                                                        <w:div w:id="462306938">
                                                                                          <w:marLeft w:val="0"/>
                                                                                          <w:marRight w:val="0"/>
                                                                                          <w:marTop w:val="0"/>
                                                                                          <w:marBottom w:val="0"/>
                                                                                          <w:divBdr>
                                                                                            <w:top w:val="none" w:sz="0" w:space="0" w:color="auto"/>
                                                                                            <w:left w:val="none" w:sz="0" w:space="0" w:color="auto"/>
                                                                                            <w:bottom w:val="none" w:sz="0" w:space="0" w:color="auto"/>
                                                                                            <w:right w:val="none" w:sz="0" w:space="0" w:color="auto"/>
                                                                                          </w:divBdr>
                                                                                          <w:divsChild>
                                                                                            <w:div w:id="81032848">
                                                                                              <w:marLeft w:val="0"/>
                                                                                              <w:marRight w:val="0"/>
                                                                                              <w:marTop w:val="0"/>
                                                                                              <w:marBottom w:val="0"/>
                                                                                              <w:divBdr>
                                                                                                <w:top w:val="none" w:sz="0" w:space="0" w:color="auto"/>
                                                                                                <w:left w:val="none" w:sz="0" w:space="0" w:color="auto"/>
                                                                                                <w:bottom w:val="none" w:sz="0" w:space="0" w:color="auto"/>
                                                                                                <w:right w:val="none" w:sz="0" w:space="0" w:color="auto"/>
                                                                                              </w:divBdr>
                                                                                              <w:divsChild>
                                                                                                <w:div w:id="412552677">
                                                                                                  <w:marLeft w:val="0"/>
                                                                                                  <w:marRight w:val="0"/>
                                                                                                  <w:marTop w:val="0"/>
                                                                                                  <w:marBottom w:val="0"/>
                                                                                                  <w:divBdr>
                                                                                                    <w:top w:val="none" w:sz="0" w:space="0" w:color="auto"/>
                                                                                                    <w:left w:val="none" w:sz="0" w:space="0" w:color="auto"/>
                                                                                                    <w:bottom w:val="none" w:sz="0" w:space="0" w:color="auto"/>
                                                                                                    <w:right w:val="none" w:sz="0" w:space="0" w:color="auto"/>
                                                                                                  </w:divBdr>
                                                                                                  <w:divsChild>
                                                                                                    <w:div w:id="1737891809">
                                                                                                      <w:marLeft w:val="0"/>
                                                                                                      <w:marRight w:val="0"/>
                                                                                                      <w:marTop w:val="0"/>
                                                                                                      <w:marBottom w:val="0"/>
                                                                                                      <w:divBdr>
                                                                                                        <w:top w:val="none" w:sz="0" w:space="0" w:color="auto"/>
                                                                                                        <w:left w:val="none" w:sz="0" w:space="0" w:color="auto"/>
                                                                                                        <w:bottom w:val="none" w:sz="0" w:space="0" w:color="auto"/>
                                                                                                        <w:right w:val="none" w:sz="0" w:space="0" w:color="auto"/>
                                                                                                      </w:divBdr>
                                                                                                      <w:divsChild>
                                                                                                        <w:div w:id="2138645299">
                                                                                                          <w:marLeft w:val="0"/>
                                                                                                          <w:marRight w:val="0"/>
                                                                                                          <w:marTop w:val="0"/>
                                                                                                          <w:marBottom w:val="0"/>
                                                                                                          <w:divBdr>
                                                                                                            <w:top w:val="none" w:sz="0" w:space="0" w:color="auto"/>
                                                                                                            <w:left w:val="none" w:sz="0" w:space="0" w:color="auto"/>
                                                                                                            <w:bottom w:val="none" w:sz="0" w:space="0" w:color="auto"/>
                                                                                                            <w:right w:val="none" w:sz="0" w:space="0" w:color="auto"/>
                                                                                                          </w:divBdr>
                                                                                                          <w:divsChild>
                                                                                                            <w:div w:id="1749232373">
                                                                                                              <w:marLeft w:val="0"/>
                                                                                                              <w:marRight w:val="0"/>
                                                                                                              <w:marTop w:val="0"/>
                                                                                                              <w:marBottom w:val="0"/>
                                                                                                              <w:divBdr>
                                                                                                                <w:top w:val="none" w:sz="0" w:space="0" w:color="auto"/>
                                                                                                                <w:left w:val="none" w:sz="0" w:space="0" w:color="auto"/>
                                                                                                                <w:bottom w:val="none" w:sz="0" w:space="0" w:color="auto"/>
                                                                                                                <w:right w:val="none" w:sz="0" w:space="0" w:color="auto"/>
                                                                                                              </w:divBdr>
                                                                                                              <w:divsChild>
                                                                                                                <w:div w:id="522860033">
                                                                                                                  <w:marLeft w:val="0"/>
                                                                                                                  <w:marRight w:val="0"/>
                                                                                                                  <w:marTop w:val="0"/>
                                                                                                                  <w:marBottom w:val="0"/>
                                                                                                                  <w:divBdr>
                                                                                                                    <w:top w:val="none" w:sz="0" w:space="0" w:color="auto"/>
                                                                                                                    <w:left w:val="none" w:sz="0" w:space="0" w:color="auto"/>
                                                                                                                    <w:bottom w:val="none" w:sz="0" w:space="0" w:color="auto"/>
                                                                                                                    <w:right w:val="none" w:sz="0" w:space="0" w:color="auto"/>
                                                                                                                  </w:divBdr>
                                                                                                                  <w:divsChild>
                                                                                                                    <w:div w:id="1344550039">
                                                                                                                      <w:marLeft w:val="0"/>
                                                                                                                      <w:marRight w:val="0"/>
                                                                                                                      <w:marTop w:val="0"/>
                                                                                                                      <w:marBottom w:val="0"/>
                                                                                                                      <w:divBdr>
                                                                                                                        <w:top w:val="none" w:sz="0" w:space="0" w:color="auto"/>
                                                                                                                        <w:left w:val="single" w:sz="6" w:space="0" w:color="DCDCDC"/>
                                                                                                                        <w:bottom w:val="none" w:sz="0" w:space="0" w:color="auto"/>
                                                                                                                        <w:right w:val="single" w:sz="6" w:space="0" w:color="DCDCDC"/>
                                                                                                                      </w:divBdr>
                                                                                                                      <w:divsChild>
                                                                                                                        <w:div w:id="1564562964">
                                                                                                                          <w:marLeft w:val="0"/>
                                                                                                                          <w:marRight w:val="0"/>
                                                                                                                          <w:marTop w:val="0"/>
                                                                                                                          <w:marBottom w:val="0"/>
                                                                                                                          <w:divBdr>
                                                                                                                            <w:top w:val="none" w:sz="0" w:space="0" w:color="auto"/>
                                                                                                                            <w:left w:val="none" w:sz="0" w:space="0" w:color="auto"/>
                                                                                                                            <w:bottom w:val="none" w:sz="0" w:space="0" w:color="auto"/>
                                                                                                                            <w:right w:val="none" w:sz="0" w:space="0" w:color="auto"/>
                                                                                                                          </w:divBdr>
                                                                                                                          <w:divsChild>
                                                                                                                            <w:div w:id="156114578">
                                                                                                                              <w:marLeft w:val="0"/>
                                                                                                                              <w:marRight w:val="0"/>
                                                                                                                              <w:marTop w:val="0"/>
                                                                                                                              <w:marBottom w:val="0"/>
                                                                                                                              <w:divBdr>
                                                                                                                                <w:top w:val="none" w:sz="0" w:space="0" w:color="auto"/>
                                                                                                                                <w:left w:val="none" w:sz="0" w:space="0" w:color="auto"/>
                                                                                                                                <w:bottom w:val="none" w:sz="0" w:space="0" w:color="auto"/>
                                                                                                                                <w:right w:val="none" w:sz="0" w:space="0" w:color="auto"/>
                                                                                                                              </w:divBdr>
                                                                                                                              <w:divsChild>
                                                                                                                                <w:div w:id="610743380">
                                                                                                                                  <w:marLeft w:val="0"/>
                                                                                                                                  <w:marRight w:val="0"/>
                                                                                                                                  <w:marTop w:val="0"/>
                                                                                                                                  <w:marBottom w:val="0"/>
                                                                                                                                  <w:divBdr>
                                                                                                                                    <w:top w:val="none" w:sz="0" w:space="0" w:color="auto"/>
                                                                                                                                    <w:left w:val="none" w:sz="0" w:space="0" w:color="auto"/>
                                                                                                                                    <w:bottom w:val="none" w:sz="0" w:space="0" w:color="auto"/>
                                                                                                                                    <w:right w:val="none" w:sz="0" w:space="0" w:color="auto"/>
                                                                                                                                  </w:divBdr>
                                                                                                                                  <w:divsChild>
                                                                                                                                    <w:div w:id="605817764">
                                                                                                                                      <w:marLeft w:val="0"/>
                                                                                                                                      <w:marRight w:val="0"/>
                                                                                                                                      <w:marTop w:val="0"/>
                                                                                                                                      <w:marBottom w:val="0"/>
                                                                                                                                      <w:divBdr>
                                                                                                                                        <w:top w:val="none" w:sz="0" w:space="0" w:color="auto"/>
                                                                                                                                        <w:left w:val="none" w:sz="0" w:space="0" w:color="auto"/>
                                                                                                                                        <w:bottom w:val="none" w:sz="0" w:space="0" w:color="auto"/>
                                                                                                                                        <w:right w:val="none" w:sz="0" w:space="0" w:color="auto"/>
                                                                                                                                      </w:divBdr>
                                                                                                                                      <w:divsChild>
                                                                                                                                        <w:div w:id="84494899">
                                                                                                                                          <w:marLeft w:val="0"/>
                                                                                                                                          <w:marRight w:val="0"/>
                                                                                                                                          <w:marTop w:val="0"/>
                                                                                                                                          <w:marBottom w:val="0"/>
                                                                                                                                          <w:divBdr>
                                                                                                                                            <w:top w:val="none" w:sz="0" w:space="0" w:color="auto"/>
                                                                                                                                            <w:left w:val="none" w:sz="0" w:space="0" w:color="auto"/>
                                                                                                                                            <w:bottom w:val="none" w:sz="0" w:space="0" w:color="auto"/>
                                                                                                                                            <w:right w:val="none" w:sz="0" w:space="0" w:color="auto"/>
                                                                                                                                          </w:divBdr>
                                                                                                                                          <w:divsChild>
                                                                                                                                            <w:div w:id="1653172481">
                                                                                                                                              <w:marLeft w:val="0"/>
                                                                                                                                              <w:marRight w:val="0"/>
                                                                                                                                              <w:marTop w:val="0"/>
                                                                                                                                              <w:marBottom w:val="0"/>
                                                                                                                                              <w:divBdr>
                                                                                                                                                <w:top w:val="none" w:sz="0" w:space="0" w:color="auto"/>
                                                                                                                                                <w:left w:val="none" w:sz="0" w:space="0" w:color="auto"/>
                                                                                                                                                <w:bottom w:val="none" w:sz="0" w:space="0" w:color="auto"/>
                                                                                                                                                <w:right w:val="none" w:sz="0" w:space="0" w:color="auto"/>
                                                                                                                                              </w:divBdr>
                                                                                                                                              <w:divsChild>
                                                                                                                                                <w:div w:id="1728649764">
                                                                                                                                                  <w:marLeft w:val="0"/>
                                                                                                                                                  <w:marRight w:val="0"/>
                                                                                                                                                  <w:marTop w:val="0"/>
                                                                                                                                                  <w:marBottom w:val="0"/>
                                                                                                                                                  <w:divBdr>
                                                                                                                                                    <w:top w:val="none" w:sz="0" w:space="0" w:color="auto"/>
                                                                                                                                                    <w:left w:val="none" w:sz="0" w:space="0" w:color="auto"/>
                                                                                                                                                    <w:bottom w:val="none" w:sz="0" w:space="0" w:color="auto"/>
                                                                                                                                                    <w:right w:val="none" w:sz="0" w:space="0" w:color="auto"/>
                                                                                                                                                  </w:divBdr>
                                                                                                                                                  <w:divsChild>
                                                                                                                                                    <w:div w:id="2125998496">
                                                                                                                                                      <w:marLeft w:val="0"/>
                                                                                                                                                      <w:marRight w:val="0"/>
                                                                                                                                                      <w:marTop w:val="0"/>
                                                                                                                                                      <w:marBottom w:val="0"/>
                                                                                                                                                      <w:divBdr>
                                                                                                                                                        <w:top w:val="none" w:sz="0" w:space="0" w:color="auto"/>
                                                                                                                                                        <w:left w:val="none" w:sz="0" w:space="0" w:color="auto"/>
                                                                                                                                                        <w:bottom w:val="none" w:sz="0" w:space="0" w:color="auto"/>
                                                                                                                                                        <w:right w:val="none" w:sz="0" w:space="0" w:color="auto"/>
                                                                                                                                                      </w:divBdr>
                                                                                                                                                      <w:divsChild>
                                                                                                                                                        <w:div w:id="514806383">
                                                                                                                                                          <w:marLeft w:val="0"/>
                                                                                                                                                          <w:marRight w:val="0"/>
                                                                                                                                                          <w:marTop w:val="0"/>
                                                                                                                                                          <w:marBottom w:val="0"/>
                                                                                                                                                          <w:divBdr>
                                                                                                                                                            <w:top w:val="none" w:sz="0" w:space="0" w:color="auto"/>
                                                                                                                                                            <w:left w:val="none" w:sz="0" w:space="0" w:color="auto"/>
                                                                                                                                                            <w:bottom w:val="none" w:sz="0" w:space="0" w:color="auto"/>
                                                                                                                                                            <w:right w:val="none" w:sz="0" w:space="0" w:color="auto"/>
                                                                                                                                                          </w:divBdr>
                                                                                                                                                          <w:divsChild>
                                                                                                                                                            <w:div w:id="329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resource.html?uri=cellar:a59b6beb-7a4f-11e6-b076-01aa75ed71a1.0002.02/DOC_1&amp;format=PDF" TargetMode="External"/><Relationship Id="rId2" Type="http://schemas.openxmlformats.org/officeDocument/2006/relationships/hyperlink" Target="https://www.leforem.be/MungoBlobs/44/644/20180212_Chiffres_SeriesStatistiquesMde201801.pdf" TargetMode="External"/><Relationship Id="rId1" Type="http://schemas.openxmlformats.org/officeDocument/2006/relationships/hyperlink" Target="http://steelbenchmarker.com/files/history.pdf" TargetMode="External"/><Relationship Id="rId4" Type="http://schemas.openxmlformats.org/officeDocument/2006/relationships/hyperlink" Target="http://www.catch-charleroi.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BDA5-0446-4D78-8215-3E865640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2018-02-08T09:40:00Z</cp:lastPrinted>
  <dcterms:created xsi:type="dcterms:W3CDTF">2018-03-14T10:30:00Z</dcterms:created>
  <dcterms:modified xsi:type="dcterms:W3CDTF">2018-03-23T10:35:00Z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