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DC51596-7F1E-45C5-AB6C-588B64F5DB0A" style="width:450.45pt;height:347.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both"/>
        <w:rPr>
          <w:rFonts w:ascii="Times New Roman" w:hAnsi="Times New Roman"/>
          <w:b/>
          <w:bCs/>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ВЪВЕДЕНИЕ</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С Регламент (ЕО) № 273/2004 се установяват хармонизирани мерки за вътрешен контрол и мониторинг в Съюза на определени вещества, използвани често за незаконно производство на упойващи и психотропни вещества (наричани по-нататък „прекурсори на наркотични вещества“ или „прекурсори“), с цел предотвратяване на отклоняването на такива вещества. По силата на членове 15 и 15а от Регламента за срок от пет години, считано от 30 декември 2013 г., на Комисията се предоставя правомощието да приема делегирани актове за някои цели и при определени условия. Член 15а, параграф 2 от Регламента предвижда не по-късно от девет месеца преди изтичането на петгодишния срок, т.е. до 31 март 2018 г., Комисията да представи доклад пред Европейския парламент и пред Съвета във връзка с предоставеното ѝ делегиране на правомощия.</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В Регламент (ЕО) 111/2005 са определени правила за мониторинга на търговията с гореспоменатите вещества между Съюза и трети страни. Той се прилага към вноса, износа и посредническите дейности. По сходен с Регламент (ЕО) № 273/2004 начин, в съответствие с членове 30а и 30б от Регламент (ЕО) № 111/2005 за срок от пет години, считано от 30 декември 2013 г., на Комисията се предоставя правомощието да приема делегирани актове за някои цели и при определени условия. Член 30б, параграф 2 от Регламента предвижда не по-късно от девет месеца преди изтичането на петгодишния срок, т.е. до 31 март 2018 г., Комисията да представи доклад пред Европейския парламент и пред Съвета във връзка с предоставеното ѝ делегиране на правомощия. </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Регламенти (ЕО) № 273/2004 и (ЕО) № 111/2005 привеждат съвместно в действие член 12 от Конвенцията на Организацията на обединените нации за борба срещу незаконния трафик на упойващи и психотропни вещества от 19 декември 1988 г. (наричана по-нататък „Конвенцията на ООН“). Този член задължава страните по Конвенцията да предприемат подходящи мерки с оглед предотвратяване на отклоняването на вещества, често използвани при незаконното производство на упойващи и психотропни вещества, и ги задължава да си сътрудничат една с друга. Предпоставката за тази разпоредба е презумпцията, че в резултат на отнемането на достъпа до тези вещества на производителите на незаконни вещества, тяхното производство ще намалее.</w:t>
      </w: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rPr>
        <w:t xml:space="preserve">Предвид на тясната материалноправна връзка между посочените регламенти измененията им бяха приети посредством един делегиран акт, обхващащ и двата регламента. Вследствие на това гореспоменатите изисквания за изготвяне на доклади бяха също обединени в един доклад. </w:t>
      </w:r>
    </w:p>
    <w:p>
      <w:pPr>
        <w:autoSpaceDE w:val="0"/>
        <w:autoSpaceDN w:val="0"/>
        <w:adjustRightInd w:val="0"/>
        <w:spacing w:line="240" w:lineRule="auto"/>
        <w:jc w:val="both"/>
        <w:rPr>
          <w:rFonts w:ascii="Times New Roman" w:hAnsi="Times New Roman"/>
          <w:noProof/>
          <w:sz w:val="24"/>
          <w:szCs w:val="24"/>
        </w:rPr>
      </w:pPr>
    </w:p>
    <w:p>
      <w:pPr>
        <w:autoSpaceDE w:val="0"/>
        <w:autoSpaceDN w:val="0"/>
        <w:adjustRightInd w:val="0"/>
        <w:spacing w:line="240" w:lineRule="auto"/>
        <w:jc w:val="both"/>
        <w:rPr>
          <w:rFonts w:ascii="Times New Roman" w:hAnsi="Times New Roman"/>
          <w:b/>
          <w:iCs/>
          <w:noProof/>
          <w:sz w:val="24"/>
          <w:szCs w:val="24"/>
        </w:rPr>
      </w:pPr>
      <w:r>
        <w:rPr>
          <w:rFonts w:ascii="Times New Roman" w:hAnsi="Times New Roman"/>
          <w:b/>
          <w:noProof/>
          <w:sz w:val="24"/>
        </w:rPr>
        <w:t>2.</w:t>
      </w:r>
      <w:r>
        <w:rPr>
          <w:noProof/>
        </w:rPr>
        <w:tab/>
      </w:r>
      <w:r>
        <w:rPr>
          <w:rFonts w:ascii="Times New Roman" w:hAnsi="Times New Roman"/>
          <w:b/>
          <w:noProof/>
          <w:sz w:val="24"/>
        </w:rPr>
        <w:t>УПРАЖНЯВАНЕ НА ПРАВОМОЩИЕТО ЗА ПРИЕМАНЕ НА ДЕЛЕГИРАНИ АКТОВЕ</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В съответствие с член 15а от Регламент (ЕО) № 273/2004 Комисията има правомощието да приема делегираните актове по член 3, параграф 8, член 4, параграф 4, член 5, параграф 7, член 7, втората алинея, член 8, параграф 3 и член 13, параграф 2. Освен това, в съответствие с член 15, Комисията има правомощието да приема делегирани актове с цел адаптиране на приложения I, II и III към Регламента към новите тенденции в отклоняването на прекурсори на наркотични вещества и с цел </w:t>
      </w:r>
      <w:r>
        <w:rPr>
          <w:rFonts w:ascii="Times New Roman" w:hAnsi="Times New Roman"/>
          <w:noProof/>
          <w:sz w:val="24"/>
        </w:rPr>
        <w:lastRenderedPageBreak/>
        <w:t>съблюдаване на измененията на списъците от приложението към Конвенцията на ООН.</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По сходен начин, в съответствие с член 30б от Регламент (ЕО) № 111/2005, Комисията има правомощието да приема делегираните актове по член 6, параграф 1, третата алинея, член 7, параграф 1, третата алинея, член 8, параграф 2, член 9, параграф 2, втората алинея, член 10, параграф 5, член 11, параграфи 1 и 3, член 19 и член 32, параграф 2. Освен това, в съответствие с член 30а, Комисията има правомощието да приема делегирани актове с цел адаптиране на приложението към Регламента към новите тенденции в отклоняването на прекурсори на наркотични вещества, по-специално веществата, които лесно могат да бъдат превърнати във включените в списък вещества, и с цел съблюдаване на изменението на списъците от приложението към Конвенцията на Обединените нации.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По време на разглеждания период, т.е. от 30 декември 2013 г. до датата на приемане на настоящия доклад, Комисията упражни правомощието си да приема делегирани актове трикратно:</w:t>
      </w:r>
    </w:p>
    <w:p>
      <w:pPr>
        <w:autoSpaceDE w:val="0"/>
        <w:autoSpaceDN w:val="0"/>
        <w:adjustRightInd w:val="0"/>
        <w:spacing w:line="240" w:lineRule="auto"/>
        <w:jc w:val="both"/>
        <w:rPr>
          <w:rFonts w:ascii="Times New Roman" w:hAnsi="Times New Roman"/>
          <w:i/>
          <w:iCs/>
          <w:noProof/>
          <w:sz w:val="24"/>
          <w:szCs w:val="24"/>
        </w:rPr>
      </w:pPr>
      <w:r>
        <w:rPr>
          <w:rFonts w:ascii="Times New Roman" w:hAnsi="Times New Roman"/>
          <w:i/>
          <w:noProof/>
          <w:sz w:val="24"/>
        </w:rPr>
        <w:t>1) Делегиран регламент (ЕС) 2015/1011 на Комисията от 24 април 2015 г. за допълнение на Регламент (ЕО) № 273/2004 на Европейския парламент и на Съвета относно прекурсорите на наркотичните вещества и на Регламент (ЕО) № 111/2005 на Съвета за определяне на правила за мониторинг на търговията между Съюза и трети страни в областта на прекурсорите и за отмяна на Регламент (ЕО) № 1277/2005 на Комисията</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В този регламент се определят условията за издаване на лицензи и регистрации; определят се случаите, в които такива не се изискват; установяват се критериите за доказване на законните цели на дадена сделка; посочва се информацията, необходима за мониторинг на търговията; определят се условията за съставяне на списъци на държавите по местоназначение за износа на включените в списък вещества от категории 2 и 3; установяват се критериите за определяне на опростени процедури за нотификации преди износ и разрешения за износ; и се посочват изискванията относно информацията, която трябва да бъде предоставяна във връзка с прилагането на мерки за мониторинг на търговията с прекурсори.</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Първоначално тези разпоредби бяха включени в Регламент (ЕО) № 1277/2005 на Комисията, но след влизането в сила на Договора от Лисабон те бяха прехвърлени в делегиран регламент на Комисията. При подготовката на делегирания акт Комисията проведе обширни консултации с Експертната група на ЕС по прекурсорите на наркотични вещества — в писмен вид и по време на своето 14-то, 15-то и 16-то заседание, които се състояха съответно на 5 май 2014 г., 10 ноември 2014 г. и 22 май 2015 г. Членовете на Експертната група подкрепиха измененията.</w:t>
      </w:r>
    </w:p>
    <w:p>
      <w:pPr>
        <w:autoSpaceDE w:val="0"/>
        <w:autoSpaceDN w:val="0"/>
        <w:adjustRightInd w:val="0"/>
        <w:spacing w:line="240" w:lineRule="auto"/>
        <w:jc w:val="both"/>
        <w:rPr>
          <w:rFonts w:ascii="Times New Roman" w:hAnsi="Times New Roman"/>
          <w:i/>
          <w:iCs/>
          <w:noProof/>
          <w:sz w:val="24"/>
          <w:szCs w:val="24"/>
        </w:rPr>
      </w:pPr>
      <w:r>
        <w:rPr>
          <w:rFonts w:ascii="Times New Roman" w:hAnsi="Times New Roman"/>
          <w:i/>
          <w:noProof/>
          <w:sz w:val="24"/>
        </w:rPr>
        <w:t>2) Делегиран регламент (ЕС) 2016/1443 на Комисията от 29 юни 2016 г. за изменение на Регламент (ЕО) № 273/2004 на Европейския парламент и на Съвета и Регламент (ЕО) № 111/2005 на Съвета по отношение на включването на определени прекурсори в описа на включените в списък вещества</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С този регламент към описа на включените в списък вещества в регламенти (ЕО) № 273/2004 и (ЕО) № 111/2005 се добавят хлороефедрин и хлоропсевдоефедрин. Хлороефедринът и хлоропсевдоефедринът са вещества, които могат да се използват за производството на метамфетамин. Добавянето им към списъка бе предложено от </w:t>
      </w:r>
      <w:r>
        <w:rPr>
          <w:rFonts w:ascii="Times New Roman" w:hAnsi="Times New Roman"/>
          <w:noProof/>
          <w:sz w:val="24"/>
        </w:rPr>
        <w:lastRenderedPageBreak/>
        <w:t xml:space="preserve">няколко държави членки. При подготовката на делегирания акт Комисията проведе обширни консултации с Експертната група на ЕС по прекурсорите на наркотични вещества — в писмен вид и по време на своето 16-то, 17-то и 18-то заседание, които се състояха съответно на 22 май 2015 г., 9 ноември 2015 г. и 3 – 4 май 2016 г. Комисията се консултира писмено и със засегнатите заинтересовани страни от промишлеността. Предложението срещна широка подкрепа. </w:t>
      </w:r>
    </w:p>
    <w:p>
      <w:pPr>
        <w:autoSpaceDE w:val="0"/>
        <w:autoSpaceDN w:val="0"/>
        <w:adjustRightInd w:val="0"/>
        <w:spacing w:line="240" w:lineRule="auto"/>
        <w:jc w:val="both"/>
        <w:rPr>
          <w:rFonts w:ascii="Times New Roman" w:hAnsi="Times New Roman"/>
          <w:i/>
          <w:iCs/>
          <w:noProof/>
          <w:sz w:val="24"/>
          <w:szCs w:val="24"/>
        </w:rPr>
      </w:pPr>
      <w:r>
        <w:rPr>
          <w:rFonts w:ascii="Times New Roman" w:hAnsi="Times New Roman"/>
          <w:i/>
          <w:noProof/>
          <w:sz w:val="24"/>
        </w:rPr>
        <w:t>3) Делегиран регламент (ЕС) 2018/XXXX на Комисията</w:t>
      </w:r>
      <w:r>
        <w:rPr>
          <w:rStyle w:val="FootnoteReference"/>
          <w:rFonts w:ascii="Times New Roman" w:hAnsi="Times New Roman"/>
          <w:i/>
          <w:noProof/>
          <w:sz w:val="24"/>
        </w:rPr>
        <w:footnoteReference w:id="1"/>
      </w:r>
      <w:r>
        <w:rPr>
          <w:rFonts w:ascii="Times New Roman" w:hAnsi="Times New Roman"/>
          <w:i/>
          <w:noProof/>
          <w:sz w:val="24"/>
        </w:rPr>
        <w:t xml:space="preserve"> от 26 февруари 2018 г. за изменение на Регламент (ЕО) № 273/2004 на Европейския парламент и на Съвета и Регламент (ЕО) № 111/2005 на Съвета с оглед на добавянето на някои прекурсори на наркотични вещества в описа на включените в списък вещества</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С този регламент към описа на включените в списък вещества в регламенти (ЕО) № 273/2004 и (ЕО) № 111/2005 се добавят 4-анилино-</w:t>
      </w:r>
      <w:r>
        <w:rPr>
          <w:rFonts w:ascii="Times New Roman" w:hAnsi="Times New Roman"/>
          <w:i/>
          <w:noProof/>
          <w:sz w:val="24"/>
        </w:rPr>
        <w:t>N-</w:t>
      </w:r>
      <w:r>
        <w:rPr>
          <w:rFonts w:ascii="Times New Roman" w:hAnsi="Times New Roman"/>
          <w:noProof/>
          <w:sz w:val="24"/>
        </w:rPr>
        <w:t xml:space="preserve">фенетилпиперидин (ANPP) и </w:t>
      </w:r>
      <w:r>
        <w:rPr>
          <w:rFonts w:ascii="Times New Roman" w:hAnsi="Times New Roman"/>
          <w:i/>
          <w:noProof/>
          <w:sz w:val="24"/>
        </w:rPr>
        <w:t>N</w:t>
      </w:r>
      <w:r>
        <w:rPr>
          <w:rFonts w:ascii="Times New Roman" w:hAnsi="Times New Roman"/>
          <w:noProof/>
          <w:sz w:val="24"/>
        </w:rPr>
        <w:t>-фенетил-4-пиперидон (NPP). 4-анилино-</w:t>
      </w:r>
      <w:r>
        <w:rPr>
          <w:rFonts w:ascii="Times New Roman" w:hAnsi="Times New Roman"/>
          <w:i/>
          <w:noProof/>
          <w:sz w:val="24"/>
        </w:rPr>
        <w:t>N-</w:t>
      </w:r>
      <w:r>
        <w:rPr>
          <w:rFonts w:ascii="Times New Roman" w:hAnsi="Times New Roman"/>
          <w:noProof/>
          <w:sz w:val="24"/>
        </w:rPr>
        <w:t xml:space="preserve">фенетилпиперидин (ANPP) и </w:t>
      </w:r>
      <w:r>
        <w:rPr>
          <w:rFonts w:ascii="Times New Roman" w:hAnsi="Times New Roman"/>
          <w:i/>
          <w:noProof/>
          <w:sz w:val="24"/>
        </w:rPr>
        <w:t>N</w:t>
      </w:r>
      <w:r>
        <w:rPr>
          <w:rFonts w:ascii="Times New Roman" w:hAnsi="Times New Roman"/>
          <w:noProof/>
          <w:sz w:val="24"/>
        </w:rPr>
        <w:t>-фенетил-4-пиперидон (NPP) са вещества, които могат да се използват за производството на фентанил и аналози на фентанила. Добавянето им в описа се налага и вследствие на решението на Комисията за упойващите вещества на Обединените нации да включи двете вещества в Списък I към Конвенцията на ООН. При подготовката на делегирания акт Комисията проведе обширни консултации с Експертната група на ЕС по прекурсорите на наркотични вещества — в писмен вид и по време на своето 20-то и 21-во заседание, които се състояха съответно на 11 – 12 май 2017 г. и на 23 октомври 2017 г. Комисията се консултира писмено и със засегнатите заинтересовани страни от промишлеността. В допълнение към това предложението бе публикувано на портала „По-добро регулиране“ на Европейската комисия с цел събиране на отзиви от заинтересованите страни. Налице бе широка подкрепа за добавянето на веществата в категория 1 на регламенти (ЕО) № 273/2004 и (ЕО) № 111/2005.</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И в трите случая Комисията осигури своевременното предаване на съответните документи по подходящ начин на Европейския парламент и на Съвета.</w:t>
      </w:r>
    </w:p>
    <w:p>
      <w:pPr>
        <w:autoSpaceDE w:val="0"/>
        <w:autoSpaceDN w:val="0"/>
        <w:adjustRightInd w:val="0"/>
        <w:spacing w:line="240" w:lineRule="auto"/>
        <w:jc w:val="both"/>
        <w:rPr>
          <w:rFonts w:ascii="Times New Roman" w:hAnsi="Times New Roman"/>
          <w:b/>
          <w:iCs/>
          <w:noProof/>
          <w:sz w:val="24"/>
          <w:szCs w:val="24"/>
        </w:rPr>
      </w:pPr>
    </w:p>
    <w:p>
      <w:pPr>
        <w:autoSpaceDE w:val="0"/>
        <w:autoSpaceDN w:val="0"/>
        <w:adjustRightInd w:val="0"/>
        <w:spacing w:line="240" w:lineRule="auto"/>
        <w:jc w:val="both"/>
        <w:rPr>
          <w:rFonts w:ascii="Times New Roman" w:hAnsi="Times New Roman"/>
          <w:b/>
          <w:iCs/>
          <w:noProof/>
          <w:sz w:val="24"/>
          <w:szCs w:val="24"/>
        </w:rPr>
      </w:pPr>
      <w:r>
        <w:rPr>
          <w:rFonts w:ascii="Times New Roman" w:hAnsi="Times New Roman"/>
          <w:b/>
          <w:noProof/>
          <w:sz w:val="24"/>
        </w:rPr>
        <w:t>3.</w:t>
      </w:r>
      <w:r>
        <w:rPr>
          <w:noProof/>
        </w:rPr>
        <w:tab/>
      </w:r>
      <w:r>
        <w:rPr>
          <w:rFonts w:ascii="Times New Roman" w:hAnsi="Times New Roman"/>
          <w:b/>
          <w:noProof/>
          <w:sz w:val="24"/>
        </w:rPr>
        <w:t>ЗАКЛЮЧЕНИЕ</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Новите тенденции в отклоняването на прекурсори на наркотични вещества и в незаконната търговия с тях продължават да се развиват бързо. Може дори да се твърди, че темпът на промените се ускорява. Поради това е изключително важно регламенти (ЕО) № 273/2004 и (ЕО) № 111/2005 да могат да продължат да бъдат изменяни бързо посредством делегирани актове. </w:t>
      </w:r>
    </w:p>
    <w:p>
      <w:pPr>
        <w:autoSpaceDE w:val="0"/>
        <w:autoSpaceDN w:val="0"/>
        <w:adjustRightInd w:val="0"/>
        <w:spacing w:line="240" w:lineRule="auto"/>
        <w:jc w:val="both"/>
        <w:rPr>
          <w:rFonts w:ascii="Times New Roman" w:hAnsi="Times New Roman"/>
          <w:iCs/>
          <w:noProof/>
          <w:sz w:val="24"/>
          <w:szCs w:val="24"/>
        </w:rPr>
      </w:pPr>
      <w:r>
        <w:rPr>
          <w:rFonts w:ascii="Times New Roman" w:hAnsi="Times New Roman"/>
          <w:noProof/>
          <w:sz w:val="24"/>
        </w:rPr>
        <w:t xml:space="preserve">Ето защо Комисията е на мнението, че правомощието за приемане на делегирани актове, предоставено ѝ по силата на регламенти (ЕО) № 273/2004 и (ЕО) № 111/2005, следва да бъде мълчаливо подновено за срок от пет години съгласно съответно член 15а, параграф 2 от Регламент (ЕО) № 273/2004 и член 30б, параграф 2 от Регламент (ЕО) № 111/2005. </w:t>
      </w:r>
    </w:p>
    <w:p>
      <w:pPr>
        <w:autoSpaceDE w:val="0"/>
        <w:autoSpaceDN w:val="0"/>
        <w:adjustRightInd w:val="0"/>
        <w:spacing w:line="240" w:lineRule="auto"/>
        <w:jc w:val="both"/>
        <w:rPr>
          <w:rFonts w:ascii="Times New Roman" w:hAnsi="Times New Roman"/>
          <w:b/>
          <w:i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558"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Към момента на приемането на настоящия доклад двумесечният срок за контрол от страна на Европейския парламент и на Съвета все още не беше изтекъл, като е възможно този срок да бъде продължен с още 2 месеца.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E3E"/>
    <w:multiLevelType w:val="hybridMultilevel"/>
    <w:tmpl w:val="31F4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81D6E"/>
    <w:multiLevelType w:val="hybridMultilevel"/>
    <w:tmpl w:val="7B9CB19E"/>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A96205"/>
    <w:multiLevelType w:val="hybridMultilevel"/>
    <w:tmpl w:val="2E8AEF7A"/>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7B59D8"/>
    <w:multiLevelType w:val="hybridMultilevel"/>
    <w:tmpl w:val="0DD887AA"/>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476C53"/>
    <w:multiLevelType w:val="hybridMultilevel"/>
    <w:tmpl w:val="F1D6649C"/>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C4625"/>
    <w:multiLevelType w:val="hybridMultilevel"/>
    <w:tmpl w:val="997E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3A68DF"/>
    <w:multiLevelType w:val="hybridMultilevel"/>
    <w:tmpl w:val="16BA62BA"/>
    <w:lvl w:ilvl="0" w:tplc="F9C497F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3B0486"/>
    <w:multiLevelType w:val="hybridMultilevel"/>
    <w:tmpl w:val="7382AF7E"/>
    <w:lvl w:ilvl="0" w:tplc="F9C497FE">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nsid w:val="5975241F"/>
    <w:multiLevelType w:val="hybridMultilevel"/>
    <w:tmpl w:val="9B8E2E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611D59D7"/>
    <w:multiLevelType w:val="hybridMultilevel"/>
    <w:tmpl w:val="9FC4ABD6"/>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75772A"/>
    <w:multiLevelType w:val="hybridMultilevel"/>
    <w:tmpl w:val="AE822046"/>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26416F"/>
    <w:multiLevelType w:val="hybridMultilevel"/>
    <w:tmpl w:val="E8828B14"/>
    <w:lvl w:ilvl="0" w:tplc="F9C49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8"/>
  </w:num>
  <w:num w:numId="6">
    <w:abstractNumId w:val="1"/>
  </w:num>
  <w:num w:numId="7">
    <w:abstractNumId w:val="6"/>
  </w:num>
  <w:num w:numId="8">
    <w:abstractNumId w:val="0"/>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C51596-7F1E-45C5-AB6C-588B64F5DB0A"/>
    <w:docVar w:name="LW_COVERPAGE_TYPE" w:val="1"/>
    <w:docVar w:name="LW_CROSSREFERENCE" w:val="&lt;UNUSED&gt;"/>
    <w:docVar w:name="LW_DocType" w:val="NORMAL"/>
    <w:docVar w:name="LW_EMISSION" w:val="27.3.2018"/>
    <w:docVar w:name="LW_EMISSION_ISODATE" w:val="2018-03-27"/>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6?\u1077?\u1083?\u1077?\u1075?\u1080?\u1088?\u1072?\u1085?\u1077?\u1090?\u1086? \u1085?\u1072? \u1087?\u1088?\u1072?\u1074?\u1086?\u1084?\u1086?\u1097?\u1080?\u1103? \u1089?\u1098?\u1075?\u1083?\u1072?\u1089?\u1085?\u1086? \u1056?\u1077?\u1075?\u1083?\u1072?\u1084?\u1077?\u1085?\u1090? (\u1045?\u1054?) \u8470? 273/2004 \u1085?\u1072? \u1045?\u1074?\u1088?\u1086?\u1087?\u1077?\u1081?\u1089?\u1082?\u1080?\u1103? \u1087?\u1072?\u1088?\u1083?\u1072?\u1084?\u1077?\u1085?\u1090? \u1080? \u1085?\u1072? \u1057?\u1098?\u1074?\u1077?\u1090?\u1072? \u1086?\u1090?\u1085?\u1086?\u1089?\u1085?\u1086? \u1087?\u1088?\u1077?\u1082?\u1091?\u1088?\u1089?\u1086?\u1088?\u1080?\u1090?\u1077? \u1085?\u1072? \u1085?\u1072?\u1088?\u1082?\u1086?\u1090?\u1080?\u1095?\u1085?\u1080?\u1090?\u1077? \u1074?\u1077?\u1097?\u1077?\u1089?\u1090?\u1074?\u1072? \u1080? \u1056?\u1077?\u1075?\u1083?\u1072?\u1084?\u1077?\u1085?\u1090? (\u1045?\u1054?) \u8470? 111/2005 \u1085?\u1072? \u1057?\u1098?\u1074?\u1077?\u1090?\u1072? \u1079?\u1072? \u1086?\u1087?\u1088?\u1077?\u1076?\u1077?\u1083?\u1103?\u1085?\u1077? \u1085?\u1072? \u1087?\u1088?\u1072?\u1074?\u1080?\u1083?\u1072? \u1079?\u1072? \u1084?\u1086?\u1085?\u1080?\u1090?\u1086?\u1088?\u1080?\u1085?\u1075? \u1085?\u1072? \u1090?\u1098?\u1088?\u1075?\u1086?\u1074?\u1080?\u1103?\u1090?\u1072? \u1084?\u1077?\u1078?\u1076?\u1091? \u1054?\u1073?\u1097?\u1085?\u1086?\u1089?\u1090?\u1090?\u1072? \u1080? \u1090?\u1088?\u1077?\u1090?\u1080? \u1089?\u1090?\u1088?\u1072?\u1085?\u1080? \u1074? \u1086?\u1073?\u1083?\u1072?\u1089?\u1090?\u1090?\u1072? \u1085?\u1072? \u1087?\u1088?\u1077?\u1082?\u1091?\u1088?\u1089?\u1086?\u1088?\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HOME\HOME-2016-00972\HOME-2016-00972-00-00-EN-REV-00.201610261525170956050.DOC"/>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bg-B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szCs w:val="22"/>
      <w:lang w:val="bg-BG"/>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bg-BG" w:eastAsia="bg-BG"/>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lang w:val="bg-BG" w:eastAsia="bg-BG"/>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locked/>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locked/>
    <w:rPr>
      <w:rFonts w:ascii="Times New Roman" w:hAnsi="Times New Roman"/>
      <w:sz w:val="24"/>
      <w:szCs w:val="22"/>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bg-BG" w:eastAsia="bg-BG"/>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szCs w:val="22"/>
      <w:lang w:val="bg-BG"/>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bg-BG" w:eastAsia="bg-BG"/>
    </w:r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lang w:val="bg-BG" w:eastAsia="bg-BG"/>
    </w:rPr>
  </w:style>
  <w:style w:type="paragraph" w:styleId="Revision">
    <w:name w:val="Revision"/>
    <w:hidden/>
    <w:uiPriority w:val="99"/>
    <w:semiHidden/>
    <w:rPr>
      <w:sz w:val="22"/>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locked/>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locked/>
    <w:rPr>
      <w:rFonts w:ascii="Times New Roman" w:hAnsi="Times New Roman"/>
      <w:sz w:val="24"/>
      <w:szCs w:val="22"/>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7637">
      <w:marLeft w:val="0"/>
      <w:marRight w:val="0"/>
      <w:marTop w:val="0"/>
      <w:marBottom w:val="0"/>
      <w:divBdr>
        <w:top w:val="none" w:sz="0" w:space="0" w:color="auto"/>
        <w:left w:val="none" w:sz="0" w:space="0" w:color="auto"/>
        <w:bottom w:val="none" w:sz="0" w:space="0" w:color="auto"/>
        <w:right w:val="none" w:sz="0" w:space="0" w:color="auto"/>
      </w:divBdr>
    </w:div>
    <w:div w:id="252327638">
      <w:marLeft w:val="0"/>
      <w:marRight w:val="0"/>
      <w:marTop w:val="0"/>
      <w:marBottom w:val="0"/>
      <w:divBdr>
        <w:top w:val="none" w:sz="0" w:space="0" w:color="auto"/>
        <w:left w:val="none" w:sz="0" w:space="0" w:color="auto"/>
        <w:bottom w:val="none" w:sz="0" w:space="0" w:color="auto"/>
        <w:right w:val="none" w:sz="0" w:space="0" w:color="auto"/>
      </w:divBdr>
    </w:div>
    <w:div w:id="252327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7C90-0327-4927-BA9C-EDFF2DBC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1397</Words>
  <Characters>7648</Characters>
  <Application>Microsoft Office Word</Application>
  <DocSecurity>0</DocSecurity>
  <Lines>131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2018-01-26T10:24:00Z</cp:lastPrinted>
  <dcterms:created xsi:type="dcterms:W3CDTF">2018-03-05T10:14:00Z</dcterms:created>
  <dcterms:modified xsi:type="dcterms:W3CDTF">2018-03-21T14:21:00Z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