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936A0009-F576-4889-B464-4452E59A9760" style="width:450.4pt;height:434.5pt">
            <v:imagedata r:id="rId9" o:title=""/>
          </v:shape>
        </w:pict>
      </w:r>
    </w:p>
    <w:bookmarkEnd w:id="0"/>
    <w:p>
      <w:pPr>
        <w:pStyle w:val="Pagedecouverture"/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footnotePr>
            <w:numRestart w:val="eachPage"/>
          </w:footnotePr>
          <w:endnotePr>
            <w:numFmt w:val="decimal"/>
          </w:endnotePr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before="240"/>
        <w:jc w:val="center"/>
        <w:rPr>
          <w:rFonts w:eastAsia="Times New Roman"/>
          <w:b/>
          <w:bCs/>
          <w:noProof/>
          <w:color w:val="000000"/>
          <w:szCs w:val="24"/>
        </w:rPr>
      </w:pPr>
      <w:bookmarkStart w:id="1" w:name="_GoBack"/>
      <w:bookmarkEnd w:id="1"/>
      <w:r>
        <w:rPr>
          <w:b/>
          <w:noProof/>
          <w:color w:val="000000"/>
        </w:rPr>
        <w:lastRenderedPageBreak/>
        <w:t>ПРИЛОЖЕНИЕ</w:t>
      </w:r>
    </w:p>
    <w:p>
      <w:pPr>
        <w:spacing w:before="240"/>
        <w:jc w:val="left"/>
        <w:rPr>
          <w:rFonts w:eastAsia="Times New Roman"/>
          <w:b/>
          <w:bCs/>
          <w:noProof/>
          <w:color w:val="000000"/>
          <w:szCs w:val="24"/>
        </w:rPr>
      </w:pPr>
      <w:r>
        <w:rPr>
          <w:noProof/>
          <w:color w:val="000000"/>
        </w:rPr>
        <w:t>Приложение III се изменя, както следва: в точка А се добавя следната таблица:</w:t>
      </w:r>
    </w:p>
    <w:p>
      <w:pPr>
        <w:spacing w:before="240"/>
        <w:rPr>
          <w:rFonts w:eastAsia="Times New Roman"/>
          <w:bCs/>
          <w:noProof/>
          <w:color w:val="000000"/>
          <w:szCs w:val="24"/>
        </w:rPr>
      </w:pPr>
    </w:p>
    <w:tbl>
      <w:tblPr>
        <w:tblW w:w="5221" w:type="pct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00"/>
        <w:gridCol w:w="1169"/>
        <w:gridCol w:w="1109"/>
        <w:gridCol w:w="875"/>
        <w:gridCol w:w="875"/>
        <w:gridCol w:w="935"/>
        <w:gridCol w:w="882"/>
        <w:gridCol w:w="875"/>
        <w:gridCol w:w="941"/>
        <w:gridCol w:w="1194"/>
        <w:gridCol w:w="3118"/>
      </w:tblGrid>
      <w:tr>
        <w:trPr>
          <w:tblCellSpacing w:w="0" w:type="dxa"/>
        </w:trPr>
        <w:tc>
          <w:tcPr>
            <w:tcW w:w="3200" w:type="dxa"/>
            <w:vMerge w:val="restar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Наименование</w:t>
            </w:r>
          </w:p>
        </w:tc>
        <w:tc>
          <w:tcPr>
            <w:tcW w:w="11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ЕО № (</w:t>
            </w:r>
            <w:r>
              <w:rPr>
                <w:rStyle w:val="EndnoteReference"/>
                <w:noProof/>
                <w:sz w:val="20"/>
              </w:rPr>
              <w:endnoteReference w:id="1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10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CAS № (</w:t>
            </w:r>
            <w:r>
              <w:rPr>
                <w:rStyle w:val="EndnoteReference"/>
                <w:noProof/>
                <w:sz w:val="20"/>
              </w:rPr>
              <w:endnoteReference w:id="2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5383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   Гранични стойности</w:t>
            </w:r>
          </w:p>
        </w:tc>
        <w:tc>
          <w:tcPr>
            <w:tcW w:w="119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 Обозначение</w:t>
            </w:r>
          </w:p>
        </w:tc>
        <w:tc>
          <w:tcPr>
            <w:tcW w:w="3118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before="60" w:after="60"/>
              <w:ind w:right="104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Преходни мерки</w:t>
            </w: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09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8 часа (</w:t>
            </w:r>
            <w:r>
              <w:rPr>
                <w:rStyle w:val="EndnoteReference"/>
                <w:noProof/>
                <w:sz w:val="20"/>
              </w:rPr>
              <w:endnoteReference w:id="3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2698" w:type="dxa"/>
            <w:gridSpan w:val="3"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Краткосрочна (</w:t>
            </w:r>
            <w:r>
              <w:rPr>
                <w:rStyle w:val="EndnoteReference"/>
                <w:noProof/>
                <w:sz w:val="20"/>
              </w:rPr>
              <w:endnoteReference w:id="4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1194" w:type="dxa"/>
            <w:vMerge/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ind w:right="195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6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1109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  <w:vertAlign w:val="superscript"/>
              </w:rPr>
            </w:pPr>
            <w:r>
              <w:rPr>
                <w:noProof/>
                <w:sz w:val="20"/>
              </w:rPr>
              <w:t>mg/m</w:t>
            </w:r>
            <w:r>
              <w:rPr>
                <w:noProof/>
                <w:sz w:val="20"/>
                <w:vertAlign w:val="superscript"/>
              </w:rPr>
              <w:t xml:space="preserve">3  </w:t>
            </w:r>
            <w:r>
              <w:rPr>
                <w:noProof/>
                <w:sz w:val="20"/>
              </w:rPr>
              <w:t xml:space="preserve">  (</w:t>
            </w:r>
            <w:r>
              <w:rPr>
                <w:rStyle w:val="EndnoteReference"/>
                <w:noProof/>
                <w:sz w:val="20"/>
              </w:rPr>
              <w:endnoteReference w:id="5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75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ppm      (</w:t>
            </w:r>
            <w:r>
              <w:rPr>
                <w:rStyle w:val="EndnoteReference"/>
                <w:noProof/>
                <w:sz w:val="20"/>
              </w:rPr>
              <w:endnoteReference w:id="6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935" w:type="dxa"/>
          </w:tcPr>
          <w:p>
            <w:pPr>
              <w:spacing w:before="60" w:after="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f/ml</w:t>
            </w:r>
          </w:p>
          <w:p>
            <w:pPr>
              <w:spacing w:before="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Style w:val="EndnoteReference"/>
                <w:noProof/>
                <w:sz w:val="20"/>
              </w:rPr>
              <w:endnoteReference w:id="7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882" w:type="dxa"/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mg/m</w:t>
            </w:r>
            <w:r>
              <w:rPr>
                <w:noProof/>
                <w:sz w:val="20"/>
                <w:vertAlign w:val="superscript"/>
              </w:rPr>
              <w:t>3</w:t>
            </w:r>
          </w:p>
        </w:tc>
        <w:tc>
          <w:tcPr>
            <w:tcW w:w="875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ppm</w:t>
            </w:r>
          </w:p>
        </w:tc>
        <w:tc>
          <w:tcPr>
            <w:tcW w:w="94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60" w:after="60"/>
              <w:jc w:val="center"/>
              <w:rPr>
                <w:rFonts w:eastAsia="Times New Roman"/>
                <w:bCs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f/ml</w:t>
            </w:r>
          </w:p>
        </w:tc>
        <w:tc>
          <w:tcPr>
            <w:tcW w:w="1194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3118" w:type="dxa"/>
            <w:vMerge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>
            <w:pPr>
              <w:spacing w:before="0" w:after="0"/>
              <w:jc w:val="left"/>
              <w:rPr>
                <w:rFonts w:eastAsia="Times New Roman"/>
                <w:bCs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Кадмий и неговите неорганични съединения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Гранична стойност от 0,004 mg/m³ до </w:t>
            </w:r>
            <w:r>
              <w:rPr>
                <w:noProof/>
                <w:sz w:val="20"/>
                <w:highlight w:val="yellow"/>
              </w:rPr>
              <w:t>хх/уууу 202z г. [7 години]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Берилий и неорганични берилиеви съединения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0,0002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дермална и </w:t>
            </w:r>
            <w:r>
              <w:rPr>
                <w:noProof/>
                <w:spacing w:val="-8"/>
                <w:sz w:val="20"/>
              </w:rPr>
              <w:t>респираторна</w:t>
            </w:r>
            <w:r>
              <w:rPr>
                <w:noProof/>
                <w:sz w:val="20"/>
              </w:rPr>
              <w:t xml:space="preserve"> сенсибилизация (</w:t>
            </w:r>
            <w:r>
              <w:rPr>
                <w:rStyle w:val="EndnoteReference"/>
                <w:noProof/>
                <w:sz w:val="20"/>
              </w:rPr>
              <w:endnoteReference w:id="8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Гранична стойност от 0,0006 mg/m³ до </w:t>
            </w:r>
            <w:r>
              <w:rPr>
                <w:noProof/>
                <w:sz w:val="20"/>
                <w:highlight w:val="yellow"/>
              </w:rPr>
              <w:t>хх/уууу 202z г. [5 години]</w:t>
            </w: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Арсенова киселина и нейните соли, както и неорганични арсениеви съединения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 xml:space="preserve">За отрасъла за топене на мед граничната стойност ще влезе в сила на </w:t>
            </w:r>
            <w:r>
              <w:rPr>
                <w:noProof/>
                <w:sz w:val="20"/>
                <w:highlight w:val="yellow"/>
              </w:rPr>
              <w:t>хх yyyy 202z г. [2 години]</w:t>
            </w:r>
          </w:p>
        </w:tc>
      </w:tr>
      <w:tr>
        <w:trPr>
          <w:trHeight w:val="596"/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Формалдехид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200-001-8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50-00-0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0,37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0,3</w:t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0,738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0,6</w:t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дермална сенсибилизация</w:t>
            </w:r>
          </w:p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(</w:t>
            </w:r>
            <w:r>
              <w:rPr>
                <w:rStyle w:val="EndnoteReference"/>
                <w:noProof/>
                <w:sz w:val="20"/>
              </w:rPr>
              <w:endnoteReference w:id="9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</w:p>
        </w:tc>
      </w:tr>
      <w:tr>
        <w:trPr>
          <w:tblCellSpacing w:w="0" w:type="dxa"/>
        </w:trPr>
        <w:tc>
          <w:tcPr>
            <w:tcW w:w="3200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4,4ʹ-Метиленбис(2-хлороанилин)</w:t>
            </w:r>
          </w:p>
        </w:tc>
        <w:tc>
          <w:tcPr>
            <w:tcW w:w="116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202-918-9</w:t>
            </w:r>
          </w:p>
        </w:tc>
        <w:tc>
          <w:tcPr>
            <w:tcW w:w="1109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101-14-4</w:t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0,01</w:t>
            </w:r>
          </w:p>
        </w:tc>
        <w:tc>
          <w:tcPr>
            <w:tcW w:w="87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35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82" w:type="dxa"/>
            <w:tcMar>
              <w:left w:w="4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875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ind w:right="195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941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sym w:font="Symbol" w:char="F02D"/>
            </w:r>
          </w:p>
        </w:tc>
        <w:tc>
          <w:tcPr>
            <w:tcW w:w="1194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</w:rPr>
              <w:t>кожа (</w:t>
            </w:r>
            <w:r>
              <w:rPr>
                <w:rStyle w:val="EndnoteReference"/>
                <w:noProof/>
                <w:sz w:val="20"/>
              </w:rPr>
              <w:endnoteReference w:id="10"/>
            </w:r>
            <w:r>
              <w:rPr>
                <w:noProof/>
                <w:sz w:val="20"/>
              </w:rPr>
              <w:t>)</w:t>
            </w:r>
          </w:p>
        </w:tc>
        <w:tc>
          <w:tcPr>
            <w:tcW w:w="3118" w:type="dxa"/>
            <w:tcMar>
              <w:top w:w="0" w:type="dxa"/>
              <w:left w:w="40" w:type="dxa"/>
              <w:bottom w:w="0" w:type="dxa"/>
              <w:right w:w="40" w:type="dxa"/>
            </w:tcMar>
          </w:tcPr>
          <w:p>
            <w:pPr>
              <w:spacing w:before="40" w:after="40"/>
              <w:jc w:val="left"/>
              <w:rPr>
                <w:rFonts w:eastAsia="Times New Roman"/>
                <w:noProof/>
                <w:sz w:val="20"/>
                <w:szCs w:val="20"/>
              </w:rPr>
            </w:pPr>
          </w:p>
        </w:tc>
      </w:tr>
    </w:tbl>
    <w:p>
      <w:pPr>
        <w:spacing w:before="40" w:after="40"/>
        <w:jc w:val="left"/>
        <w:rPr>
          <w:noProof/>
          <w:sz w:val="20"/>
          <w:szCs w:val="20"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footnotePr>
        <w:numRestart w:val="eachPage"/>
      </w:footnotePr>
      <w:endnotePr>
        <w:numFmt w:val="decimal"/>
      </w:endnotePr>
      <w:pgSz w:w="16838" w:h="11906" w:orient="landscape"/>
      <w:pgMar w:top="1417" w:right="1417" w:bottom="1417" w:left="96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id="1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ЕО №, т.е. EINECS, ELINCS или NLP, е официалният номер на веществото в рамките на Европейския съюз, както е посочено в част 1, раздел 1.1.1.2 от приложение VI към Регламент (ЕО) № 1272/2008.</w:t>
      </w:r>
    </w:p>
  </w:endnote>
  <w:endnote w:id="2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</w:r>
      <w:r>
        <w:rPr>
          <w:color w:val="000000"/>
        </w:rPr>
        <w:t>CAS №: Номер в регистъра на CAS (Служба за химични индекси).</w:t>
      </w:r>
    </w:p>
  </w:endnote>
  <w:endnote w:id="3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Измерена или изчислена претеглена във времето средна стойност (TWA) за референтен период от осем часа.</w:t>
      </w:r>
    </w:p>
  </w:endnote>
  <w:endnote w:id="4">
    <w:p>
      <w:pPr>
        <w:pStyle w:val="EndnoteText"/>
        <w:spacing w:after="20"/>
        <w:ind w:left="360" w:hanging="360"/>
      </w:pPr>
      <w:r>
        <w:t>(</w:t>
      </w:r>
      <w:r>
        <w:rPr>
          <w:rStyle w:val="EndnoteReference"/>
        </w:rPr>
        <w:endnoteRef/>
      </w:r>
      <w:r>
        <w:t>)</w:t>
      </w:r>
      <w:r>
        <w:tab/>
        <w:t>Краткосрочна гранична стойност на експозиция (STEL). Гранична стойност, над която не трябва да има експозиция и която се отнася за 15-минутен период, освен ако е посочено друго.</w:t>
      </w:r>
    </w:p>
  </w:endnote>
  <w:endnote w:id="5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mg/m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  <w:sz w:val="20"/>
        </w:rPr>
        <w:t xml:space="preserve"> = милиграма на кубичен метър въздух при температура 20° C и налягане 101,3 kРа (760 mm живачен стълб).</w:t>
      </w:r>
    </w:p>
  </w:endnote>
  <w:endnote w:id="6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ppm = части на милион в обем във въздуха (ml/m</w:t>
      </w:r>
      <w:r>
        <w:rPr>
          <w:color w:val="000000"/>
          <w:sz w:val="20"/>
          <w:vertAlign w:val="superscript"/>
        </w:rPr>
        <w:t>3</w:t>
      </w:r>
      <w:r>
        <w:rPr>
          <w:color w:val="000000"/>
          <w:sz w:val="20"/>
        </w:rPr>
        <w:t>).</w:t>
      </w:r>
    </w:p>
  </w:endnote>
  <w:endnote w:id="7">
    <w:p>
      <w:pPr>
        <w:spacing w:before="0" w:after="20"/>
        <w:ind w:left="360" w:hanging="360"/>
        <w:rPr>
          <w:sz w:val="20"/>
          <w:szCs w:val="20"/>
        </w:rPr>
      </w:pPr>
      <w:r>
        <w:rPr>
          <w:sz w:val="20"/>
        </w:rPr>
        <w:t>(</w:t>
      </w:r>
      <w:r>
        <w:rPr>
          <w:rStyle w:val="EndnoteReference"/>
          <w:sz w:val="20"/>
        </w:rPr>
        <w:endnoteRef/>
      </w:r>
      <w:r>
        <w:rPr>
          <w:sz w:val="20"/>
        </w:rPr>
        <w:t xml:space="preserve">) </w:t>
      </w:r>
      <w:r>
        <w:tab/>
      </w:r>
      <w:r>
        <w:rPr>
          <w:color w:val="000000"/>
          <w:sz w:val="20"/>
        </w:rPr>
        <w:t>f/ml = влакна на милилитър.</w:t>
      </w:r>
    </w:p>
  </w:endnote>
  <w:endnote w:id="8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Веществото може да предизвика сенсибилизация на кожата и на дихателните пътища.</w:t>
      </w:r>
    </w:p>
  </w:endnote>
  <w:endnote w:id="9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Веществото може да предизвика сенсибилизация на кожата.</w:t>
      </w:r>
    </w:p>
  </w:endnote>
  <w:endnote w:id="10">
    <w:p>
      <w:pPr>
        <w:pStyle w:val="EndnoteText"/>
        <w:spacing w:after="20"/>
        <w:ind w:left="360" w:hanging="360"/>
        <w:rPr>
          <w:rFonts w:eastAsia="Times New Roman"/>
          <w:color w:val="000000"/>
          <w:lang w:eastAsia="en-GB"/>
        </w:rPr>
      </w:pPr>
      <w:r>
        <w:t>(</w:t>
      </w:r>
      <w:r>
        <w:rPr>
          <w:rStyle w:val="EndnoteReference"/>
        </w:rPr>
        <w:endnoteRef/>
      </w:r>
      <w:r>
        <w:t xml:space="preserve">) </w:t>
      </w:r>
      <w:r>
        <w:tab/>
      </w:r>
      <w:r>
        <w:rPr>
          <w:color w:val="000000"/>
        </w:rPr>
        <w:t>Възможен е значителен принос за общото натрупване в тялото чрез кожна експозиция.</w:t>
      </w:r>
    </w:p>
    <w:p>
      <w:pPr>
        <w:pStyle w:val="EndnoteText"/>
        <w:spacing w:after="20"/>
        <w:ind w:left="360" w:hanging="360"/>
      </w:pPr>
    </w:p>
    <w:p>
      <w:pPr>
        <w:pStyle w:val="EndnoteText"/>
        <w:spacing w:after="20"/>
        <w:ind w:left="360" w:hanging="36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9995588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78B8"/>
    <w:multiLevelType w:val="multilevel"/>
    <w:tmpl w:val="2ED4F4D0"/>
    <w:name w:val="Point"/>
    <w:lvl w:ilvl="0">
      <w:start w:val="1"/>
      <w:numFmt w:val="decimal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">
    <w:nsid w:val="2BD83CB7"/>
    <w:multiLevelType w:val="hybridMultilevel"/>
    <w:tmpl w:val="19FE7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54B0C"/>
    <w:multiLevelType w:val="hybridMultilevel"/>
    <w:tmpl w:val="36F608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4BF4"/>
    <w:multiLevelType w:val="hybridMultilevel"/>
    <w:tmpl w:val="3E4C7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2F3EDA"/>
    <w:multiLevelType w:val="hybridMultilevel"/>
    <w:tmpl w:val="EBAA8C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C30E94"/>
    <w:multiLevelType w:val="hybridMultilevel"/>
    <w:tmpl w:val="0220F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7A6FC8"/>
    <w:multiLevelType w:val="hybridMultilevel"/>
    <w:tmpl w:val="54E677C0"/>
    <w:lvl w:ilvl="0" w:tplc="E4C059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52127F"/>
    <w:multiLevelType w:val="singleLevel"/>
    <w:tmpl w:val="057A5296"/>
    <w:name w:val="Bullet 0"/>
    <w:lvl w:ilvl="0">
      <w:start w:val="1"/>
      <w:numFmt w:val="bullet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8">
    <w:nsid w:val="555C796A"/>
    <w:multiLevelType w:val="hybridMultilevel"/>
    <w:tmpl w:val="47E69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F8119A"/>
    <w:multiLevelType w:val="hybridMultilevel"/>
    <w:tmpl w:val="FADA1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056EE5"/>
    <w:multiLevelType w:val="singleLevel"/>
    <w:tmpl w:val="3378D27C"/>
    <w:name w:val="Bullet 2"/>
    <w:lvl w:ilvl="0">
      <w:start w:val="1"/>
      <w:numFmt w:val="bullet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1">
    <w:nsid w:val="5CA31A15"/>
    <w:multiLevelType w:val="singleLevel"/>
    <w:tmpl w:val="CB981644"/>
    <w:name w:val="Tiret 0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">
    <w:nsid w:val="6AFE543F"/>
    <w:multiLevelType w:val="hybridMultilevel"/>
    <w:tmpl w:val="9B102F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5"/>
  </w:num>
  <w:num w:numId="13">
    <w:abstractNumId w:val="12"/>
  </w:num>
  <w:num w:numId="14">
    <w:abstractNumId w:val="2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characterSpacingControl w:val="doNotCompress"/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936A0009-F576-4889-B464-4452E59A9760"/>
    <w:docVar w:name="LW_COVERPAGE_TYPE" w:val="1"/>
    <w:docVar w:name="LW_CROSSREFERENCE" w:val="{SWD(2018) 87 final}_x000b_{SWD(2018) 88 final}"/>
    <w:docVar w:name="LW_DocType" w:val="NORMAL"/>
    <w:docVar w:name="LW_EMISSION" w:val="5.4.2018"/>
    <w:docVar w:name="LW_EMISSION_ISODATE" w:val="2018-04-05"/>
    <w:docVar w:name="LW_EMISSION_LOCATION" w:val="BRX"/>
    <w:docVar w:name="LW_EMISSION_PREFIX" w:val="Брюксел, "/>
    <w:docVar w:name="LW_EMISSION_SUFFIX" w:val="\u1075?."/>
    <w:docVar w:name="LW_ID_DOCTYPE_NONLW" w:val="CP-036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44?\u1048?\u1056?\u1045?\u1050?\u1058?\u1048?\u1042?\u1040? \u1053?\u1040? \u1045?\u1042?\u1056?\u1054?\u1055?\u1045?\u1049?\u1057?\u1050?\u1048?\u1071? \u1055?\u1040?\u1056?\u1051?\u1040?\u1052?\u1045?\u1053?\u1058? \u1048? \u1053?\u1040? \u1057?\u1066?\u1042?\u1045?\u1058?\u1040?_x000b_\u1079?\u1072? \u1080?\u1079?\u1084?\u1077?\u1085?\u1077?\u1085?\u1080?\u1077? \u1085?\u1072? \u1044?\u1080?\u1088?\u1077?\u1082?\u1090?\u1080?\u1074?\u1072? 2004/37/\u1045?\u1054? \u1086?\u1090?\u1085?\u1086?\u1089?\u1085?\u1086? \u1079?\u1072?\u1097?\u1080?\u1090?\u1072?\u1090?\u1072? \u1085?\u1072? \u1088?\u1072?\u1073?\u1086?\u1090?\u1085?\u1080?\u1094?\u1080?\u1090?\u1077? \u1086?\u1090? \u1088?\u1080?\u1089?\u1082?\u1086?\u1074?\u1077?, \u1089?\u1074?\u1098?\u1088?\u1079?\u1072?\u1085?\u1080? \u1089? \u1077?\u1082?\u1089?\u1087?\u1086?\u1079?\u1080?\u1094?\u1080?\u1103?\u1090?\u1072? \u1085?\u1072? \u1082?\u1072?\u1085?\u1094?\u1077?\u1088?\u1086?\u1075?\u1077?\u1085?\u1080? \u1080?\u1083?\u1080? \u1084?\u1091?\u1090?\u1072?\u1075?\u1077?\u1085?\u1080? \u1087?\u1086? \u1074?\u1088?\u1077?\u1084?\u1077? \u1085?\u1072? \u1088?\u1072?\u1073?\u1086?\u1090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8) 17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45?_x000b_"/>
    <w:docVar w:name="LW_TYPEACTEPRINCIPAL.CP" w:val="\u1055?\u1088?\u1077?\u1076?\u1083?\u1086?\u1078?\u1077?\u1085?\u1080?\u1077? \u1079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iret0">
    <w:name w:val="Tiret 0"/>
    <w:basedOn w:val="Normal"/>
    <w:pPr>
      <w:numPr>
        <w:numId w:val="1"/>
      </w:numPr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  <w:noProof/>
      <w:bdr w:val="none" w:sz="0" w:space="0" w:color="auto" w:frame="1"/>
    </w:rPr>
  </w:style>
  <w:style w:type="paragraph" w:customStyle="1" w:styleId="Point0number">
    <w:name w:val="Point 0 (number)"/>
    <w:basedOn w:val="Normal"/>
    <w:pPr>
      <w:numPr>
        <w:numId w:val="2"/>
      </w:numPr>
    </w:pPr>
  </w:style>
  <w:style w:type="paragraph" w:customStyle="1" w:styleId="Point1number">
    <w:name w:val="Point 1 (number)"/>
    <w:basedOn w:val="Normal"/>
    <w:pPr>
      <w:numPr>
        <w:ilvl w:val="2"/>
        <w:numId w:val="2"/>
      </w:numPr>
    </w:pPr>
  </w:style>
  <w:style w:type="paragraph" w:customStyle="1" w:styleId="Point2number">
    <w:name w:val="Point 2 (number)"/>
    <w:basedOn w:val="Normal"/>
    <w:pPr>
      <w:numPr>
        <w:ilvl w:val="4"/>
        <w:numId w:val="2"/>
      </w:numPr>
    </w:pPr>
  </w:style>
  <w:style w:type="paragraph" w:customStyle="1" w:styleId="Point3number">
    <w:name w:val="Point 3 (number)"/>
    <w:basedOn w:val="Normal"/>
    <w:pPr>
      <w:numPr>
        <w:ilvl w:val="6"/>
        <w:numId w:val="2"/>
      </w:numPr>
    </w:pPr>
  </w:style>
  <w:style w:type="paragraph" w:customStyle="1" w:styleId="Point0letter">
    <w:name w:val="Point 0 (letter)"/>
    <w:basedOn w:val="Normal"/>
    <w:pPr>
      <w:numPr>
        <w:ilvl w:val="1"/>
        <w:numId w:val="2"/>
      </w:numPr>
    </w:pPr>
  </w:style>
  <w:style w:type="paragraph" w:customStyle="1" w:styleId="Point1letter">
    <w:name w:val="Point 1 (letter)"/>
    <w:basedOn w:val="Normal"/>
    <w:pPr>
      <w:numPr>
        <w:ilvl w:val="3"/>
        <w:numId w:val="2"/>
      </w:numPr>
    </w:pPr>
  </w:style>
  <w:style w:type="paragraph" w:customStyle="1" w:styleId="Point2letter">
    <w:name w:val="Point 2 (letter)"/>
    <w:basedOn w:val="Normal"/>
    <w:pPr>
      <w:numPr>
        <w:ilvl w:val="5"/>
        <w:numId w:val="2"/>
      </w:numPr>
    </w:pPr>
  </w:style>
  <w:style w:type="paragraph" w:customStyle="1" w:styleId="Point3letter">
    <w:name w:val="Point 3 (letter)"/>
    <w:basedOn w:val="Normal"/>
    <w:pPr>
      <w:numPr>
        <w:ilvl w:val="7"/>
        <w:numId w:val="2"/>
      </w:numPr>
    </w:pPr>
  </w:style>
  <w:style w:type="paragraph" w:customStyle="1" w:styleId="Point4letter">
    <w:name w:val="Point 4 (letter)"/>
    <w:basedOn w:val="Normal"/>
    <w:pPr>
      <w:numPr>
        <w:ilvl w:val="8"/>
        <w:numId w:val="2"/>
      </w:numPr>
    </w:pPr>
  </w:style>
  <w:style w:type="paragraph" w:customStyle="1" w:styleId="Bullet0">
    <w:name w:val="Bullet 0"/>
    <w:basedOn w:val="Normal"/>
    <w:pPr>
      <w:numPr>
        <w:numId w:val="3"/>
      </w:numPr>
    </w:pPr>
  </w:style>
  <w:style w:type="paragraph" w:customStyle="1" w:styleId="Bullet2">
    <w:name w:val="Bullet 2"/>
    <w:basedOn w:val="Normal"/>
    <w:pPr>
      <w:numPr>
        <w:numId w:val="4"/>
      </w:numPr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paragraph" w:customStyle="1" w:styleId="Titreobjet">
    <w:name w:val="Titre objet"/>
    <w:basedOn w:val="Normal"/>
    <w:next w:val="Normal"/>
    <w:pPr>
      <w:spacing w:before="360" w:after="360"/>
      <w:jc w:val="center"/>
    </w:pPr>
    <w:rPr>
      <w:b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IntrtEEE">
    <w:name w:val="Intérêt EEE"/>
    <w:basedOn w:val="Normal"/>
    <w:next w:val="Normal"/>
    <w:pPr>
      <w:spacing w:before="360" w:after="240"/>
      <w:jc w:val="center"/>
    </w:p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italics">
    <w:name w:val="italics"/>
    <w:basedOn w:val="DefaultParagraphFont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iceouttxt">
    <w:name w:val="iceouttxt"/>
    <w:basedOn w:val="DefaultParagraphFont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before="0"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hAnsi="Times New Roman" w:cs="Times New Roman"/>
      <w:b/>
      <w:sz w:val="32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hAnsi="Times New Roman" w:cs="Times New Roman"/>
      <w:b/>
      <w:sz w:val="32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3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1725-D543-401A-A3A7-16D4DC1CA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169</Words>
  <Characters>748</Characters>
  <Application>Microsoft Office Word</Application>
  <DocSecurity>0</DocSecurity>
  <Lines>124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III for CMD III</vt:lpstr>
    </vt:vector>
  </TitlesOfParts>
  <Manager/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III for CMD III</dc:title>
  <dc:creator/>
  <cp:lastModifiedBy>DIGIT/A3</cp:lastModifiedBy>
  <cp:revision>18</cp:revision>
  <cp:lastPrinted>2018-03-13T17:29:00Z</cp:lastPrinted>
  <dcterms:created xsi:type="dcterms:W3CDTF">2018-03-13T17:26:00Z</dcterms:created>
  <dcterms:modified xsi:type="dcterms:W3CDTF">2018-04-09T08:38:00Z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1</vt:lpwstr>
  </property>
  <property fmtid="{D5CDD505-2E9C-101B-9397-08002B2CF9AE}" pid="5" name="Unique annex">
    <vt:lpwstr>1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DocStatus">
    <vt:lpwstr>Green</vt:lpwstr>
  </property>
</Properties>
</file>