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6FD2D6-310E-481F-B3FC-14D9D3103E06"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1"/>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2"/>
      </w:r>
      <w:r>
        <w:rPr>
          <w:noProof/>
        </w:rPr>
        <w:t xml:space="preserve"> (CISA), </w:t>
      </w:r>
      <w:r>
        <w:rPr>
          <w:rStyle w:val="Strong"/>
          <w:noProof/>
        </w:rPr>
        <w:t>Регламент (ЕО) № 562/2006</w:t>
      </w:r>
      <w:r>
        <w:rPr>
          <w:rStyle w:val="FootnoteReference"/>
          <w:noProof/>
        </w:rPr>
        <w:footnoteReference w:id="3"/>
      </w:r>
      <w:r>
        <w:rPr>
          <w:noProof/>
        </w:rPr>
        <w:t xml:space="preserve"> (Кодекс на шенгенските граници [КШГ]) и Регламент (ЕО) № 810/2009</w:t>
      </w:r>
      <w:r>
        <w:rPr>
          <w:rStyle w:val="FootnoteReference"/>
          <w:noProof/>
        </w:rPr>
        <w:footnoteReference w:id="4"/>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i/>
          <w:noProof/>
        </w:rPr>
        <w:t>.</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5"/>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6"/>
      </w:r>
      <w:r>
        <w:rPr>
          <w:noProof/>
        </w:rPr>
        <w:t>, Бахамските острови</w:t>
      </w:r>
      <w:r>
        <w:rPr>
          <w:rStyle w:val="FootnoteReference"/>
          <w:noProof/>
        </w:rPr>
        <w:footnoteReference w:id="7"/>
      </w:r>
      <w:r>
        <w:rPr>
          <w:noProof/>
        </w:rPr>
        <w:t>, Барбадос</w:t>
      </w:r>
      <w:r>
        <w:rPr>
          <w:rStyle w:val="FootnoteReference"/>
          <w:noProof/>
        </w:rPr>
        <w:footnoteReference w:id="8"/>
      </w:r>
      <w:r>
        <w:rPr>
          <w:noProof/>
        </w:rPr>
        <w:t>, Бразилия</w:t>
      </w:r>
      <w:r>
        <w:rPr>
          <w:rStyle w:val="FootnoteReference"/>
          <w:noProof/>
        </w:rPr>
        <w:footnoteReference w:id="9"/>
      </w:r>
      <w:r>
        <w:rPr>
          <w:noProof/>
        </w:rPr>
        <w:t>, Република Мавриций</w:t>
      </w:r>
      <w:r>
        <w:rPr>
          <w:rStyle w:val="FootnoteReference"/>
          <w:noProof/>
        </w:rPr>
        <w:footnoteReference w:id="10"/>
      </w:r>
      <w:r>
        <w:rPr>
          <w:noProof/>
        </w:rPr>
        <w:t>, Сейнт Китс и Невис</w:t>
      </w:r>
      <w:r>
        <w:rPr>
          <w:rStyle w:val="FootnoteReference"/>
          <w:noProof/>
        </w:rPr>
        <w:footnoteReference w:id="11"/>
      </w:r>
      <w:r>
        <w:rPr>
          <w:noProof/>
        </w:rPr>
        <w:t xml:space="preserve"> и Република Сейшели</w:t>
      </w:r>
      <w:r>
        <w:rPr>
          <w:rStyle w:val="FootnoteReference"/>
          <w:noProof/>
        </w:rPr>
        <w:footnoteReference w:id="12"/>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3"/>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споразуменията за отмяна на визовия режим за краткосрочно пребиваване между Европейския съюз и горепосочените държави</w:t>
      </w:r>
      <w:r>
        <w:rPr>
          <w:rStyle w:val="FootnoteReference"/>
          <w:noProof/>
        </w:rPr>
        <w:footnoteReference w:id="14"/>
      </w:r>
      <w:r>
        <w:rPr>
          <w:noProof/>
        </w:rPr>
        <w:t>, което беше прието от Съвета на 9 октомври 2014 г</w:t>
      </w:r>
      <w:r>
        <w:rPr>
          <w:rStyle w:val="FootnoteReference"/>
          <w:noProof/>
        </w:rPr>
        <w:footnoteReference w:id="15"/>
      </w:r>
      <w:r>
        <w:rPr>
          <w:noProof/>
        </w:rPr>
        <w:t xml:space="preserve">. Целта бе по отношение на тези 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6"/>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На 31 октомври 2017 г. преговорите с Бразилия приключиха успешно  с парафирането на споразумения за изменение на две споразумения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и за притежателите на обикновени паспорти. Двете страни се споразумяха да приемат новото определение за „краткосрочно пребиваване“ наред с други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споразуменията.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представя на Съвета, за да разреши Споразумението да бъде сключено.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Съюзът няма правомощие да изменя споразумения за отмяна на визовия режим ,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Бразилия,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Text1"/>
        <w:ind w:left="0"/>
        <w:rPr>
          <w:noProof/>
        </w:rPr>
      </w:pPr>
      <w:r>
        <w:rPr>
          <w:noProof/>
        </w:rPr>
        <w:t>Настоящото предложение представлява правният инструмент за сключване на споразумението. Съветът ще вземе решение с квалифицирано мнозинство след подписването на споразумението, от името на Съюза, от назначено от председателството на Съвета лице и след като получи одобрението на Европейския парламент в съответствие с член 218, параграф 6, втора алинея, буква а) от ДФЕС.</w:t>
      </w:r>
    </w:p>
    <w:p>
      <w:pPr>
        <w:rPr>
          <w:noProof/>
        </w:rPr>
      </w:pP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 xml:space="preserve">Съгласно член 77, параграф 2, буква а) от ДФЕС воденето на преговори по споразумения за отмяна на визовия режим е от изключителната компетентност на Съюза. </w:t>
      </w:r>
    </w:p>
    <w:p>
      <w:pPr>
        <w:rPr>
          <w:noProof/>
          <w:u w:color="000000"/>
          <w:bdr w:val="nil"/>
        </w:rPr>
      </w:pPr>
      <w:r>
        <w:rPr>
          <w:noProof/>
        </w:rPr>
        <w:t>Осен това, 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Следователно е необходимо действие на равнище на Съюза.</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постигането на преследваната цел, а именно за изменение на действащото Споразумение между Федеративна република Бразилия и Европейския съюз относно премахването на визите за краткосрочно пребиваване за притежателите на обикновени паспорти.</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Бразилия за изменение на споразумението между двете страни относно премахването на визите за краткосрочно пребиваване за притежателите на обикновени паспорти. Държавите членки бяха уведомени за напредъка по преговорите по време на заседанията на работна група „Визи“.</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Бразилия,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9, параграф 4)</w:t>
      </w:r>
    </w:p>
    <w:p>
      <w:pPr>
        <w:spacing w:before="0" w:after="240"/>
        <w:rPr>
          <w:noProof/>
        </w:rPr>
      </w:pPr>
      <w:r>
        <w:rPr>
          <w:noProof/>
        </w:rPr>
        <w:t>Със споразумението се изменя последното изречение в член 9,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споразумението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Федеративна република Бразилия относно премахването на визите за краткосрочно пребиваване за притежателите на обикновени паспорти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остават незасегнати от споразумението,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след като получи одобрението на Европейския парламент, да одобри Споразумението между Европейския съюз и Федеративна република Бразилия за изменение на Споразумението между Европейската общност и Федеративна република Бразилия относно премахването на визите за краткосрочно пребиваване за притежателите на обикновени паспорти.</w:t>
      </w:r>
      <w:r>
        <w:rPr>
          <w:noProof/>
        </w:rPr>
        <w:tab/>
      </w:r>
    </w:p>
    <w:p>
      <w:pPr>
        <w:pStyle w:val="Rfrenceinterinstitutionnelle"/>
        <w:rPr>
          <w:noProof/>
        </w:rPr>
      </w:pPr>
      <w:r>
        <w:rPr>
          <w:noProof/>
        </w:rPr>
        <w:t>2018/0084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сключването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6, втора алинея,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7"/>
      </w:r>
      <w:r>
        <w:rPr>
          <w:noProof/>
        </w:rPr>
        <w:t xml:space="preserve">, </w:t>
      </w:r>
    </w:p>
    <w:p>
      <w:pPr>
        <w:rPr>
          <w:noProof/>
        </w:rPr>
      </w:pPr>
      <w:r>
        <w:rPr>
          <w:noProof/>
        </w:rPr>
        <w:t>като има предвид, че:</w:t>
      </w:r>
    </w:p>
    <w:p>
      <w:pPr>
        <w:pStyle w:val="ManualConsidrant"/>
        <w:rPr>
          <w:noProof/>
        </w:rPr>
      </w:pPr>
      <w:r>
        <w:t>(1)</w:t>
      </w:r>
      <w:r>
        <w:tab/>
      </w:r>
      <w:r>
        <w:rPr>
          <w:noProof/>
        </w:rPr>
        <w:t>В съответствие с Решение (ЕС) XXX/[…] Споразумението с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(„Споразумението“) бе подписано на […] г.</w:t>
      </w:r>
    </w:p>
    <w:p>
      <w:pPr>
        <w:pStyle w:val="ManualConsidrant"/>
        <w:rPr>
          <w:noProof/>
        </w:rPr>
      </w:pPr>
      <w:r>
        <w:t>(2)</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8"/>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(3)</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9"/>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(4)</w:t>
      </w:r>
      <w:r>
        <w:tab/>
      </w:r>
      <w:r>
        <w:rPr>
          <w:noProof/>
        </w:rPr>
        <w:t>Споразумението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 xml:space="preserve">Член 2 </w:t>
      </w:r>
    </w:p>
    <w:p>
      <w:pPr>
        <w:keepLines/>
        <w:rPr>
          <w:noProof/>
        </w:rPr>
      </w:pPr>
      <w:r>
        <w:rPr>
          <w:noProof/>
        </w:rPr>
        <w:t xml:space="preserve">Председателят на Съвета посочва лицето, упълномощено да пристъпи, от името на </w:t>
      </w:r>
    </w:p>
    <w:p>
      <w:pPr>
        <w:keepLines/>
        <w:rPr>
          <w:noProof/>
        </w:rPr>
      </w:pPr>
      <w:r>
        <w:rPr>
          <w:noProof/>
        </w:rPr>
        <w:t>Европейския съюз, към уведомяването, предвидено в член 2 от споразумението.</w:t>
      </w:r>
    </w:p>
    <w:p>
      <w:pPr>
        <w:pStyle w:val="Titrearticle"/>
        <w:rPr>
          <w:noProof/>
        </w:rPr>
      </w:pPr>
      <w:r>
        <w:rPr>
          <w:noProof/>
        </w:rPr>
        <w:t>Член 3</w:t>
      </w:r>
    </w:p>
    <w:p>
      <w:pPr>
        <w:keepLines/>
        <w:rPr>
          <w:noProof/>
        </w:rPr>
      </w:pPr>
      <w:r>
        <w:rPr>
          <w:noProof/>
        </w:rPr>
        <w:t>Настоящото решение влиза в сила на двадесетия ден от приемането му</w:t>
      </w:r>
      <w:r>
        <w:rPr>
          <w:rStyle w:val="FootnoteReference"/>
          <w:noProof/>
        </w:rPr>
        <w:footnoteReference w:id="20"/>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tab/>
        <w:t>ОВ L 182, 29.6.2013 г., стр. 1.</w:t>
      </w:r>
    </w:p>
  </w:footnote>
  <w:footnote w:id="2">
    <w:p>
      <w:pPr>
        <w:pStyle w:val="FootnoteText"/>
        <w:rPr>
          <w:lang w:val="pl-PL"/>
        </w:rPr>
      </w:pPr>
      <w:r>
        <w:rPr>
          <w:rStyle w:val="FootnoteReference"/>
        </w:rPr>
        <w:footnoteRef/>
      </w:r>
      <w:r>
        <w:tab/>
        <w:t>ОВ L 239, 22.9.2000 г., стр. 19.</w:t>
      </w:r>
    </w:p>
  </w:footnote>
  <w:footnote w:id="3">
    <w:p>
      <w:pPr>
        <w:pStyle w:val="FootnoteText"/>
        <w:rPr>
          <w:lang w:val="pl-PL"/>
        </w:rPr>
      </w:pPr>
      <w:r>
        <w:rPr>
          <w:rStyle w:val="FootnoteReference"/>
        </w:rPr>
        <w:footnoteRef/>
      </w:r>
      <w:r>
        <w:rPr>
          <w:lang w:val="pl-PL"/>
        </w:rPr>
        <w:tab/>
      </w:r>
      <w:r>
        <w:t>ОВ</w:t>
      </w:r>
      <w:r>
        <w:rPr>
          <w:lang w:val="pl-PL"/>
        </w:rPr>
        <w:t xml:space="preserve"> L 105, 13.4.2006 </w:t>
      </w:r>
      <w:r>
        <w:t>г</w:t>
      </w:r>
      <w:r>
        <w:rPr>
          <w:lang w:val="pl-PL"/>
        </w:rPr>
        <w:t xml:space="preserve">., </w:t>
      </w:r>
      <w:r>
        <w:t>стр</w:t>
      </w:r>
      <w:r>
        <w:rPr>
          <w:lang w:val="pl-PL"/>
        </w:rPr>
        <w:t>. 1.</w:t>
      </w:r>
    </w:p>
  </w:footnote>
  <w:footnote w:id="4">
    <w:p>
      <w:pPr>
        <w:pStyle w:val="FootnoteText"/>
        <w:rPr>
          <w:lang w:val="pl-PL"/>
        </w:rPr>
      </w:pPr>
      <w:r>
        <w:rPr>
          <w:rStyle w:val="FootnoteReference"/>
        </w:rPr>
        <w:footnoteRef/>
      </w:r>
      <w:r>
        <w:rPr>
          <w:lang w:val="pl-PL"/>
        </w:rPr>
        <w:tab/>
      </w:r>
      <w:r>
        <w:t>ОВ</w:t>
      </w:r>
      <w:r>
        <w:rPr>
          <w:lang w:val="pl-PL"/>
        </w:rPr>
        <w:t xml:space="preserve"> L 243, 15.9.2009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081, 21.3.2001 </w:t>
      </w:r>
      <w:r>
        <w:t>г</w:t>
      </w:r>
      <w:r>
        <w:rPr>
          <w:lang w:val="pl-PL"/>
        </w:rPr>
        <w:t xml:space="preserve">., </w:t>
      </w:r>
      <w:r>
        <w:t>стр</w:t>
      </w:r>
      <w:r>
        <w:rPr>
          <w:lang w:val="pl-PL"/>
        </w:rPr>
        <w:t>. 1.</w:t>
      </w:r>
    </w:p>
  </w:footnote>
  <w:footnote w:id="6">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w:t>
      </w:r>
    </w:p>
  </w:footnote>
  <w:footnote w:id="7">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23.</w:t>
      </w:r>
    </w:p>
  </w:footnote>
  <w:footnote w:id="8">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9.</w:t>
      </w:r>
    </w:p>
  </w:footnote>
  <w:footnote w:id="9">
    <w:p>
      <w:pPr>
        <w:pStyle w:val="FootnoteText"/>
        <w:rPr>
          <w:lang w:val="pl-PL"/>
        </w:rPr>
      </w:pPr>
      <w:r>
        <w:rPr>
          <w:rStyle w:val="FootnoteReference"/>
        </w:rPr>
        <w:footnoteRef/>
      </w:r>
      <w:r>
        <w:rPr>
          <w:lang w:val="pl-PL"/>
        </w:rPr>
        <w:tab/>
      </w:r>
      <w:r>
        <w:t>С</w:t>
      </w:r>
      <w:r>
        <w:rPr>
          <w:lang w:val="pl-PL"/>
        </w:rPr>
        <w:t xml:space="preserve"> </w:t>
      </w:r>
      <w:r>
        <w:t>Бразилия</w:t>
      </w:r>
      <w:r>
        <w:rPr>
          <w:lang w:val="pl-PL"/>
        </w:rPr>
        <w:t xml:space="preserve"> </w:t>
      </w:r>
      <w:r>
        <w:t>ЕС</w:t>
      </w:r>
      <w:r>
        <w:rPr>
          <w:lang w:val="pl-PL"/>
        </w:rPr>
        <w:t xml:space="preserve"> </w:t>
      </w:r>
      <w:r>
        <w:t>е</w:t>
      </w:r>
      <w:r>
        <w:rPr>
          <w:lang w:val="pl-PL"/>
        </w:rPr>
        <w:t xml:space="preserve"> </w:t>
      </w:r>
      <w:r>
        <w:t>сключил</w:t>
      </w:r>
      <w:r>
        <w:rPr>
          <w:lang w:val="pl-PL"/>
        </w:rPr>
        <w:t xml:space="preserve"> </w:t>
      </w:r>
      <w:r>
        <w:t>две</w:t>
      </w:r>
      <w:r>
        <w:rPr>
          <w:lang w:val="pl-PL"/>
        </w:rPr>
        <w:t xml:space="preserve"> </w:t>
      </w:r>
      <w:r>
        <w:t>споразумения</w:t>
      </w:r>
      <w:r>
        <w:rPr>
          <w:lang w:val="pl-PL"/>
        </w:rPr>
        <w:t xml:space="preserve"> — </w:t>
      </w:r>
      <w:r>
        <w:t>едното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обикновени</w:t>
      </w:r>
      <w:r>
        <w:rPr>
          <w:lang w:val="pl-PL"/>
        </w:rPr>
        <w:t xml:space="preserve"> </w:t>
      </w:r>
      <w:r>
        <w:t>паспорти</w:t>
      </w:r>
      <w:r>
        <w:rPr>
          <w:lang w:val="pl-PL"/>
        </w:rPr>
        <w:t xml:space="preserve"> (</w:t>
      </w:r>
      <w:r>
        <w:t>ОВ</w:t>
      </w:r>
      <w:r>
        <w:rPr>
          <w:lang w:val="pl-PL"/>
        </w:rPr>
        <w:t xml:space="preserve"> L 255, 21.9.2012 </w:t>
      </w:r>
      <w:r>
        <w:t>г</w:t>
      </w:r>
      <w:r>
        <w:rPr>
          <w:lang w:val="pl-PL"/>
        </w:rPr>
        <w:t xml:space="preserve">., </w:t>
      </w:r>
      <w:r>
        <w:t>стр</w:t>
      </w:r>
      <w:r>
        <w:rPr>
          <w:lang w:val="pl-PL"/>
        </w:rPr>
        <w:t xml:space="preserve">. 4), </w:t>
      </w:r>
      <w:r>
        <w:t>а</w:t>
      </w:r>
      <w:r>
        <w:rPr>
          <w:lang w:val="pl-PL"/>
        </w:rPr>
        <w:t xml:space="preserve"> </w:t>
      </w:r>
      <w:r>
        <w:t>другото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дипломатически</w:t>
      </w:r>
      <w:r>
        <w:rPr>
          <w:lang w:val="pl-PL"/>
        </w:rPr>
        <w:t xml:space="preserve">, </w:t>
      </w:r>
      <w:r>
        <w:t>служебни</w:t>
      </w:r>
      <w:r>
        <w:rPr>
          <w:lang w:val="pl-PL"/>
        </w:rPr>
        <w:t xml:space="preserve"> </w:t>
      </w:r>
      <w:r>
        <w:t>и</w:t>
      </w:r>
      <w:r>
        <w:rPr>
          <w:lang w:val="pl-PL"/>
        </w:rPr>
        <w:t xml:space="preserve"> </w:t>
      </w:r>
      <w:r>
        <w:t>официални</w:t>
      </w:r>
      <w:r>
        <w:rPr>
          <w:lang w:val="pl-PL"/>
        </w:rPr>
        <w:t xml:space="preserve"> </w:t>
      </w:r>
      <w:r>
        <w:t>паспорти</w:t>
      </w:r>
      <w:r>
        <w:rPr>
          <w:lang w:val="pl-PL"/>
        </w:rPr>
        <w:t xml:space="preserve"> (</w:t>
      </w:r>
      <w:r>
        <w:t>ОВ</w:t>
      </w:r>
      <w:r>
        <w:rPr>
          <w:lang w:val="pl-PL"/>
        </w:rPr>
        <w:t xml:space="preserve"> L 66, 12.3.2011 </w:t>
      </w:r>
      <w:r>
        <w:t>г</w:t>
      </w:r>
      <w:r>
        <w:rPr>
          <w:lang w:val="pl-PL"/>
        </w:rPr>
        <w:t xml:space="preserve">., </w:t>
      </w:r>
      <w:r>
        <w:t>стр</w:t>
      </w:r>
      <w:r>
        <w:rPr>
          <w:lang w:val="pl-PL"/>
        </w:rPr>
        <w:t>. 2).</w:t>
      </w:r>
    </w:p>
  </w:footnote>
  <w:footnote w:id="10">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16.</w:t>
      </w:r>
    </w:p>
  </w:footnote>
  <w:footnote w:id="11">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37.</w:t>
      </w:r>
    </w:p>
  </w:footnote>
  <w:footnote w:id="12">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30.</w:t>
      </w:r>
    </w:p>
  </w:footnote>
  <w:footnote w:id="13">
    <w:p>
      <w:pPr>
        <w:pStyle w:val="FootnoteText"/>
        <w:rPr>
          <w:lang w:val="pl-PL"/>
        </w:rPr>
      </w:pPr>
      <w:r>
        <w:rPr>
          <w:rStyle w:val="FootnoteReference"/>
        </w:rPr>
        <w:footnoteRef/>
      </w:r>
      <w:r>
        <w:rPr>
          <w:lang w:val="pl-PL"/>
        </w:rPr>
        <w:tab/>
      </w:r>
      <w:r>
        <w:t>Вж</w:t>
      </w:r>
      <w:r>
        <w:rPr>
          <w:lang w:val="pl-PL"/>
        </w:rPr>
        <w:t xml:space="preserve">. </w:t>
      </w:r>
      <w:r>
        <w:t>разпоредбите</w:t>
      </w:r>
      <w:r>
        <w:rPr>
          <w:lang w:val="pl-PL"/>
        </w:rPr>
        <w:t xml:space="preserve"> </w:t>
      </w:r>
      <w:r>
        <w:t>за</w:t>
      </w:r>
      <w:r>
        <w:rPr>
          <w:lang w:val="pl-PL"/>
        </w:rPr>
        <w:t xml:space="preserve"> „</w:t>
      </w:r>
      <w:r>
        <w:t>Цел</w:t>
      </w:r>
      <w:r>
        <w:rPr>
          <w:lang w:val="pl-PL"/>
        </w:rPr>
        <w:t xml:space="preserve">“ </w:t>
      </w:r>
      <w:r>
        <w:t>и</w:t>
      </w:r>
      <w:r>
        <w:rPr>
          <w:lang w:val="pl-PL"/>
        </w:rPr>
        <w:t xml:space="preserve"> „</w:t>
      </w:r>
      <w:r>
        <w:t>Продължителност</w:t>
      </w:r>
      <w:r>
        <w:rPr>
          <w:lang w:val="pl-PL"/>
        </w:rPr>
        <w:t xml:space="preserve"> </w:t>
      </w:r>
      <w:r>
        <w:t>на</w:t>
      </w:r>
      <w:r>
        <w:rPr>
          <w:lang w:val="pl-PL"/>
        </w:rPr>
        <w:t xml:space="preserve"> </w:t>
      </w:r>
      <w:r>
        <w:t>престоя</w:t>
      </w:r>
      <w:r>
        <w:rPr>
          <w:lang w:val="pl-PL"/>
        </w:rPr>
        <w:t xml:space="preserve">“ </w:t>
      </w:r>
      <w:r>
        <w:t>в</w:t>
      </w:r>
      <w:r>
        <w:rPr>
          <w:lang w:val="pl-PL"/>
        </w:rPr>
        <w:t xml:space="preserve"> </w:t>
      </w:r>
      <w:r>
        <w:t>споразуменията</w:t>
      </w:r>
      <w:r>
        <w:rPr>
          <w:lang w:val="pl-PL"/>
        </w:rPr>
        <w:t>.</w:t>
      </w:r>
    </w:p>
  </w:footnote>
  <w:footnote w:id="14">
    <w:p>
      <w:pPr>
        <w:pStyle w:val="FootnoteText"/>
        <w:rPr>
          <w:lang w:val="pl-PL"/>
        </w:rPr>
      </w:pPr>
      <w:r>
        <w:rPr>
          <w:rStyle w:val="FootnoteReference"/>
        </w:rPr>
        <w:footnoteRef/>
      </w:r>
      <w:r>
        <w:rPr>
          <w:lang w:val="pl-PL"/>
        </w:rPr>
        <w:tab/>
        <w:t>COM(2014) 468 final.</w:t>
      </w:r>
    </w:p>
  </w:footnote>
  <w:footnote w:id="15">
    <w:p>
      <w:pPr>
        <w:pStyle w:val="FootnoteText"/>
        <w:rPr>
          <w:lang w:val="pl-PL"/>
        </w:rPr>
      </w:pPr>
      <w:r>
        <w:rPr>
          <w:rStyle w:val="FootnoteReference"/>
        </w:rPr>
        <w:footnoteRef/>
      </w:r>
      <w:r>
        <w:rPr>
          <w:lang w:val="pl-PL"/>
        </w:rPr>
        <w:tab/>
      </w:r>
      <w:r>
        <w:t>Решение</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разрешаване</w:t>
      </w:r>
      <w:r>
        <w:rPr>
          <w:lang w:val="pl-PL"/>
        </w:rPr>
        <w:t xml:space="preserve"> </w:t>
      </w:r>
      <w:r>
        <w:t>на</w:t>
      </w:r>
      <w:r>
        <w:rPr>
          <w:lang w:val="pl-PL"/>
        </w:rPr>
        <w:t xml:space="preserve"> </w:t>
      </w:r>
      <w:r>
        <w:t>Комисията</w:t>
      </w:r>
      <w:r>
        <w:rPr>
          <w:lang w:val="pl-PL"/>
        </w:rPr>
        <w:t xml:space="preserve"> </w:t>
      </w:r>
      <w:r>
        <w:t>да</w:t>
      </w:r>
      <w:r>
        <w:rPr>
          <w:lang w:val="pl-PL"/>
        </w:rPr>
        <w:t xml:space="preserve"> </w:t>
      </w:r>
      <w:r>
        <w:t>започне</w:t>
      </w:r>
      <w:r>
        <w:rPr>
          <w:lang w:val="pl-PL"/>
        </w:rPr>
        <w:t xml:space="preserve"> </w:t>
      </w:r>
      <w:r>
        <w:t>преговори</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споразуменията</w:t>
      </w:r>
      <w:r>
        <w:rPr>
          <w:lang w:val="pl-PL"/>
        </w:rPr>
        <w:t xml:space="preserve"> </w:t>
      </w:r>
      <w:r>
        <w:t>относно</w:t>
      </w:r>
      <w:r>
        <w:rPr>
          <w:lang w:val="pl-PL"/>
        </w:rPr>
        <w:t xml:space="preserve"> </w:t>
      </w:r>
      <w:r>
        <w:t>отмяна</w:t>
      </w:r>
      <w:r>
        <w:rPr>
          <w:lang w:val="pl-PL"/>
        </w:rPr>
        <w:t xml:space="preserve"> </w:t>
      </w:r>
      <w:r>
        <w:t>на</w:t>
      </w:r>
      <w:r>
        <w:rPr>
          <w:lang w:val="pl-PL"/>
        </w:rPr>
        <w:t xml:space="preserve"> </w:t>
      </w:r>
      <w:r>
        <w:t>визовия</w:t>
      </w:r>
      <w:r>
        <w:rPr>
          <w:lang w:val="pl-PL"/>
        </w:rPr>
        <w:t xml:space="preserve"> </w:t>
      </w:r>
      <w:r>
        <w:t>режим</w:t>
      </w:r>
      <w:r>
        <w:rPr>
          <w:lang w:val="pl-PL"/>
        </w:rPr>
        <w:t xml:space="preserve"> </w:t>
      </w:r>
      <w:r>
        <w:t>за</w:t>
      </w:r>
      <w:r>
        <w:rPr>
          <w:lang w:val="pl-PL"/>
        </w:rPr>
        <w:t xml:space="preserve"> </w:t>
      </w:r>
      <w:r>
        <w:t>краткосрочно</w:t>
      </w:r>
      <w:r>
        <w:rPr>
          <w:lang w:val="pl-PL"/>
        </w:rPr>
        <w:t xml:space="preserve"> </w:t>
      </w:r>
      <w:r>
        <w:t>пребиваване</w:t>
      </w:r>
      <w:r>
        <w:rPr>
          <w:lang w:val="pl-PL"/>
        </w:rPr>
        <w:t xml:space="preserve">, </w:t>
      </w:r>
      <w:r>
        <w:t>сключени</w:t>
      </w:r>
      <w:r>
        <w:rPr>
          <w:lang w:val="pl-PL"/>
        </w:rPr>
        <w:t xml:space="preserve"> </w:t>
      </w:r>
      <w:r>
        <w:t>между</w:t>
      </w:r>
      <w:r>
        <w:rPr>
          <w:lang w:val="pl-PL"/>
        </w:rPr>
        <w:t xml:space="preserve"> </w:t>
      </w:r>
      <w:r>
        <w:t>Европейския</w:t>
      </w:r>
      <w:r>
        <w:rPr>
          <w:lang w:val="pl-PL"/>
        </w:rPr>
        <w:t xml:space="preserve"> </w:t>
      </w:r>
      <w:r>
        <w:t>съюз</w:t>
      </w:r>
      <w:r>
        <w:rPr>
          <w:lang w:val="pl-PL"/>
        </w:rPr>
        <w:t>/</w:t>
      </w:r>
      <w:r>
        <w:t>Европейската</w:t>
      </w:r>
      <w:r>
        <w:rPr>
          <w:lang w:val="pl-PL"/>
        </w:rPr>
        <w:t xml:space="preserve"> </w:t>
      </w:r>
      <w:r>
        <w:t>общност</w:t>
      </w:r>
      <w:r>
        <w:rPr>
          <w:lang w:val="pl-PL"/>
        </w:rPr>
        <w:t xml:space="preserve"> </w:t>
      </w:r>
      <w:r>
        <w:t>и</w:t>
      </w:r>
      <w:r>
        <w:rPr>
          <w:lang w:val="pl-PL"/>
        </w:rPr>
        <w:t xml:space="preserve"> </w:t>
      </w:r>
      <w:r>
        <w:t>Антигуа</w:t>
      </w:r>
      <w:r>
        <w:rPr>
          <w:lang w:val="pl-PL"/>
        </w:rPr>
        <w:t xml:space="preserve"> </w:t>
      </w:r>
      <w:r>
        <w:t>и</w:t>
      </w:r>
      <w:r>
        <w:rPr>
          <w:lang w:val="pl-PL"/>
        </w:rPr>
        <w:t xml:space="preserve"> </w:t>
      </w:r>
      <w:r>
        <w:t>Барбуда</w:t>
      </w:r>
      <w:r>
        <w:rPr>
          <w:lang w:val="pl-PL"/>
        </w:rPr>
        <w:t xml:space="preserve">, </w:t>
      </w:r>
      <w:r>
        <w:t>Бахамската</w:t>
      </w:r>
      <w:r>
        <w:rPr>
          <w:lang w:val="pl-PL"/>
        </w:rPr>
        <w:t xml:space="preserve"> </w:t>
      </w:r>
      <w:r>
        <w:t>общност</w:t>
      </w:r>
      <w:r>
        <w:rPr>
          <w:lang w:val="pl-PL"/>
        </w:rPr>
        <w:t xml:space="preserve">, </w:t>
      </w:r>
      <w:r>
        <w:t>Барбадос</w:t>
      </w:r>
      <w:r>
        <w:rPr>
          <w:lang w:val="pl-PL"/>
        </w:rPr>
        <w:t xml:space="preserve">, </w:t>
      </w:r>
      <w:r>
        <w:t>Федеративна</w:t>
      </w:r>
      <w:r>
        <w:rPr>
          <w:lang w:val="pl-PL"/>
        </w:rPr>
        <w:t xml:space="preserve"> </w:t>
      </w:r>
      <w:r>
        <w:t>република</w:t>
      </w:r>
      <w:r>
        <w:rPr>
          <w:lang w:val="pl-PL"/>
        </w:rPr>
        <w:t xml:space="preserve"> </w:t>
      </w:r>
      <w:r>
        <w:t>Бразилия</w:t>
      </w:r>
      <w:r>
        <w:rPr>
          <w:lang w:val="pl-PL"/>
        </w:rPr>
        <w:t xml:space="preserve">, </w:t>
      </w:r>
      <w:r>
        <w:t>Република</w:t>
      </w:r>
      <w:r>
        <w:rPr>
          <w:lang w:val="pl-PL"/>
        </w:rPr>
        <w:t xml:space="preserve"> </w:t>
      </w:r>
      <w:r>
        <w:t>Мавриций</w:t>
      </w:r>
      <w:r>
        <w:rPr>
          <w:lang w:val="pl-PL"/>
        </w:rPr>
        <w:t xml:space="preserve">, </w:t>
      </w:r>
      <w:r>
        <w:t>Федерация</w:t>
      </w:r>
      <w:r>
        <w:rPr>
          <w:lang w:val="pl-PL"/>
        </w:rPr>
        <w:t xml:space="preserve"> </w:t>
      </w:r>
      <w:r>
        <w:t>Сейнт</w:t>
      </w:r>
      <w:r>
        <w:rPr>
          <w:lang w:val="pl-PL"/>
        </w:rPr>
        <w:t xml:space="preserve"> </w:t>
      </w:r>
      <w:r>
        <w:t>Китс</w:t>
      </w:r>
      <w:r>
        <w:rPr>
          <w:lang w:val="pl-PL"/>
        </w:rPr>
        <w:t xml:space="preserve"> </w:t>
      </w:r>
      <w:r>
        <w:t>и</w:t>
      </w:r>
      <w:r>
        <w:rPr>
          <w:lang w:val="pl-PL"/>
        </w:rPr>
        <w:t xml:space="preserve"> </w:t>
      </w:r>
      <w:r>
        <w:t>Невис</w:t>
      </w:r>
      <w:r>
        <w:rPr>
          <w:lang w:val="pl-PL"/>
        </w:rPr>
        <w:t xml:space="preserve"> </w:t>
      </w:r>
      <w:r>
        <w:t>и</w:t>
      </w:r>
      <w:r>
        <w:rPr>
          <w:lang w:val="pl-PL"/>
        </w:rPr>
        <w:t xml:space="preserve"> </w:t>
      </w:r>
      <w:r>
        <w:t>Република</w:t>
      </w:r>
      <w:r>
        <w:rPr>
          <w:lang w:val="pl-PL"/>
        </w:rPr>
        <w:t xml:space="preserve"> </w:t>
      </w:r>
      <w:r>
        <w:t>Сейшели</w:t>
      </w:r>
      <w:r>
        <w:rPr>
          <w:lang w:val="pl-PL"/>
        </w:rPr>
        <w:t xml:space="preserve">, </w:t>
      </w:r>
      <w:r>
        <w:t>прието</w:t>
      </w:r>
      <w:r>
        <w:rPr>
          <w:lang w:val="pl-PL"/>
        </w:rPr>
        <w:t xml:space="preserve"> </w:t>
      </w:r>
      <w:r>
        <w:t>от</w:t>
      </w:r>
      <w:r>
        <w:rPr>
          <w:lang w:val="pl-PL"/>
        </w:rPr>
        <w:t xml:space="preserve"> </w:t>
      </w:r>
      <w:r>
        <w:t>Съвета</w:t>
      </w:r>
      <w:r>
        <w:rPr>
          <w:lang w:val="pl-PL"/>
        </w:rPr>
        <w:t xml:space="preserve"> </w:t>
      </w:r>
      <w:r>
        <w:t>на</w:t>
      </w:r>
      <w:r>
        <w:rPr>
          <w:lang w:val="pl-PL"/>
        </w:rPr>
        <w:t xml:space="preserve"> 9.10.2014 </w:t>
      </w:r>
      <w:r>
        <w:t>г</w:t>
      </w:r>
      <w:r>
        <w:rPr>
          <w:lang w:val="pl-PL"/>
        </w:rPr>
        <w:t>.</w:t>
      </w:r>
    </w:p>
  </w:footnote>
  <w:footnote w:id="16">
    <w:p>
      <w:pPr>
        <w:pStyle w:val="FootnoteText"/>
        <w:rPr>
          <w:lang w:val="pl-PL"/>
        </w:rPr>
      </w:pPr>
      <w:r>
        <w:rPr>
          <w:rStyle w:val="FootnoteReference"/>
        </w:rPr>
        <w:footnoteRef/>
      </w:r>
      <w:r>
        <w:rPr>
          <w:lang w:val="pl-PL"/>
        </w:rPr>
        <w:tab/>
        <w:t>COM(2016) 194 final.</w:t>
      </w:r>
    </w:p>
  </w:footnote>
  <w:footnote w:id="17">
    <w:p>
      <w:pPr>
        <w:pStyle w:val="FootnoteText"/>
        <w:rPr>
          <w:lang w:val="pl-PL"/>
        </w:rPr>
      </w:pPr>
      <w:r>
        <w:rPr>
          <w:rStyle w:val="FootnoteReference"/>
        </w:rPr>
        <w:footnoteRef/>
      </w:r>
      <w:r>
        <w:rPr>
          <w:lang w:val="pl-PL"/>
        </w:rPr>
        <w:tab/>
      </w:r>
      <w:r>
        <w:t>Одобрение</w:t>
      </w:r>
      <w:r>
        <w:rPr>
          <w:lang w:val="pl-PL"/>
        </w:rPr>
        <w:t xml:space="preserve">, </w:t>
      </w:r>
      <w:r>
        <w:t>дадено</w:t>
      </w:r>
      <w:r>
        <w:rPr>
          <w:lang w:val="pl-PL"/>
        </w:rPr>
        <w:t xml:space="preserve"> </w:t>
      </w:r>
      <w:r>
        <w:t>на</w:t>
      </w:r>
      <w:r>
        <w:rPr>
          <w:lang w:val="pl-PL"/>
        </w:rPr>
        <w:t xml:space="preserve"> […] </w:t>
      </w:r>
      <w:r>
        <w:t>г</w:t>
      </w:r>
      <w:r>
        <w:rPr>
          <w:lang w:val="pl-PL"/>
        </w:rPr>
        <w:t>.</w:t>
      </w:r>
    </w:p>
  </w:footnote>
  <w:footnote w:id="18">
    <w:p>
      <w:pPr>
        <w:pStyle w:val="FootnoteText"/>
        <w:rPr>
          <w:lang w:val="pl-PL"/>
        </w:rPr>
      </w:pPr>
      <w:r>
        <w:rPr>
          <w:rStyle w:val="FootnoteReference"/>
        </w:rPr>
        <w:footnoteRef/>
      </w:r>
      <w:r>
        <w:rPr>
          <w:lang w:val="pl-PL"/>
        </w:rPr>
        <w:tab/>
      </w:r>
      <w:r>
        <w:t>Решение</w:t>
      </w:r>
      <w:r>
        <w:rPr>
          <w:lang w:val="pl-PL"/>
        </w:rPr>
        <w:t xml:space="preserve"> 2000/365/</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29 </w:t>
      </w:r>
      <w:r>
        <w:t>май</w:t>
      </w:r>
      <w:r>
        <w:rPr>
          <w:lang w:val="pl-PL"/>
        </w:rPr>
        <w:t xml:space="preserve"> 2000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Обединеното</w:t>
      </w:r>
      <w:r>
        <w:rPr>
          <w:lang w:val="pl-PL"/>
        </w:rPr>
        <w:t xml:space="preserve"> </w:t>
      </w:r>
      <w:r>
        <w:t>кралство</w:t>
      </w:r>
      <w:r>
        <w:rPr>
          <w:lang w:val="pl-PL"/>
        </w:rPr>
        <w:t xml:space="preserve"> </w:t>
      </w:r>
      <w:r>
        <w:t>Великобритания</w:t>
      </w:r>
      <w:r>
        <w:rPr>
          <w:lang w:val="pl-PL"/>
        </w:rPr>
        <w:t xml:space="preserve"> </w:t>
      </w:r>
      <w:r>
        <w:t>и</w:t>
      </w:r>
      <w:r>
        <w:rPr>
          <w:lang w:val="pl-PL"/>
        </w:rPr>
        <w:t xml:space="preserve"> </w:t>
      </w:r>
      <w:r>
        <w:t>Северна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131, 1.6.2000 </w:t>
      </w:r>
      <w:r>
        <w:t>г</w:t>
      </w:r>
      <w:r>
        <w:rPr>
          <w:lang w:val="pl-PL"/>
        </w:rPr>
        <w:t xml:space="preserve">., </w:t>
      </w:r>
      <w:r>
        <w:t>стр</w:t>
      </w:r>
      <w:r>
        <w:rPr>
          <w:lang w:val="pl-PL"/>
        </w:rPr>
        <w:t>. 43).</w:t>
      </w:r>
    </w:p>
  </w:footnote>
  <w:footnote w:id="19">
    <w:p>
      <w:pPr>
        <w:pStyle w:val="FootnoteText"/>
        <w:rPr>
          <w:lang w:val="pl-PL"/>
        </w:rPr>
      </w:pPr>
      <w:r>
        <w:rPr>
          <w:rStyle w:val="FootnoteReference"/>
        </w:rPr>
        <w:footnoteRef/>
      </w:r>
      <w:r>
        <w:rPr>
          <w:lang w:val="pl-PL"/>
        </w:rPr>
        <w:tab/>
      </w:r>
      <w:r>
        <w:t>Решение</w:t>
      </w:r>
      <w:r>
        <w:rPr>
          <w:lang w:val="pl-PL"/>
        </w:rPr>
        <w:t xml:space="preserve"> 2002/192/</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28 </w:t>
      </w:r>
      <w:r>
        <w:t>февруари</w:t>
      </w:r>
      <w:r>
        <w:rPr>
          <w:lang w:val="pl-PL"/>
        </w:rPr>
        <w:t xml:space="preserve"> 2002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64, 7.3.2002 </w:t>
      </w:r>
      <w:r>
        <w:t>г</w:t>
      </w:r>
      <w:r>
        <w:rPr>
          <w:lang w:val="pl-PL"/>
        </w:rPr>
        <w:t xml:space="preserve">., </w:t>
      </w:r>
      <w:r>
        <w:t>стр</w:t>
      </w:r>
      <w:r>
        <w:rPr>
          <w:lang w:val="pl-PL"/>
        </w:rPr>
        <w:t>. 20).</w:t>
      </w:r>
    </w:p>
  </w:footnote>
  <w:footnote w:id="20">
    <w:p>
      <w:pPr>
        <w:pStyle w:val="FootnoteText"/>
        <w:rPr>
          <w:lang w:val="pl-PL"/>
        </w:rPr>
      </w:pPr>
      <w:r>
        <w:rPr>
          <w:rStyle w:val="FootnoteReference"/>
        </w:rPr>
        <w:footnoteRef/>
      </w:r>
      <w:r>
        <w:rPr>
          <w:lang w:val="pl-PL"/>
        </w:rPr>
        <w:tab/>
      </w:r>
      <w:r>
        <w:t>Датата</w:t>
      </w:r>
      <w:r>
        <w:rPr>
          <w:lang w:val="pl-PL"/>
        </w:rPr>
        <w:t xml:space="preserve"> </w:t>
      </w:r>
      <w:r>
        <w:t>на</w:t>
      </w:r>
      <w:r>
        <w:rPr>
          <w:lang w:val="pl-PL"/>
        </w:rPr>
        <w:t xml:space="preserve"> </w:t>
      </w:r>
      <w:r>
        <w:t>влизане</w:t>
      </w:r>
      <w:r>
        <w:rPr>
          <w:lang w:val="pl-PL"/>
        </w:rPr>
        <w:t xml:space="preserve"> </w:t>
      </w:r>
      <w:r>
        <w:t>в</w:t>
      </w:r>
      <w:r>
        <w:rPr>
          <w:lang w:val="pl-PL"/>
        </w:rPr>
        <w:t xml:space="preserve"> </w:t>
      </w:r>
      <w:r>
        <w:t>сила</w:t>
      </w:r>
      <w:r>
        <w:rPr>
          <w:lang w:val="pl-PL"/>
        </w:rPr>
        <w:t xml:space="preserve"> </w:t>
      </w:r>
      <w:r>
        <w:t>на</w:t>
      </w:r>
      <w:r>
        <w:rPr>
          <w:lang w:val="pl-PL"/>
        </w:rPr>
        <w:t xml:space="preserve"> </w:t>
      </w:r>
      <w:r>
        <w:t>споразумението</w:t>
      </w:r>
      <w:r>
        <w:rPr>
          <w:lang w:val="pl-PL"/>
        </w:rPr>
        <w:t xml:space="preserve"> </w:t>
      </w:r>
      <w:r>
        <w:t>ще</w:t>
      </w:r>
      <w:r>
        <w:rPr>
          <w:lang w:val="pl-PL"/>
        </w:rPr>
        <w:t xml:space="preserve"> </w:t>
      </w:r>
      <w:r>
        <w:t>бъде</w:t>
      </w:r>
      <w:r>
        <w:rPr>
          <w:lang w:val="pl-PL"/>
        </w:rPr>
        <w:t xml:space="preserve"> </w:t>
      </w:r>
      <w:r>
        <w:t>публикувана</w:t>
      </w:r>
      <w:r>
        <w:rPr>
          <w:lang w:val="pl-PL"/>
        </w:rPr>
        <w:t xml:space="preserve"> </w:t>
      </w:r>
      <w:r>
        <w:t>в</w:t>
      </w:r>
      <w:r>
        <w:rPr>
          <w:lang w:val="pl-PL"/>
        </w:rPr>
        <w:t xml:space="preserve"> </w:t>
      </w:r>
      <w:r>
        <w:rPr>
          <w:i/>
        </w:rPr>
        <w:t>Официален</w:t>
      </w:r>
      <w:r>
        <w:rPr>
          <w:i/>
          <w:lang w:val="pl-PL"/>
        </w:rPr>
        <w:t xml:space="preserve"> </w:t>
      </w:r>
      <w:r>
        <w:rPr>
          <w:i/>
        </w:rPr>
        <w:t>вестник</w:t>
      </w:r>
      <w:r>
        <w:rPr>
          <w:i/>
          <w:lang w:val="pl-PL"/>
        </w:rPr>
        <w:t xml:space="preserve"> </w:t>
      </w:r>
      <w:r>
        <w:rPr>
          <w:i/>
        </w:rPr>
        <w:t>на</w:t>
      </w:r>
      <w:r>
        <w:rPr>
          <w:i/>
          <w:lang w:val="pl-PL"/>
        </w:rPr>
        <w:t xml:space="preserve"> </w:t>
      </w:r>
      <w:r>
        <w:rPr>
          <w:i/>
        </w:rPr>
        <w:t>Европейския</w:t>
      </w:r>
      <w:r>
        <w:rPr>
          <w:i/>
          <w:lang w:val="pl-PL"/>
        </w:rPr>
        <w:t xml:space="preserve"> </w:t>
      </w:r>
      <w:r>
        <w:rPr>
          <w:i/>
        </w:rPr>
        <w:t>съюз</w:t>
      </w:r>
      <w:r>
        <w:rPr>
          <w:lang w:val="pl-PL"/>
        </w:rPr>
        <w:t xml:space="preserve"> </w:t>
      </w:r>
      <w:r>
        <w:t>от</w:t>
      </w:r>
      <w:r>
        <w:rPr>
          <w:lang w:val="pl-PL"/>
        </w:rPr>
        <w:t xml:space="preserve"> </w:t>
      </w:r>
      <w:r>
        <w:t>Генералния</w:t>
      </w:r>
      <w:r>
        <w:rPr>
          <w:lang w:val="pl-PL"/>
        </w:rPr>
        <w:t xml:space="preserve"> </w:t>
      </w:r>
      <w:r>
        <w:t>секретариат</w:t>
      </w:r>
      <w:r>
        <w:rPr>
          <w:lang w:val="pl-PL"/>
        </w:rPr>
        <w:t xml:space="preserve"> </w:t>
      </w:r>
      <w:r>
        <w:t>на</w:t>
      </w:r>
      <w:r>
        <w:rPr>
          <w:lang w:val="pl-PL"/>
        </w:rPr>
        <w:t xml:space="preserve"> </w:t>
      </w:r>
      <w:r>
        <w:t>Съвета</w:t>
      </w:r>
      <w:r>
        <w:rPr>
          <w:lang w:val="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AA12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1C00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3E4F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8CA9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0208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2C73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CCB2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C242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7:22: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56FD2D6-310E-481F-B3FC-14D9D3103E06"/>
    <w:docVar w:name="LW_COVERPAGE_TYPE" w:val="1"/>
    <w:docVar w:name="LW_CROSSREFERENCE" w:val="&lt;UNUSED&gt;"/>
    <w:docVar w:name="LW_DocType" w:val="COM"/>
    <w:docVar w:name="LW_EMISSION" w:val="11.4.2018"/>
    <w:docVar w:name="LW_EMISSION_ISODATE" w:val="2018-04-11"/>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4"/>
    <w:docVar w:name="LW_REF.II.NEW.CP_YEAR" w:val="2018"/>
    <w:docVar w:name="LW_REF.INST.NEW" w:val="COM"/>
    <w:docVar w:name="LW_REF.INST.NEW_ADOPTED" w:val="final"/>
    <w:docVar w:name="LW_REF.INST.NEW_TEXT" w:val="(2018)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u1090?\u1086?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86?\u1073?\u1080?\u1082?\u1085?\u1086?\u1074?\u1077?\u1085?\u1080? \u1087?\u1072?\u1089?\u1087?\u1086?\u1088?\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0A92-606E-4F96-8BA7-D4CA7255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1820</Words>
  <Characters>11088</Characters>
  <Application>Microsoft Office Word</Application>
  <DocSecurity>0</DocSecurity>
  <Lines>209</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2018-03-27T12:36:00Z</dcterms:created>
  <dcterms:modified xsi:type="dcterms:W3CDTF">2018-04-04T15:22:00Z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