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12BCAB7-31C8-4731-82B5-85048A64DF12" style="width:450.8pt;height:424.8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0"/>
        </w:rPr>
      </w:pPr>
      <w:bookmarkStart w:id="0" w:name="_GoBack"/>
      <w:bookmarkEnd w:id="0"/>
      <w:r>
        <w:rPr>
          <w:noProof/>
        </w:rPr>
        <w:lastRenderedPageBreak/>
        <w:t xml:space="preserve">ANNEXE </w:t>
      </w:r>
    </w:p>
    <w:p>
      <w:pPr>
        <w:widowControl w:val="0"/>
        <w:spacing w:before="0" w:after="0" w:line="360" w:lineRule="auto"/>
        <w:jc w:val="center"/>
        <w:rPr>
          <w:rFonts w:eastAsia="Times New Roman"/>
          <w:noProof/>
          <w:szCs w:val="20"/>
        </w:rPr>
      </w:pPr>
      <w:r>
        <w:rPr>
          <w:noProof/>
        </w:rPr>
        <w:t>PROTOCOLE</w:t>
      </w:r>
      <w:r>
        <w:rPr>
          <w:noProof/>
        </w:rPr>
        <w:br/>
        <w:t xml:space="preserve">À L’ACCORD EURO-MÉDITERRANÉEN </w:t>
      </w:r>
    </w:p>
    <w:p>
      <w:pPr>
        <w:widowControl w:val="0"/>
        <w:spacing w:before="0" w:after="0" w:line="360" w:lineRule="auto"/>
        <w:jc w:val="center"/>
        <w:rPr>
          <w:rFonts w:eastAsia="Times New Roman"/>
          <w:noProof/>
          <w:szCs w:val="20"/>
        </w:rPr>
      </w:pPr>
      <w:r>
        <w:rPr>
          <w:noProof/>
        </w:rPr>
        <w:t xml:space="preserve">ÉTABLISSANT UNE ASSOCIATION ENTRE LES COMMUNAUTÉS EUROPÉENNES ET LEURS ÉTATS MEMBRES, D’UNE PART, ET L’ÉTAT D’ISRAËL, D’AUTRE PART, </w:t>
      </w:r>
    </w:p>
    <w:p>
      <w:pPr>
        <w:widowControl w:val="0"/>
        <w:spacing w:before="0" w:after="0" w:line="360" w:lineRule="auto"/>
        <w:jc w:val="center"/>
        <w:rPr>
          <w:rFonts w:eastAsia="Times New Roman"/>
          <w:noProof/>
          <w:szCs w:val="20"/>
        </w:rPr>
      </w:pPr>
      <w:r>
        <w:rPr>
          <w:noProof/>
        </w:rPr>
        <w:t>AFIN DE TENIR COMPTE DE L’ADHÉSION</w:t>
      </w:r>
    </w:p>
    <w:p>
      <w:pPr>
        <w:widowControl w:val="0"/>
        <w:spacing w:before="0" w:after="0" w:line="360" w:lineRule="auto"/>
        <w:jc w:val="center"/>
        <w:rPr>
          <w:rFonts w:eastAsia="Times New Roman"/>
          <w:noProof/>
          <w:szCs w:val="20"/>
        </w:rPr>
      </w:pPr>
      <w:r>
        <w:rPr>
          <w:noProof/>
        </w:rPr>
        <w:t>DE LA RÉPUBLIQUE DE CROATIE À L’UNION EUROPÉENNE</w:t>
      </w:r>
    </w:p>
    <w:p>
      <w:pPr>
        <w:widowControl w:val="0"/>
        <w:spacing w:before="0" w:after="0" w:line="360" w:lineRule="auto"/>
        <w:jc w:val="center"/>
        <w:rPr>
          <w:rFonts w:eastAsia="Times New Roman"/>
          <w:noProof/>
          <w:szCs w:val="20"/>
        </w:rPr>
        <w:sectPr>
          <w:footerReference w:type="default" r:id="rId15"/>
          <w:footerReference w:type="first" r:id="rId16"/>
          <w:footnotePr>
            <w:numRestart w:val="eachPage"/>
          </w:footnotePr>
          <w:pgSz w:w="11907" w:h="16839" w:code="9"/>
          <w:pgMar w:top="1134" w:right="1134" w:bottom="1134" w:left="1134" w:header="1134" w:footer="1134" w:gutter="0"/>
          <w:cols w:space="720"/>
          <w:vAlign w:val="center"/>
          <w:docGrid w:linePitch="360"/>
        </w:sectPr>
      </w:pPr>
    </w:p>
    <w:p>
      <w:pPr>
        <w:widowControl w:val="0"/>
        <w:spacing w:before="0" w:after="0" w:line="360" w:lineRule="auto"/>
        <w:jc w:val="left"/>
        <w:rPr>
          <w:rFonts w:eastAsia="Times New Roman"/>
          <w:noProof/>
          <w:szCs w:val="20"/>
        </w:rPr>
      </w:pPr>
      <w:r>
        <w:rPr>
          <w:noProof/>
        </w:rPr>
        <w:t>LE ROYAUME DE BELGIQUE,</w:t>
      </w:r>
    </w:p>
    <w:p>
      <w:pPr>
        <w:widowControl w:val="0"/>
        <w:spacing w:before="0" w:after="0" w:line="360" w:lineRule="auto"/>
        <w:jc w:val="left"/>
        <w:rPr>
          <w:rFonts w:eastAsia="Times New Roman"/>
          <w:noProof/>
          <w:szCs w:val="20"/>
        </w:rPr>
      </w:pPr>
      <w:r>
        <w:rPr>
          <w:noProof/>
        </w:rPr>
        <w:t>LA RÉPUBLIQUE DE BULGARIE,</w:t>
      </w:r>
    </w:p>
    <w:p>
      <w:pPr>
        <w:widowControl w:val="0"/>
        <w:spacing w:before="0" w:after="0" w:line="360" w:lineRule="auto"/>
        <w:jc w:val="left"/>
        <w:rPr>
          <w:rFonts w:eastAsia="Times New Roman"/>
          <w:noProof/>
          <w:szCs w:val="20"/>
        </w:rPr>
      </w:pPr>
      <w:r>
        <w:rPr>
          <w:noProof/>
        </w:rPr>
        <w:t>LA RÉPUBLIQUE TCHÈQUE,</w:t>
      </w:r>
    </w:p>
    <w:p>
      <w:pPr>
        <w:widowControl w:val="0"/>
        <w:spacing w:before="0" w:after="0" w:line="360" w:lineRule="auto"/>
        <w:jc w:val="left"/>
        <w:rPr>
          <w:rFonts w:eastAsia="Times New Roman"/>
          <w:noProof/>
          <w:szCs w:val="20"/>
        </w:rPr>
      </w:pPr>
      <w:r>
        <w:rPr>
          <w:noProof/>
        </w:rPr>
        <w:t>LE ROYAUME DE DANEMARK,</w:t>
      </w:r>
    </w:p>
    <w:p>
      <w:pPr>
        <w:widowControl w:val="0"/>
        <w:spacing w:before="0" w:after="0" w:line="360" w:lineRule="auto"/>
        <w:jc w:val="left"/>
        <w:rPr>
          <w:rFonts w:eastAsia="Times New Roman"/>
          <w:noProof/>
          <w:szCs w:val="20"/>
        </w:rPr>
      </w:pPr>
      <w:r>
        <w:rPr>
          <w:noProof/>
        </w:rPr>
        <w:t>LA RÉPUBLIQUE FÉDÉRALE D’ALLEMAGNE,</w:t>
      </w:r>
    </w:p>
    <w:p>
      <w:pPr>
        <w:widowControl w:val="0"/>
        <w:spacing w:before="0" w:after="0" w:line="360" w:lineRule="auto"/>
        <w:jc w:val="left"/>
        <w:rPr>
          <w:rFonts w:eastAsia="Times New Roman"/>
          <w:noProof/>
          <w:szCs w:val="20"/>
        </w:rPr>
      </w:pPr>
      <w:r>
        <w:rPr>
          <w:noProof/>
        </w:rPr>
        <w:t>LA RÉPUBLIQUE D’ESTONIE,</w:t>
      </w:r>
    </w:p>
    <w:p>
      <w:pPr>
        <w:widowControl w:val="0"/>
        <w:spacing w:before="0" w:after="0" w:line="360" w:lineRule="auto"/>
        <w:jc w:val="left"/>
        <w:rPr>
          <w:rFonts w:eastAsia="Times New Roman"/>
          <w:noProof/>
          <w:szCs w:val="20"/>
        </w:rPr>
      </w:pPr>
      <w:r>
        <w:rPr>
          <w:noProof/>
        </w:rPr>
        <w:t>L’IRLANDE,</w:t>
      </w:r>
    </w:p>
    <w:p>
      <w:pPr>
        <w:widowControl w:val="0"/>
        <w:spacing w:before="0" w:after="0" w:line="360" w:lineRule="auto"/>
        <w:jc w:val="left"/>
        <w:rPr>
          <w:rFonts w:eastAsia="Times New Roman"/>
          <w:noProof/>
          <w:szCs w:val="20"/>
        </w:rPr>
      </w:pPr>
      <w:r>
        <w:rPr>
          <w:noProof/>
        </w:rPr>
        <w:t>LA RÉPUBLIQUE HELLÉNIQUE,</w:t>
      </w:r>
    </w:p>
    <w:p>
      <w:pPr>
        <w:widowControl w:val="0"/>
        <w:spacing w:before="0" w:after="0" w:line="360" w:lineRule="auto"/>
        <w:jc w:val="left"/>
        <w:rPr>
          <w:rFonts w:eastAsia="Times New Roman"/>
          <w:noProof/>
          <w:szCs w:val="20"/>
        </w:rPr>
      </w:pPr>
      <w:r>
        <w:rPr>
          <w:noProof/>
        </w:rPr>
        <w:t>LE ROYAUME D’ESPAGNE,</w:t>
      </w:r>
    </w:p>
    <w:p>
      <w:pPr>
        <w:widowControl w:val="0"/>
        <w:spacing w:before="0" w:after="0" w:line="360" w:lineRule="auto"/>
        <w:jc w:val="left"/>
        <w:rPr>
          <w:rFonts w:eastAsia="Times New Roman"/>
          <w:noProof/>
          <w:szCs w:val="20"/>
        </w:rPr>
      </w:pPr>
      <w:r>
        <w:rPr>
          <w:noProof/>
        </w:rPr>
        <w:t>LA RÉPUBLIQUE FRANÇAISE,</w:t>
      </w:r>
    </w:p>
    <w:p>
      <w:pPr>
        <w:widowControl w:val="0"/>
        <w:spacing w:before="0" w:after="0" w:line="360" w:lineRule="auto"/>
        <w:jc w:val="left"/>
        <w:rPr>
          <w:rFonts w:eastAsia="Times New Roman"/>
          <w:noProof/>
          <w:szCs w:val="20"/>
        </w:rPr>
      </w:pPr>
      <w:r>
        <w:rPr>
          <w:noProof/>
        </w:rPr>
        <w:t>LA RÉPUBLIQUE DE CROATIE,</w:t>
      </w:r>
    </w:p>
    <w:p>
      <w:pPr>
        <w:widowControl w:val="0"/>
        <w:spacing w:before="0" w:after="0" w:line="360" w:lineRule="auto"/>
        <w:jc w:val="left"/>
        <w:rPr>
          <w:rFonts w:eastAsia="Times New Roman"/>
          <w:noProof/>
          <w:szCs w:val="20"/>
        </w:rPr>
      </w:pPr>
      <w:r>
        <w:rPr>
          <w:noProof/>
        </w:rPr>
        <w:t>LA RÉPUBLIQUE ITALIENNE,</w:t>
      </w:r>
    </w:p>
    <w:p>
      <w:pPr>
        <w:widowControl w:val="0"/>
        <w:spacing w:before="0" w:after="0" w:line="360" w:lineRule="auto"/>
        <w:jc w:val="left"/>
        <w:rPr>
          <w:rFonts w:eastAsia="Times New Roman"/>
          <w:noProof/>
          <w:szCs w:val="20"/>
        </w:rPr>
      </w:pPr>
      <w:r>
        <w:rPr>
          <w:noProof/>
        </w:rPr>
        <w:t>LA RÉPUBLIQUE DE CHYPRE,</w:t>
      </w:r>
    </w:p>
    <w:p>
      <w:pPr>
        <w:widowControl w:val="0"/>
        <w:spacing w:before="0" w:after="0" w:line="360" w:lineRule="auto"/>
        <w:jc w:val="left"/>
        <w:rPr>
          <w:rFonts w:eastAsia="Times New Roman"/>
          <w:noProof/>
          <w:szCs w:val="20"/>
        </w:rPr>
      </w:pPr>
      <w:r>
        <w:rPr>
          <w:noProof/>
        </w:rPr>
        <w:t>LA RÉPUBLIQUE DE LETTONIE,</w:t>
      </w:r>
    </w:p>
    <w:p>
      <w:pPr>
        <w:widowControl w:val="0"/>
        <w:spacing w:before="0" w:after="0" w:line="360" w:lineRule="auto"/>
        <w:jc w:val="left"/>
        <w:rPr>
          <w:rFonts w:eastAsia="Times New Roman"/>
          <w:noProof/>
          <w:szCs w:val="20"/>
        </w:rPr>
      </w:pPr>
      <w:r>
        <w:rPr>
          <w:noProof/>
        </w:rPr>
        <w:t>LA RÉPUBLIQUE DE LITUANIE,</w:t>
      </w:r>
    </w:p>
    <w:p>
      <w:pPr>
        <w:widowControl w:val="0"/>
        <w:spacing w:before="0" w:after="0" w:line="360" w:lineRule="auto"/>
        <w:jc w:val="left"/>
        <w:rPr>
          <w:rFonts w:eastAsia="Times New Roman"/>
          <w:noProof/>
          <w:szCs w:val="20"/>
        </w:rPr>
      </w:pPr>
      <w:r>
        <w:rPr>
          <w:noProof/>
        </w:rPr>
        <w:t>LE GRAND-DUCHÉ DE LUXEMBOURG,</w:t>
      </w:r>
    </w:p>
    <w:p>
      <w:pPr>
        <w:widowControl w:val="0"/>
        <w:spacing w:before="0" w:after="0" w:line="360" w:lineRule="auto"/>
        <w:jc w:val="left"/>
        <w:rPr>
          <w:rFonts w:eastAsia="Times New Roman"/>
          <w:noProof/>
          <w:szCs w:val="20"/>
        </w:rPr>
      </w:pPr>
      <w:r>
        <w:rPr>
          <w:noProof/>
        </w:rPr>
        <w:t>LA HONGRIE,</w:t>
      </w:r>
    </w:p>
    <w:p>
      <w:pPr>
        <w:widowControl w:val="0"/>
        <w:spacing w:before="0" w:after="0" w:line="360" w:lineRule="auto"/>
        <w:jc w:val="left"/>
        <w:rPr>
          <w:rFonts w:eastAsia="Times New Roman"/>
          <w:noProof/>
          <w:szCs w:val="20"/>
        </w:rPr>
      </w:pPr>
      <w:r>
        <w:rPr>
          <w:noProof/>
        </w:rPr>
        <w:t>LA RÉPUBLIQUE DE MALTE,</w:t>
      </w:r>
    </w:p>
    <w:p>
      <w:pPr>
        <w:widowControl w:val="0"/>
        <w:spacing w:before="0" w:after="0" w:line="360" w:lineRule="auto"/>
        <w:jc w:val="left"/>
        <w:rPr>
          <w:rFonts w:eastAsia="Times New Roman"/>
          <w:noProof/>
          <w:szCs w:val="20"/>
        </w:rPr>
      </w:pPr>
      <w:r>
        <w:rPr>
          <w:noProof/>
        </w:rPr>
        <w:t>LE ROYAUME DES PAYS-BAS,</w:t>
      </w:r>
    </w:p>
    <w:p>
      <w:pPr>
        <w:widowControl w:val="0"/>
        <w:spacing w:before="0" w:after="0" w:line="360" w:lineRule="auto"/>
        <w:jc w:val="left"/>
        <w:rPr>
          <w:rFonts w:eastAsia="Times New Roman"/>
          <w:noProof/>
          <w:szCs w:val="20"/>
        </w:rPr>
      </w:pPr>
      <w:r>
        <w:rPr>
          <w:noProof/>
        </w:rPr>
        <w:t>LA RÉPUBLIQUE D’AUTRICHE,</w:t>
      </w:r>
    </w:p>
    <w:p>
      <w:pPr>
        <w:widowControl w:val="0"/>
        <w:spacing w:before="0" w:after="0" w:line="360" w:lineRule="auto"/>
        <w:jc w:val="left"/>
        <w:rPr>
          <w:rFonts w:eastAsia="Times New Roman"/>
          <w:noProof/>
          <w:szCs w:val="20"/>
        </w:rPr>
      </w:pPr>
      <w:r>
        <w:rPr>
          <w:noProof/>
        </w:rPr>
        <w:t>LA RÉPUBLIQUE DE POLOGNE,</w:t>
      </w:r>
    </w:p>
    <w:p>
      <w:pPr>
        <w:widowControl w:val="0"/>
        <w:spacing w:before="0" w:after="0" w:line="360" w:lineRule="auto"/>
        <w:jc w:val="left"/>
        <w:rPr>
          <w:rFonts w:eastAsia="Times New Roman"/>
          <w:noProof/>
          <w:szCs w:val="20"/>
        </w:rPr>
      </w:pPr>
      <w:r>
        <w:rPr>
          <w:noProof/>
        </w:rPr>
        <w:t>LA RÉPUBLIQUE PORTUGAISE,</w:t>
      </w:r>
    </w:p>
    <w:p>
      <w:pPr>
        <w:widowControl w:val="0"/>
        <w:spacing w:before="0" w:after="0" w:line="360" w:lineRule="auto"/>
        <w:jc w:val="left"/>
        <w:rPr>
          <w:rFonts w:eastAsia="Times New Roman"/>
          <w:noProof/>
          <w:szCs w:val="20"/>
        </w:rPr>
      </w:pPr>
      <w:r>
        <w:rPr>
          <w:noProof/>
        </w:rPr>
        <w:t>LA ROUMANIE,</w:t>
      </w:r>
    </w:p>
    <w:p>
      <w:pPr>
        <w:widowControl w:val="0"/>
        <w:spacing w:before="0" w:after="0" w:line="360" w:lineRule="auto"/>
        <w:jc w:val="left"/>
        <w:rPr>
          <w:rFonts w:eastAsia="Times New Roman"/>
          <w:noProof/>
          <w:szCs w:val="20"/>
        </w:rPr>
      </w:pPr>
      <w:r>
        <w:rPr>
          <w:noProof/>
        </w:rPr>
        <w:t>LA RÉPUBLIQUE DE SLOVÉNIE,</w:t>
      </w:r>
    </w:p>
    <w:p>
      <w:pPr>
        <w:widowControl w:val="0"/>
        <w:spacing w:before="0" w:after="0" w:line="360" w:lineRule="auto"/>
        <w:jc w:val="left"/>
        <w:rPr>
          <w:rFonts w:eastAsia="Times New Roman"/>
          <w:noProof/>
          <w:szCs w:val="20"/>
        </w:rPr>
      </w:pPr>
      <w:r>
        <w:rPr>
          <w:noProof/>
        </w:rPr>
        <w:t>LA RÉPUBLIQUE SLOVAQUE,</w:t>
      </w:r>
    </w:p>
    <w:p>
      <w:pPr>
        <w:widowControl w:val="0"/>
        <w:spacing w:before="0" w:after="0" w:line="360" w:lineRule="auto"/>
        <w:jc w:val="left"/>
        <w:rPr>
          <w:rFonts w:eastAsia="Times New Roman"/>
          <w:noProof/>
          <w:szCs w:val="20"/>
        </w:rPr>
      </w:pPr>
      <w:r>
        <w:rPr>
          <w:noProof/>
        </w:rPr>
        <w:t>LA RÉPUBLIQUE DE FINLANDE,</w:t>
      </w:r>
    </w:p>
    <w:p>
      <w:pPr>
        <w:widowControl w:val="0"/>
        <w:spacing w:before="0" w:after="0" w:line="360" w:lineRule="auto"/>
        <w:jc w:val="left"/>
        <w:rPr>
          <w:rFonts w:eastAsia="Times New Roman"/>
          <w:noProof/>
          <w:szCs w:val="20"/>
        </w:rPr>
      </w:pPr>
      <w:r>
        <w:rPr>
          <w:noProof/>
        </w:rPr>
        <w:t>LE ROYAUME DE SUÈDE,</w:t>
      </w:r>
    </w:p>
    <w:p>
      <w:pPr>
        <w:widowControl w:val="0"/>
        <w:spacing w:before="0" w:after="0" w:line="360" w:lineRule="auto"/>
        <w:jc w:val="left"/>
        <w:rPr>
          <w:rFonts w:eastAsia="Times New Roman"/>
          <w:noProof/>
          <w:szCs w:val="20"/>
        </w:rPr>
      </w:pPr>
      <w:r>
        <w:rPr>
          <w:noProof/>
        </w:rPr>
        <w:t>LE ROYAUME-UNI DE GRANDE-BRETAGNE ET D’IRLANDE DU NORD,</w:t>
      </w:r>
    </w:p>
    <w:p>
      <w:pPr>
        <w:widowControl w:val="0"/>
        <w:spacing w:before="0" w:after="0" w:line="360" w:lineRule="auto"/>
        <w:jc w:val="left"/>
        <w:rPr>
          <w:rFonts w:eastAsia="Times New Roman"/>
          <w:noProof/>
          <w:szCs w:val="20"/>
        </w:rPr>
      </w:pPr>
      <w:r>
        <w:rPr>
          <w:noProof/>
        </w:rPr>
        <w:t xml:space="preserve">parties contractantes au traité sur l’Union européenne et au traité sur le fonctionnement de l’Union européenne, ci-après dénommées les «États membres», représentées par le Conseil de l’Union européenne, </w:t>
      </w:r>
    </w:p>
    <w:p>
      <w:pPr>
        <w:widowControl w:val="0"/>
        <w:spacing w:before="0" w:after="0" w:line="360" w:lineRule="auto"/>
        <w:jc w:val="left"/>
        <w:rPr>
          <w:rFonts w:eastAsia="Times New Roman"/>
          <w:noProof/>
          <w:szCs w:val="20"/>
        </w:rPr>
      </w:pPr>
      <w:r>
        <w:rPr>
          <w:noProof/>
        </w:rPr>
        <w:t>et L’UNION EUROPÉENNE, ci-après dénommée l’«Union»,</w:t>
      </w:r>
    </w:p>
    <w:p>
      <w:pPr>
        <w:widowControl w:val="0"/>
        <w:spacing w:before="0" w:after="0" w:line="360" w:lineRule="auto"/>
        <w:jc w:val="left"/>
        <w:rPr>
          <w:rFonts w:eastAsia="Times New Roman"/>
          <w:noProof/>
          <w:szCs w:val="20"/>
        </w:rPr>
      </w:pPr>
      <w:r>
        <w:rPr>
          <w:noProof/>
        </w:rPr>
        <w:t>d’une part,</w:t>
      </w:r>
    </w:p>
    <w:p>
      <w:pPr>
        <w:widowControl w:val="0"/>
        <w:tabs>
          <w:tab w:val="left" w:pos="5103"/>
        </w:tabs>
        <w:spacing w:before="0" w:after="0" w:line="360" w:lineRule="auto"/>
        <w:jc w:val="left"/>
        <w:rPr>
          <w:rFonts w:eastAsia="Times New Roman"/>
          <w:noProof/>
          <w:szCs w:val="20"/>
        </w:rPr>
      </w:pPr>
      <w:r>
        <w:rPr>
          <w:noProof/>
        </w:rPr>
        <w:t>et</w:t>
      </w:r>
    </w:p>
    <w:p>
      <w:pPr>
        <w:widowControl w:val="0"/>
        <w:spacing w:before="0" w:after="0" w:line="360" w:lineRule="auto"/>
        <w:jc w:val="left"/>
        <w:rPr>
          <w:rFonts w:eastAsia="Times New Roman"/>
          <w:noProof/>
          <w:szCs w:val="20"/>
        </w:rPr>
      </w:pPr>
      <w:r>
        <w:rPr>
          <w:noProof/>
        </w:rPr>
        <w:t>L’ÉTAT D’ISRAËL (ci-après dénommé «Israël»),</w:t>
      </w:r>
    </w:p>
    <w:p>
      <w:pPr>
        <w:widowControl w:val="0"/>
        <w:tabs>
          <w:tab w:val="left" w:pos="5103"/>
        </w:tabs>
        <w:spacing w:before="0" w:after="0" w:line="360" w:lineRule="auto"/>
        <w:jc w:val="left"/>
        <w:rPr>
          <w:rFonts w:eastAsia="Times New Roman"/>
          <w:noProof/>
          <w:szCs w:val="20"/>
        </w:rPr>
      </w:pPr>
      <w:r>
        <w:rPr>
          <w:noProof/>
        </w:rPr>
        <w:t>d’autre part,</w:t>
      </w:r>
    </w:p>
    <w:p>
      <w:pPr>
        <w:widowControl w:val="0"/>
        <w:tabs>
          <w:tab w:val="left" w:pos="5103"/>
        </w:tabs>
        <w:spacing w:before="0" w:after="0" w:line="360" w:lineRule="auto"/>
        <w:jc w:val="left"/>
        <w:rPr>
          <w:rFonts w:eastAsia="Times New Roman"/>
          <w:noProof/>
          <w:szCs w:val="20"/>
        </w:rPr>
      </w:pPr>
      <w:r>
        <w:rPr>
          <w:noProof/>
        </w:rPr>
        <w:t>ci-après dénommés conjointement les «parties contractantes» aux fins du présent protocole,</w:t>
      </w:r>
    </w:p>
    <w:p>
      <w:pPr>
        <w:widowControl w:val="0"/>
        <w:spacing w:before="0" w:after="0" w:line="360" w:lineRule="auto"/>
        <w:jc w:val="left"/>
        <w:rPr>
          <w:rFonts w:eastAsia="Times New Roman"/>
          <w:noProof/>
          <w:szCs w:val="20"/>
        </w:rPr>
      </w:pPr>
      <w:r>
        <w:rPr>
          <w:noProof/>
        </w:rPr>
        <w:t>CONSIDÉRANT que l’accord euro-méditerranéen établissant une association entre les Communautés européennes et ses États membres, d’une part, et l’État d’Israël, d’autre part, ci-après dénommé l’«accord», a été signé à Bruxelles le 20 novembre 1995 et est entré en vigueur le 1</w:t>
      </w:r>
      <w:r>
        <w:rPr>
          <w:noProof/>
          <w:vertAlign w:val="superscript"/>
        </w:rPr>
        <w:t>er</w:t>
      </w:r>
      <w:r>
        <w:rPr>
          <w:noProof/>
        </w:rPr>
        <w:t> juin 2000;</w:t>
      </w:r>
    </w:p>
    <w:p>
      <w:pPr>
        <w:widowControl w:val="0"/>
        <w:spacing w:before="0" w:after="0" w:line="360" w:lineRule="auto"/>
        <w:jc w:val="left"/>
        <w:rPr>
          <w:rFonts w:eastAsia="Times New Roman"/>
          <w:noProof/>
          <w:szCs w:val="20"/>
        </w:rPr>
      </w:pPr>
      <w:r>
        <w:rPr>
          <w:noProof/>
        </w:rPr>
        <w:t>CONSIDÉRANT que le traité relatif à l’adhésion de la République de Croatie à l’Union européenne a été signé à Bruxelles le 9 décembre 2011 et est entré en vigueur le 1</w:t>
      </w:r>
      <w:r>
        <w:rPr>
          <w:noProof/>
          <w:vertAlign w:val="superscript"/>
        </w:rPr>
        <w:t>er</w:t>
      </w:r>
      <w:r>
        <w:rPr>
          <w:noProof/>
        </w:rPr>
        <w:t> juillet 2013;</w:t>
      </w:r>
    </w:p>
    <w:p>
      <w:pPr>
        <w:widowControl w:val="0"/>
        <w:spacing w:before="0" w:after="0" w:line="360" w:lineRule="auto"/>
        <w:jc w:val="left"/>
        <w:rPr>
          <w:rFonts w:eastAsia="Times New Roman"/>
          <w:noProof/>
          <w:szCs w:val="20"/>
        </w:rPr>
      </w:pPr>
      <w:r>
        <w:rPr>
          <w:noProof/>
        </w:rPr>
        <w:t>CONSIDÉRANT que, conformément à l’article 6, paragraphe 2, de l’acte d’adhésion de la République de Croatie, l’adhésion de cette dernière à l’accord doit être approuvée par la conclusion d’un protocole à cet accord,</w:t>
      </w:r>
    </w:p>
    <w:p>
      <w:pPr>
        <w:widowControl w:val="0"/>
        <w:spacing w:before="0" w:after="0" w:line="360" w:lineRule="auto"/>
        <w:jc w:val="left"/>
        <w:rPr>
          <w:rFonts w:eastAsia="Times New Roman"/>
          <w:noProof/>
          <w:szCs w:val="20"/>
        </w:rPr>
      </w:pPr>
      <w:r>
        <w:rPr>
          <w:noProof/>
        </w:rPr>
        <w:t>CONSIDÉRANT que les consultations prévues à l’article 21, paragraphe 2, de l’accord euro-méditerranéen ont eu lieu pour faire en sorte qu’il soit tenu compte des intérêts mutuels de l’Union et d’Israël,</w:t>
      </w:r>
    </w:p>
    <w:p>
      <w:pPr>
        <w:widowControl w:val="0"/>
        <w:spacing w:before="0" w:after="0" w:line="360" w:lineRule="auto"/>
        <w:jc w:val="left"/>
        <w:rPr>
          <w:rFonts w:eastAsia="Times New Roman"/>
          <w:noProof/>
          <w:szCs w:val="20"/>
        </w:rPr>
      </w:pPr>
      <w:r>
        <w:rPr>
          <w:noProof/>
        </w:rPr>
        <w:t>SONT CONVENUS DES DISPOSITIONS SUIVANTES:</w:t>
      </w:r>
    </w:p>
    <w:p>
      <w:pPr>
        <w:widowControl w:val="0"/>
        <w:spacing w:before="0" w:after="0" w:line="360" w:lineRule="auto"/>
        <w:jc w:val="center"/>
        <w:rPr>
          <w:rFonts w:eastAsia="Times New Roman"/>
          <w:noProof/>
          <w:szCs w:val="20"/>
        </w:rPr>
      </w:pPr>
      <w:r>
        <w:rPr>
          <w:noProof/>
        </w:rPr>
        <w:br w:type="page"/>
        <w:t>ARTICLE PREMIER</w:t>
      </w:r>
    </w:p>
    <w:p>
      <w:pPr>
        <w:widowControl w:val="0"/>
        <w:spacing w:before="0" w:after="0" w:line="360" w:lineRule="auto"/>
        <w:jc w:val="left"/>
        <w:rPr>
          <w:rFonts w:eastAsia="Times New Roman"/>
          <w:noProof/>
          <w:szCs w:val="20"/>
        </w:rPr>
      </w:pPr>
      <w:r>
        <w:rPr>
          <w:noProof/>
        </w:rPr>
        <w:t>La République de Croatie adhère, en qualité de partie, à l’accord euro-méditerranéen établissant une association entre les Communautés européennes et leurs États membres, d’une part, et l’État d’Israël, d’autre part, et, au même titre que les autres États membres de l’Union européenne, adopte les textes de l’accord ainsi que des déclarations communes, déclarations unilatérales et échanges de lettres ou en prend acte.</w:t>
      </w:r>
    </w:p>
    <w:p>
      <w:pPr>
        <w:widowControl w:val="0"/>
        <w:spacing w:before="0" w:after="0" w:line="360" w:lineRule="auto"/>
        <w:jc w:val="center"/>
        <w:rPr>
          <w:rFonts w:eastAsia="Times New Roman"/>
          <w:i/>
          <w:noProof/>
          <w:szCs w:val="20"/>
        </w:rPr>
      </w:pPr>
      <w:r>
        <w:rPr>
          <w:noProof/>
        </w:rPr>
        <w:t>CHAPITRE I</w:t>
      </w:r>
    </w:p>
    <w:p>
      <w:pPr>
        <w:widowControl w:val="0"/>
        <w:spacing w:before="0" w:after="0" w:line="360" w:lineRule="auto"/>
        <w:jc w:val="center"/>
        <w:rPr>
          <w:rFonts w:eastAsia="Times New Roman"/>
          <w:b/>
          <w:noProof/>
          <w:szCs w:val="20"/>
        </w:rPr>
      </w:pPr>
      <w:r>
        <w:rPr>
          <w:b/>
          <w:noProof/>
        </w:rPr>
        <w:t>Modifications apportées au texte de l’accord euro-méditerranéen, y compris ses annexes et protocoles</w:t>
      </w:r>
    </w:p>
    <w:p>
      <w:pPr>
        <w:widowControl w:val="0"/>
        <w:spacing w:before="0" w:after="0" w:line="360" w:lineRule="auto"/>
        <w:jc w:val="center"/>
        <w:rPr>
          <w:rFonts w:eastAsia="Times New Roman"/>
          <w:noProof/>
          <w:szCs w:val="20"/>
        </w:rPr>
      </w:pPr>
      <w:r>
        <w:rPr>
          <w:noProof/>
        </w:rPr>
        <w:t xml:space="preserve">ARTICLE 2 </w:t>
      </w:r>
    </w:p>
    <w:p>
      <w:pPr>
        <w:widowControl w:val="0"/>
        <w:spacing w:before="0" w:after="0" w:line="360" w:lineRule="auto"/>
        <w:jc w:val="center"/>
        <w:rPr>
          <w:rFonts w:eastAsia="Times New Roman"/>
          <w:b/>
          <w:noProof/>
          <w:szCs w:val="20"/>
        </w:rPr>
      </w:pPr>
      <w:r>
        <w:rPr>
          <w:b/>
          <w:noProof/>
        </w:rPr>
        <w:t>Produits agricoles, produits agricoles transformés, poissons et produits de la pêche</w:t>
      </w:r>
    </w:p>
    <w:p>
      <w:pPr>
        <w:widowControl w:val="0"/>
        <w:spacing w:before="0" w:after="0" w:line="360" w:lineRule="auto"/>
        <w:jc w:val="left"/>
        <w:rPr>
          <w:rFonts w:eastAsia="Times New Roman"/>
          <w:b/>
          <w:noProof/>
          <w:szCs w:val="20"/>
        </w:rPr>
      </w:pPr>
      <w:r>
        <w:rPr>
          <w:noProof/>
        </w:rPr>
        <w:t>Le tableau 2 figurant en annexe du protocole nº 1 à l’accord euro-méditerranéen est modifié conformément au tableau figurant en annexe du présent protocole.</w:t>
      </w:r>
    </w:p>
    <w:p>
      <w:pPr>
        <w:widowControl w:val="0"/>
        <w:spacing w:before="0" w:after="0" w:line="360" w:lineRule="auto"/>
        <w:jc w:val="center"/>
        <w:rPr>
          <w:rFonts w:eastAsia="Times New Roman"/>
          <w:noProof/>
          <w:szCs w:val="20"/>
        </w:rPr>
      </w:pPr>
      <w:r>
        <w:rPr>
          <w:noProof/>
        </w:rPr>
        <w:t>ARTICLE 3</w:t>
      </w:r>
    </w:p>
    <w:p>
      <w:pPr>
        <w:widowControl w:val="0"/>
        <w:spacing w:before="0" w:after="0" w:line="360" w:lineRule="auto"/>
        <w:jc w:val="center"/>
        <w:rPr>
          <w:rFonts w:eastAsia="Times New Roman"/>
          <w:b/>
          <w:noProof/>
          <w:szCs w:val="20"/>
        </w:rPr>
      </w:pPr>
      <w:r>
        <w:rPr>
          <w:b/>
          <w:noProof/>
        </w:rPr>
        <w:t>Règles d’origine</w:t>
      </w:r>
    </w:p>
    <w:p>
      <w:pPr>
        <w:widowControl w:val="0"/>
        <w:spacing w:before="0" w:after="0" w:line="360" w:lineRule="auto"/>
        <w:jc w:val="left"/>
        <w:rPr>
          <w:rFonts w:eastAsia="Times New Roman"/>
          <w:noProof/>
          <w:szCs w:val="20"/>
        </w:rPr>
      </w:pPr>
      <w:r>
        <w:rPr>
          <w:noProof/>
        </w:rPr>
        <w:t>Le protocole nº 4 est modifié comme suit:</w:t>
      </w:r>
    </w:p>
    <w:p>
      <w:pPr>
        <w:widowControl w:val="0"/>
        <w:spacing w:before="0" w:after="0" w:line="360" w:lineRule="auto"/>
        <w:jc w:val="left"/>
        <w:rPr>
          <w:rFonts w:eastAsia="Times New Roman"/>
          <w:noProof/>
          <w:szCs w:val="20"/>
        </w:rPr>
      </w:pPr>
      <w:r>
        <w:rPr>
          <w:noProof/>
        </w:rPr>
        <w:t>1. L’annexe IVa est remplacée par le texte suivant:</w:t>
      </w:r>
    </w:p>
    <w:p>
      <w:pPr>
        <w:widowControl w:val="0"/>
        <w:spacing w:before="0" w:after="0" w:line="360" w:lineRule="auto"/>
        <w:jc w:val="center"/>
        <w:rPr>
          <w:rFonts w:eastAsia="Times New Roman"/>
          <w:noProof/>
          <w:szCs w:val="20"/>
        </w:rPr>
      </w:pPr>
      <w:r>
        <w:rPr>
          <w:noProof/>
        </w:rPr>
        <w:t>«ANNEXE IVa</w:t>
      </w:r>
    </w:p>
    <w:p>
      <w:pPr>
        <w:widowControl w:val="0"/>
        <w:spacing w:before="0" w:after="0" w:line="360" w:lineRule="auto"/>
        <w:jc w:val="left"/>
        <w:rPr>
          <w:rFonts w:eastAsia="Times New Roman"/>
          <w:noProof/>
          <w:szCs w:val="20"/>
        </w:rPr>
      </w:pPr>
      <w:r>
        <w:rPr>
          <w:noProof/>
        </w:rPr>
        <w:t>TEXTE DE LA DÉCLARATION SUR FACTURE</w:t>
      </w:r>
    </w:p>
    <w:p>
      <w:pPr>
        <w:widowControl w:val="0"/>
        <w:spacing w:before="0" w:after="0" w:line="360" w:lineRule="auto"/>
        <w:jc w:val="left"/>
        <w:rPr>
          <w:rFonts w:eastAsia="Times New Roman"/>
          <w:noProof/>
          <w:szCs w:val="20"/>
        </w:rPr>
      </w:pPr>
      <w:r>
        <w:rPr>
          <w:noProof/>
        </w:rPr>
        <w:t>La déclaration sur facture, dont le texte figure ci-après, doit être établie compte tenu des notes figurant en bas de page. Il n’est toutefois pas nécessaire de reproduire ces notes.</w:t>
      </w:r>
    </w:p>
    <w:p>
      <w:pPr>
        <w:widowControl w:val="0"/>
        <w:spacing w:before="0" w:after="0" w:line="360" w:lineRule="auto"/>
        <w:jc w:val="center"/>
        <w:rPr>
          <w:rFonts w:eastAsia="Times New Roman"/>
          <w:b/>
          <w:noProof/>
          <w:szCs w:val="20"/>
        </w:rPr>
      </w:pPr>
      <w:r>
        <w:rPr>
          <w:b/>
          <w:noProof/>
        </w:rPr>
        <w:t>Version bulgare</w:t>
      </w:r>
    </w:p>
    <w:p>
      <w:pPr>
        <w:widowControl w:val="0"/>
        <w:spacing w:before="0" w:after="0" w:line="360" w:lineRule="auto"/>
        <w:rPr>
          <w:rFonts w:eastAsia="Times New Roman"/>
          <w:noProof/>
          <w:szCs w:val="20"/>
        </w:rPr>
      </w:pPr>
      <w:r>
        <w:rPr>
          <w:noProof/>
        </w:rPr>
        <w:t>Износителят на продуктите, обхванати от този документ (митническо разрешение № …(</w:t>
      </w:r>
      <w:r>
        <w:rPr>
          <w:rStyle w:val="FootnoteReference"/>
          <w:noProof/>
        </w:rPr>
        <w:footnoteReference w:id="1"/>
      </w:r>
      <w:r>
        <w:rPr>
          <w:noProof/>
        </w:rPr>
        <w:t>)  декларира, че освен където е отбелязано друго, тези продукти са с … преференциален произход(</w:t>
      </w:r>
      <w:r>
        <w:rPr>
          <w:rStyle w:val="FootnoteReference"/>
          <w:noProof/>
        </w:rPr>
        <w:footnoteReference w:id="2"/>
      </w:r>
      <w:r>
        <w:rPr>
          <w:noProof/>
        </w:rPr>
        <w:t>) .</w:t>
      </w:r>
    </w:p>
    <w:p>
      <w:pPr>
        <w:widowControl w:val="0"/>
        <w:spacing w:before="0" w:after="0" w:line="360" w:lineRule="auto"/>
        <w:jc w:val="center"/>
        <w:rPr>
          <w:rFonts w:eastAsia="Times New Roman"/>
          <w:b/>
          <w:noProof/>
          <w:szCs w:val="20"/>
          <w:lang w:val="es-ES"/>
        </w:rPr>
      </w:pPr>
      <w:r>
        <w:rPr>
          <w:b/>
          <w:noProof/>
          <w:lang w:val="es-ES"/>
        </w:rPr>
        <w:t>Version espagnole</w:t>
      </w:r>
    </w:p>
    <w:p>
      <w:pPr>
        <w:widowControl w:val="0"/>
        <w:spacing w:before="0" w:after="0" w:line="360" w:lineRule="auto"/>
        <w:rPr>
          <w:rFonts w:eastAsia="Times New Roman"/>
          <w:noProof/>
          <w:szCs w:val="20"/>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widowControl w:val="0"/>
        <w:spacing w:before="0" w:after="0" w:line="360" w:lineRule="auto"/>
        <w:jc w:val="center"/>
        <w:rPr>
          <w:rFonts w:eastAsia="Times New Roman"/>
          <w:b/>
          <w:noProof/>
          <w:szCs w:val="20"/>
          <w:lang w:val="es-ES"/>
        </w:rPr>
      </w:pPr>
      <w:r>
        <w:rPr>
          <w:b/>
          <w:noProof/>
          <w:lang w:val="es-ES"/>
        </w:rPr>
        <w:t>Version tchèque</w:t>
      </w:r>
    </w:p>
    <w:p>
      <w:pPr>
        <w:widowControl w:val="0"/>
        <w:spacing w:before="0" w:after="0" w:line="360" w:lineRule="auto"/>
        <w:rPr>
          <w:rFonts w:eastAsia="Times New Roman"/>
          <w:noProof/>
          <w:szCs w:val="20"/>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widowControl w:val="0"/>
        <w:spacing w:before="0" w:after="0" w:line="360" w:lineRule="auto"/>
        <w:jc w:val="center"/>
        <w:rPr>
          <w:rFonts w:eastAsia="Times New Roman"/>
          <w:b/>
          <w:noProof/>
          <w:szCs w:val="20"/>
          <w:lang w:val="da-DK"/>
        </w:rPr>
      </w:pPr>
      <w:r>
        <w:rPr>
          <w:b/>
          <w:noProof/>
          <w:lang w:val="da-DK"/>
        </w:rPr>
        <w:t>Version danoise</w:t>
      </w:r>
    </w:p>
    <w:p>
      <w:pPr>
        <w:widowControl w:val="0"/>
        <w:spacing w:before="0" w:after="0" w:line="360" w:lineRule="auto"/>
        <w:rPr>
          <w:rFonts w:eastAsia="Times New Roman"/>
          <w:noProof/>
          <w:szCs w:val="20"/>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widowControl w:val="0"/>
        <w:spacing w:before="0" w:after="0" w:line="360" w:lineRule="auto"/>
        <w:jc w:val="center"/>
        <w:rPr>
          <w:rFonts w:eastAsia="Times New Roman"/>
          <w:b/>
          <w:noProof/>
          <w:szCs w:val="20"/>
          <w:lang w:val="de-DE"/>
        </w:rPr>
      </w:pPr>
      <w:r>
        <w:rPr>
          <w:b/>
          <w:noProof/>
          <w:lang w:val="de-DE"/>
        </w:rPr>
        <w:t>Version allemande</w:t>
      </w:r>
    </w:p>
    <w:p>
      <w:pPr>
        <w:widowControl w:val="0"/>
        <w:spacing w:before="0" w:after="0" w:line="360" w:lineRule="auto"/>
        <w:rPr>
          <w:rFonts w:eastAsia="Times New Roman"/>
          <w:noProof/>
          <w:szCs w:val="20"/>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widowControl w:val="0"/>
        <w:spacing w:before="0" w:after="0" w:line="360" w:lineRule="auto"/>
        <w:jc w:val="center"/>
        <w:rPr>
          <w:rFonts w:eastAsia="Times New Roman"/>
          <w:b/>
          <w:noProof/>
          <w:szCs w:val="20"/>
          <w:lang w:val="de-DE"/>
        </w:rPr>
      </w:pPr>
      <w:r>
        <w:rPr>
          <w:b/>
          <w:noProof/>
          <w:lang w:val="de-DE"/>
        </w:rPr>
        <w:t>Version estonienne</w:t>
      </w:r>
    </w:p>
    <w:p>
      <w:pPr>
        <w:widowControl w:val="0"/>
        <w:spacing w:before="0" w:after="0" w:line="360" w:lineRule="auto"/>
        <w:rPr>
          <w:rFonts w:eastAsia="Times New Roman"/>
          <w:noProof/>
          <w:szCs w:val="20"/>
        </w:rPr>
      </w:pPr>
      <w:r>
        <w:rPr>
          <w:noProof/>
          <w:lang w:val="de-DE"/>
        </w:rPr>
        <w:t>Käesoleva dokumendiga hõlmatud toodete eksportija (tolliameti kinnitus nr …(</w:t>
      </w:r>
      <w:r>
        <w:rPr>
          <w:rStyle w:val="FootnoteReference"/>
          <w:noProof/>
        </w:rPr>
        <w:footnoteReference w:id="3"/>
      </w:r>
      <w:r>
        <w:rPr>
          <w:noProof/>
          <w:lang w:val="de-DE"/>
        </w:rPr>
        <w:t>) ) deklareerib, et need tooted on …(</w:t>
      </w:r>
      <w:r>
        <w:rPr>
          <w:rStyle w:val="FootnoteReference"/>
          <w:noProof/>
        </w:rPr>
        <w:footnoteReference w:id="4"/>
      </w:r>
      <w:r>
        <w:rPr>
          <w:noProof/>
        </w:rPr>
        <w:t xml:space="preserve">)  sooduspäritoluga, välja arvatud juhul, kui on selgelt näidatud teisiti. </w:t>
      </w:r>
    </w:p>
    <w:p>
      <w:pPr>
        <w:widowControl w:val="0"/>
        <w:spacing w:before="0" w:after="0" w:line="360" w:lineRule="auto"/>
        <w:jc w:val="center"/>
        <w:rPr>
          <w:rFonts w:eastAsia="Times New Roman"/>
          <w:b/>
          <w:noProof/>
          <w:szCs w:val="20"/>
        </w:rPr>
      </w:pPr>
      <w:r>
        <w:rPr>
          <w:b/>
          <w:noProof/>
        </w:rPr>
        <w:t>Version grecque</w:t>
      </w:r>
    </w:p>
    <w:p>
      <w:pPr>
        <w:widowControl w:val="0"/>
        <w:spacing w:before="0" w:after="0" w:line="360" w:lineRule="auto"/>
        <w:rPr>
          <w:rFonts w:eastAsia="Times New Roman"/>
          <w:noProof/>
          <w:szCs w:val="20"/>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w:t>
      </w:r>
    </w:p>
    <w:p>
      <w:pPr>
        <w:widowControl w:val="0"/>
        <w:spacing w:before="0" w:after="0" w:line="360" w:lineRule="auto"/>
        <w:jc w:val="center"/>
        <w:rPr>
          <w:rFonts w:eastAsia="Times New Roman"/>
          <w:b/>
          <w:noProof/>
          <w:szCs w:val="20"/>
        </w:rPr>
      </w:pPr>
      <w:r>
        <w:rPr>
          <w:b/>
          <w:noProof/>
        </w:rPr>
        <w:t>Version anglaise</w:t>
      </w:r>
    </w:p>
    <w:p>
      <w:pPr>
        <w:widowControl w:val="0"/>
        <w:spacing w:before="0" w:after="0" w:line="360" w:lineRule="auto"/>
        <w:rPr>
          <w:rFonts w:eastAsia="Times New Roman"/>
          <w:noProof/>
          <w:szCs w:val="20"/>
        </w:rPr>
      </w:pPr>
      <w:r>
        <w:rPr>
          <w:noProof/>
        </w:rPr>
        <w:t>The exporter of the products covered by this document (customs authorisation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widowControl w:val="0"/>
        <w:spacing w:before="0" w:after="0" w:line="360" w:lineRule="auto"/>
        <w:jc w:val="center"/>
        <w:rPr>
          <w:rFonts w:eastAsia="Times New Roman"/>
          <w:b/>
          <w:noProof/>
          <w:szCs w:val="20"/>
        </w:rPr>
      </w:pPr>
      <w:r>
        <w:rPr>
          <w:b/>
          <w:noProof/>
        </w:rPr>
        <w:t>Version française</w:t>
      </w:r>
    </w:p>
    <w:p>
      <w:pPr>
        <w:widowControl w:val="0"/>
        <w:spacing w:before="0" w:after="0" w:line="360" w:lineRule="auto"/>
        <w:rPr>
          <w:rFonts w:eastAsia="Times New Roman"/>
          <w:noProof/>
          <w:szCs w:val="20"/>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widowControl w:val="0"/>
        <w:spacing w:before="0" w:after="0" w:line="360" w:lineRule="auto"/>
        <w:jc w:val="center"/>
        <w:rPr>
          <w:rFonts w:eastAsia="Times New Roman"/>
          <w:b/>
          <w:noProof/>
          <w:szCs w:val="20"/>
        </w:rPr>
      </w:pPr>
      <w:r>
        <w:rPr>
          <w:b/>
          <w:noProof/>
        </w:rPr>
        <w:t>Version croate</w:t>
      </w:r>
    </w:p>
    <w:p>
      <w:pPr>
        <w:widowControl w:val="0"/>
        <w:spacing w:before="0" w:after="0" w:line="360" w:lineRule="auto"/>
        <w:rPr>
          <w:rFonts w:eastAsia="Times New Roman"/>
          <w:noProof/>
          <w:szCs w:val="20"/>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widowControl w:val="0"/>
        <w:spacing w:before="0" w:after="0" w:line="360" w:lineRule="auto"/>
        <w:jc w:val="center"/>
        <w:rPr>
          <w:rFonts w:eastAsia="Times New Roman"/>
          <w:b/>
          <w:noProof/>
          <w:szCs w:val="20"/>
          <w:lang w:val="it-IT"/>
        </w:rPr>
      </w:pPr>
      <w:r>
        <w:rPr>
          <w:b/>
          <w:noProof/>
          <w:lang w:val="it-IT"/>
        </w:rPr>
        <w:t>Version italienne</w:t>
      </w:r>
    </w:p>
    <w:p>
      <w:pPr>
        <w:widowControl w:val="0"/>
        <w:spacing w:before="0" w:after="0" w:line="360" w:lineRule="auto"/>
        <w:rPr>
          <w:rFonts w:eastAsia="Times New Roman"/>
          <w:noProof/>
          <w:szCs w:val="20"/>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widowControl w:val="0"/>
        <w:spacing w:before="0" w:after="0" w:line="360" w:lineRule="auto"/>
        <w:jc w:val="center"/>
        <w:rPr>
          <w:rFonts w:eastAsia="Times New Roman"/>
          <w:b/>
          <w:noProof/>
          <w:szCs w:val="20"/>
          <w:lang w:val="it-IT"/>
        </w:rPr>
      </w:pPr>
      <w:r>
        <w:rPr>
          <w:b/>
          <w:noProof/>
          <w:lang w:val="it-IT"/>
        </w:rPr>
        <w:t>Version lettonne</w:t>
      </w:r>
    </w:p>
    <w:p>
      <w:pPr>
        <w:widowControl w:val="0"/>
        <w:spacing w:before="0" w:after="0" w:line="360" w:lineRule="auto"/>
        <w:rPr>
          <w:rFonts w:eastAsia="Times New Roman"/>
          <w:noProof/>
          <w:szCs w:val="20"/>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widowControl w:val="0"/>
        <w:spacing w:before="0" w:after="0" w:line="360" w:lineRule="auto"/>
        <w:jc w:val="center"/>
        <w:rPr>
          <w:rFonts w:eastAsia="Times New Roman"/>
          <w:b/>
          <w:noProof/>
          <w:szCs w:val="20"/>
          <w:lang w:val="it-IT"/>
        </w:rPr>
      </w:pPr>
      <w:r>
        <w:rPr>
          <w:b/>
          <w:noProof/>
          <w:lang w:val="it-IT"/>
        </w:rPr>
        <w:t>Version lituanienne</w:t>
      </w:r>
    </w:p>
    <w:p>
      <w:pPr>
        <w:widowControl w:val="0"/>
        <w:spacing w:before="0" w:after="0" w:line="360" w:lineRule="auto"/>
        <w:rPr>
          <w:rFonts w:eastAsia="Times New Roman"/>
          <w:noProof/>
          <w:szCs w:val="20"/>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widowControl w:val="0"/>
        <w:spacing w:before="0" w:after="0" w:line="360" w:lineRule="auto"/>
        <w:jc w:val="center"/>
        <w:rPr>
          <w:rFonts w:eastAsia="Times New Roman"/>
          <w:b/>
          <w:noProof/>
          <w:szCs w:val="20"/>
          <w:lang w:val="it-IT"/>
        </w:rPr>
      </w:pPr>
      <w:r>
        <w:rPr>
          <w:b/>
          <w:noProof/>
          <w:lang w:val="it-IT"/>
        </w:rPr>
        <w:t>Version hongroise</w:t>
      </w:r>
    </w:p>
    <w:p>
      <w:pPr>
        <w:widowControl w:val="0"/>
        <w:spacing w:before="0" w:after="0" w:line="360" w:lineRule="auto"/>
        <w:rPr>
          <w:rFonts w:eastAsia="Times New Roman"/>
          <w:noProof/>
          <w:szCs w:val="20"/>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widowControl w:val="0"/>
        <w:spacing w:before="0" w:after="0" w:line="360" w:lineRule="auto"/>
        <w:jc w:val="center"/>
        <w:rPr>
          <w:rFonts w:eastAsia="Times New Roman"/>
          <w:b/>
          <w:noProof/>
          <w:szCs w:val="20"/>
          <w:lang w:val="it-IT"/>
        </w:rPr>
      </w:pPr>
      <w:r>
        <w:rPr>
          <w:b/>
          <w:noProof/>
          <w:lang w:val="it-IT"/>
        </w:rPr>
        <w:t>Version maltaise</w:t>
      </w:r>
    </w:p>
    <w:p>
      <w:pPr>
        <w:widowControl w:val="0"/>
        <w:spacing w:before="0" w:after="0" w:line="360" w:lineRule="auto"/>
        <w:rPr>
          <w:rFonts w:eastAsia="Times New Roman"/>
          <w:noProof/>
          <w:szCs w:val="20"/>
          <w:lang w:val="nl-NL"/>
        </w:rPr>
      </w:pPr>
      <w:r>
        <w:rPr>
          <w:noProof/>
          <w:lang w:val="it-IT"/>
        </w:rPr>
        <w:t>L-esportatur tal-prodotti koperti b’dan id-dokument (awtorizzazzjoni tad-dwana nru. …(</w:t>
      </w:r>
      <w:r>
        <w:rPr>
          <w:rStyle w:val="FootnoteReference"/>
          <w:noProof/>
        </w:rPr>
        <w:footnoteReference w:id="5"/>
      </w:r>
      <w:r>
        <w:rPr>
          <w:noProof/>
        </w:rPr>
        <w:t xml:space="preserve">) ) jiddikjara li, ħlief fejn indikat b’mod ċar li mhux hekk, dawn il-prodotti huma ta’ oriġini preferenzjali … </w:t>
      </w:r>
      <w:r>
        <w:rPr>
          <w:noProof/>
          <w:lang w:val="nl-NL"/>
        </w:rPr>
        <w:t>(</w:t>
      </w:r>
      <w:r>
        <w:rPr>
          <w:rStyle w:val="FootnoteReference"/>
          <w:noProof/>
        </w:rPr>
        <w:footnoteReference w:id="6"/>
      </w:r>
      <w:r>
        <w:rPr>
          <w:noProof/>
          <w:lang w:val="nl-NL"/>
        </w:rPr>
        <w:t>).</w:t>
      </w:r>
    </w:p>
    <w:p>
      <w:pPr>
        <w:widowControl w:val="0"/>
        <w:spacing w:before="0" w:after="0" w:line="360" w:lineRule="auto"/>
        <w:jc w:val="center"/>
        <w:rPr>
          <w:rFonts w:eastAsia="Times New Roman"/>
          <w:b/>
          <w:noProof/>
          <w:szCs w:val="20"/>
          <w:lang w:val="nl-NL"/>
        </w:rPr>
      </w:pPr>
      <w:r>
        <w:rPr>
          <w:b/>
          <w:noProof/>
          <w:lang w:val="nl-NL"/>
        </w:rPr>
        <w:t>Version néerlandaise</w:t>
      </w:r>
    </w:p>
    <w:p>
      <w:pPr>
        <w:widowControl w:val="0"/>
        <w:spacing w:before="0" w:after="0" w:line="360" w:lineRule="auto"/>
        <w:rPr>
          <w:rFonts w:eastAsia="Times New Roman"/>
          <w:noProof/>
          <w:szCs w:val="20"/>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widowControl w:val="0"/>
        <w:spacing w:before="0" w:after="0" w:line="360" w:lineRule="auto"/>
        <w:jc w:val="center"/>
        <w:rPr>
          <w:rFonts w:eastAsia="Times New Roman"/>
          <w:b/>
          <w:noProof/>
          <w:szCs w:val="20"/>
          <w:lang w:val="pl-PL"/>
        </w:rPr>
      </w:pPr>
      <w:r>
        <w:rPr>
          <w:b/>
          <w:noProof/>
          <w:lang w:val="pl-PL"/>
        </w:rPr>
        <w:t>Version polonaise</w:t>
      </w:r>
    </w:p>
    <w:p>
      <w:pPr>
        <w:widowControl w:val="0"/>
        <w:spacing w:before="0" w:after="0" w:line="360" w:lineRule="auto"/>
        <w:rPr>
          <w:rFonts w:eastAsia="Times New Roman"/>
          <w:noProof/>
          <w:szCs w:val="20"/>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widowControl w:val="0"/>
        <w:spacing w:before="0" w:after="0" w:line="360" w:lineRule="auto"/>
        <w:jc w:val="center"/>
        <w:rPr>
          <w:rFonts w:eastAsia="Times New Roman"/>
          <w:b/>
          <w:noProof/>
          <w:szCs w:val="20"/>
          <w:lang w:val="pt-PT"/>
        </w:rPr>
      </w:pPr>
      <w:r>
        <w:rPr>
          <w:b/>
          <w:noProof/>
          <w:lang w:val="pt-PT"/>
        </w:rPr>
        <w:t>Version portugaise</w:t>
      </w:r>
    </w:p>
    <w:p>
      <w:pPr>
        <w:widowControl w:val="0"/>
        <w:spacing w:before="0" w:after="0" w:line="360" w:lineRule="auto"/>
        <w:rPr>
          <w:rFonts w:eastAsia="Times New Roman"/>
          <w:noProof/>
          <w:szCs w:val="20"/>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widowControl w:val="0"/>
        <w:spacing w:before="0" w:after="0" w:line="360" w:lineRule="auto"/>
        <w:jc w:val="center"/>
        <w:rPr>
          <w:rFonts w:eastAsia="Times New Roman"/>
          <w:b/>
          <w:noProof/>
          <w:szCs w:val="20"/>
          <w:lang w:val="pt-PT"/>
        </w:rPr>
      </w:pPr>
      <w:r>
        <w:rPr>
          <w:b/>
          <w:noProof/>
          <w:lang w:val="pt-PT"/>
        </w:rPr>
        <w:t>Version roumaine</w:t>
      </w:r>
    </w:p>
    <w:p>
      <w:pPr>
        <w:widowControl w:val="0"/>
        <w:spacing w:before="0" w:after="0" w:line="360" w:lineRule="auto"/>
        <w:rPr>
          <w:rFonts w:eastAsia="Times New Roman"/>
          <w:noProof/>
          <w:szCs w:val="20"/>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widowControl w:val="0"/>
        <w:spacing w:before="0" w:after="0" w:line="360" w:lineRule="auto"/>
        <w:jc w:val="center"/>
        <w:rPr>
          <w:rFonts w:eastAsia="Times New Roman"/>
          <w:b/>
          <w:noProof/>
          <w:szCs w:val="20"/>
          <w:lang w:val="pt-PT"/>
        </w:rPr>
      </w:pPr>
      <w:r>
        <w:rPr>
          <w:b/>
          <w:noProof/>
          <w:lang w:val="pt-PT"/>
        </w:rPr>
        <w:t>Version slovène</w:t>
      </w:r>
    </w:p>
    <w:p>
      <w:pPr>
        <w:widowControl w:val="0"/>
        <w:spacing w:before="0" w:after="0" w:line="360" w:lineRule="auto"/>
        <w:rPr>
          <w:rFonts w:eastAsia="Times New Roman"/>
          <w:noProof/>
          <w:szCs w:val="20"/>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widowControl w:val="0"/>
        <w:spacing w:before="0" w:after="0" w:line="360" w:lineRule="auto"/>
        <w:jc w:val="center"/>
        <w:rPr>
          <w:rFonts w:eastAsia="Times New Roman"/>
          <w:b/>
          <w:noProof/>
          <w:szCs w:val="20"/>
          <w:lang w:val="pt-PT"/>
        </w:rPr>
      </w:pPr>
      <w:r>
        <w:rPr>
          <w:b/>
          <w:noProof/>
          <w:lang w:val="pt-PT"/>
        </w:rPr>
        <w:t>Version slovaque</w:t>
      </w:r>
    </w:p>
    <w:p>
      <w:pPr>
        <w:widowControl w:val="0"/>
        <w:spacing w:before="0" w:after="0" w:line="360" w:lineRule="auto"/>
        <w:rPr>
          <w:rFonts w:eastAsia="Times New Roman"/>
          <w:noProof/>
          <w:szCs w:val="20"/>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widowControl w:val="0"/>
        <w:spacing w:before="0" w:after="0" w:line="360" w:lineRule="auto"/>
        <w:jc w:val="center"/>
        <w:rPr>
          <w:rFonts w:eastAsia="Times New Roman"/>
          <w:b/>
          <w:noProof/>
          <w:szCs w:val="20"/>
          <w:lang w:val="fi-FI"/>
        </w:rPr>
      </w:pPr>
      <w:r>
        <w:rPr>
          <w:b/>
          <w:noProof/>
          <w:lang w:val="fi-FI"/>
        </w:rPr>
        <w:t>Version finnoise</w:t>
      </w:r>
    </w:p>
    <w:p>
      <w:pPr>
        <w:widowControl w:val="0"/>
        <w:spacing w:before="0" w:after="0" w:line="360" w:lineRule="auto"/>
        <w:rPr>
          <w:rFonts w:eastAsia="Times New Roman"/>
          <w:noProof/>
          <w:szCs w:val="20"/>
          <w:lang w:val="sv-SE"/>
        </w:rPr>
      </w:pPr>
      <w:r>
        <w:rPr>
          <w:noProof/>
          <w:lang w:val="fi-FI"/>
        </w:rPr>
        <w:t>Tässä asiakirjassa mainittujen tuotteiden viejä (tullin lupa nro …(</w:t>
      </w:r>
      <w:r>
        <w:rPr>
          <w:rStyle w:val="FootnoteReference"/>
          <w:noProof/>
        </w:rPr>
        <w:footnoteReference w:id="7"/>
      </w:r>
      <w:r>
        <w:rPr>
          <w:noProof/>
          <w:lang w:val="fi-FI"/>
        </w:rPr>
        <w:t xml:space="preserve">) ) ilmoittaa, että nämä tuotteet ovat, ellei toisin ole selvästi merkitty, etuuskohteluun oikeutettuja … </w:t>
      </w:r>
      <w:r>
        <w:rPr>
          <w:noProof/>
          <w:lang w:val="sv-SE"/>
        </w:rPr>
        <w:t>(</w:t>
      </w:r>
      <w:r>
        <w:rPr>
          <w:rStyle w:val="FootnoteReference"/>
          <w:noProof/>
        </w:rPr>
        <w:footnoteReference w:id="8"/>
      </w:r>
      <w:r>
        <w:rPr>
          <w:noProof/>
          <w:lang w:val="sv-SE"/>
        </w:rPr>
        <w:t>) alkuperätuotteita.</w:t>
      </w:r>
    </w:p>
    <w:p>
      <w:pPr>
        <w:widowControl w:val="0"/>
        <w:spacing w:before="0" w:after="0" w:line="360" w:lineRule="auto"/>
        <w:jc w:val="center"/>
        <w:rPr>
          <w:rFonts w:eastAsia="Times New Roman"/>
          <w:b/>
          <w:noProof/>
          <w:szCs w:val="20"/>
          <w:lang w:val="sv-SE"/>
        </w:rPr>
      </w:pPr>
      <w:r>
        <w:rPr>
          <w:b/>
          <w:noProof/>
          <w:lang w:val="sv-SE"/>
        </w:rPr>
        <w:t>Version suédoise</w:t>
      </w:r>
    </w:p>
    <w:p>
      <w:pPr>
        <w:widowControl w:val="0"/>
        <w:spacing w:before="0" w:after="0" w:line="360" w:lineRule="auto"/>
        <w:rPr>
          <w:rFonts w:eastAsia="Times New Roman"/>
          <w:noProof/>
          <w:szCs w:val="20"/>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widowControl w:val="0"/>
        <w:spacing w:before="0" w:after="0" w:line="360" w:lineRule="auto"/>
        <w:jc w:val="center"/>
        <w:rPr>
          <w:rFonts w:eastAsia="Times New Roman"/>
          <w:b/>
          <w:noProof/>
          <w:szCs w:val="20"/>
        </w:rPr>
      </w:pPr>
      <w:r>
        <w:rPr>
          <w:b/>
          <w:noProof/>
        </w:rPr>
        <w:t>Version hébraïque</w:t>
      </w:r>
    </w:p>
    <w:p>
      <w:pPr>
        <w:widowControl w:val="0"/>
        <w:spacing w:before="0" w:after="0" w:line="360" w:lineRule="auto"/>
        <w:jc w:val="center"/>
        <w:rPr>
          <w:rFonts w:eastAsia="Times New Roman"/>
          <w:noProof/>
          <w:szCs w:val="20"/>
          <w:vertAlign w:val="superscript"/>
        </w:rPr>
      </w:pPr>
      <w:r>
        <w:rPr>
          <w:noProof/>
        </w:rPr>
        <w:t>..........................................................................................................................................................(</w:t>
      </w:r>
      <w:r>
        <w:rPr>
          <w:rStyle w:val="FootnoteReference"/>
          <w:noProof/>
        </w:rPr>
        <w:footnoteReference w:id="9"/>
      </w:r>
      <w:r>
        <w:rPr>
          <w:noProof/>
        </w:rPr>
        <w:t xml:space="preserve">)  </w:t>
      </w:r>
      <w:r>
        <w:rPr>
          <w:noProof/>
          <w:vertAlign w:val="superscript"/>
        </w:rPr>
        <w:t>(Lieu et date)</w:t>
      </w:r>
    </w:p>
    <w:p>
      <w:pPr>
        <w:widowControl w:val="0"/>
        <w:spacing w:before="0" w:after="0" w:line="360" w:lineRule="auto"/>
        <w:jc w:val="left"/>
        <w:rPr>
          <w:rFonts w:eastAsia="Times New Roman"/>
          <w:noProof/>
          <w:szCs w:val="20"/>
        </w:rPr>
      </w:pPr>
      <w:r>
        <w:rPr>
          <w:noProof/>
        </w:rPr>
        <w:t>..........................................................................................................................................................(</w:t>
      </w:r>
      <w:r>
        <w:rPr>
          <w:rStyle w:val="FootnoteReference"/>
          <w:noProof/>
        </w:rPr>
        <w:footnoteReference w:id="10"/>
      </w:r>
      <w:r>
        <w:rPr>
          <w:noProof/>
        </w:rPr>
        <w:t xml:space="preserve">) </w:t>
      </w:r>
    </w:p>
    <w:p>
      <w:pPr>
        <w:widowControl w:val="0"/>
        <w:spacing w:before="0" w:after="0" w:line="360" w:lineRule="auto"/>
        <w:jc w:val="center"/>
        <w:rPr>
          <w:rFonts w:eastAsia="Times New Roman"/>
          <w:noProof/>
          <w:szCs w:val="20"/>
          <w:vertAlign w:val="superscript"/>
        </w:rPr>
      </w:pPr>
      <w:r>
        <w:rPr>
          <w:noProof/>
          <w:vertAlign w:val="superscript"/>
        </w:rPr>
        <w:t>(Signature de l’exportateur et indication, en toutes lettres, du nom de la personne qui signe la déclaration)»</w:t>
      </w:r>
    </w:p>
    <w:p>
      <w:pPr>
        <w:widowControl w:val="0"/>
        <w:spacing w:before="0" w:after="0" w:line="360" w:lineRule="auto"/>
        <w:jc w:val="left"/>
        <w:rPr>
          <w:rFonts w:eastAsia="Times New Roman"/>
          <w:noProof/>
          <w:szCs w:val="20"/>
        </w:rPr>
      </w:pPr>
      <w:r>
        <w:rPr>
          <w:noProof/>
        </w:rPr>
        <w:t>2. L’annexe IVb est remplacée est remplacée par le texte suivant:</w:t>
      </w:r>
    </w:p>
    <w:p>
      <w:pPr>
        <w:widowControl w:val="0"/>
        <w:spacing w:before="0" w:after="0" w:line="360" w:lineRule="auto"/>
        <w:jc w:val="center"/>
        <w:rPr>
          <w:rFonts w:eastAsia="Times New Roman"/>
          <w:noProof/>
          <w:szCs w:val="20"/>
        </w:rPr>
      </w:pPr>
      <w:r>
        <w:rPr>
          <w:noProof/>
        </w:rPr>
        <w:t>«ANNEXE IVb</w:t>
      </w:r>
    </w:p>
    <w:p>
      <w:pPr>
        <w:widowControl w:val="0"/>
        <w:spacing w:before="0" w:after="0" w:line="360" w:lineRule="auto"/>
        <w:jc w:val="center"/>
        <w:rPr>
          <w:rFonts w:eastAsia="Times New Roman"/>
          <w:noProof/>
          <w:szCs w:val="24"/>
        </w:rPr>
      </w:pPr>
      <w:r>
        <w:rPr>
          <w:noProof/>
        </w:rPr>
        <w:t>Texte de la déclaration sur facture EUR-MED</w:t>
      </w:r>
    </w:p>
    <w:p>
      <w:pPr>
        <w:spacing w:before="100" w:beforeAutospacing="1" w:after="100" w:afterAutospacing="1"/>
        <w:jc w:val="left"/>
        <w:rPr>
          <w:rFonts w:eastAsia="Times New Roman"/>
          <w:noProof/>
          <w:szCs w:val="24"/>
        </w:rPr>
      </w:pPr>
      <w:r>
        <w:rPr>
          <w:noProof/>
        </w:rPr>
        <w:t xml:space="preserve">La déclaration sur facture EUR-MED, dont le texte figure ci-après, doit être établie compte tenu des notes figurant en bas de page. Il n’est toutefois pas nécessaire de reproduire ces notes. </w:t>
      </w:r>
    </w:p>
    <w:p>
      <w:pPr>
        <w:spacing w:before="100" w:beforeAutospacing="1" w:after="100" w:afterAutospacing="1"/>
        <w:jc w:val="center"/>
        <w:rPr>
          <w:rFonts w:eastAsia="Times New Roman"/>
          <w:b/>
          <w:bCs/>
          <w:noProof/>
          <w:szCs w:val="24"/>
        </w:rPr>
      </w:pPr>
      <w:r>
        <w:rPr>
          <w:b/>
          <w:noProof/>
        </w:rPr>
        <w:t>Version bulgare</w:t>
      </w:r>
    </w:p>
    <w:p>
      <w:pPr>
        <w:spacing w:before="100" w:beforeAutospacing="1" w:after="100" w:afterAutospacing="1"/>
        <w:jc w:val="left"/>
        <w:rPr>
          <w:rFonts w:eastAsia="Times New Roman"/>
          <w:noProof/>
          <w:szCs w:val="20"/>
        </w:rPr>
      </w:pPr>
      <w:r>
        <w:rPr>
          <w:noProof/>
        </w:rPr>
        <w:t>Износителят на продуктите, обхванати от този документ (митническо разрешение № ...(</w:t>
      </w:r>
      <w:r>
        <w:rPr>
          <w:rStyle w:val="FootnoteReference"/>
          <w:noProof/>
        </w:rPr>
        <w:footnoteReference w:id="11"/>
      </w:r>
      <w:r>
        <w:rPr>
          <w:noProof/>
        </w:rPr>
        <w:t>) ) декларира, че освен където ясно е отбелязано друго, тези продукти са с ... преференциален произход(</w:t>
      </w:r>
      <w:r>
        <w:rPr>
          <w:rStyle w:val="FootnoteReference"/>
          <w:noProof/>
        </w:rPr>
        <w:footnoteReference w:id="12"/>
      </w:r>
      <w:r>
        <w:rPr>
          <w:noProof/>
        </w:rPr>
        <w:t xml:space="preserve">) . </w:t>
      </w:r>
    </w:p>
    <w:p>
      <w:pPr>
        <w:spacing w:before="100" w:beforeAutospacing="1" w:after="100" w:afterAutospacing="1"/>
        <w:jc w:val="left"/>
        <w:rPr>
          <w:rFonts w:eastAsia="Times New Roman"/>
          <w:noProof/>
          <w:szCs w:val="20"/>
        </w:rPr>
      </w:pPr>
      <w:r>
        <w:rPr>
          <w:noProof/>
        </w:rPr>
        <w:t xml:space="preserve">— cumulation applied with ...... (nom du ou des pays) </w:t>
      </w:r>
    </w:p>
    <w:p>
      <w:pPr>
        <w:spacing w:before="100" w:beforeAutospacing="1" w:after="100" w:afterAutospacing="1"/>
        <w:jc w:val="left"/>
        <w:rPr>
          <w:rFonts w:eastAsia="Times New Roman"/>
          <w:b/>
          <w:bCs/>
          <w:noProof/>
          <w:szCs w:val="20"/>
          <w:lang w:val="es-ES"/>
        </w:rPr>
      </w:pPr>
      <w:r>
        <w:rPr>
          <w:noProof/>
          <w:lang w:val="es-ES"/>
        </w:rPr>
        <w:t>— no cumulation applied(</w:t>
      </w:r>
      <w:r>
        <w:rPr>
          <w:rStyle w:val="FootnoteReference"/>
          <w:noProof/>
        </w:rPr>
        <w:footnoteReference w:id="13"/>
      </w:r>
      <w:r>
        <w:rPr>
          <w:noProof/>
          <w:lang w:val="es-ES"/>
        </w:rPr>
        <w:t xml:space="preserve">)  </w:t>
      </w:r>
    </w:p>
    <w:p>
      <w:pPr>
        <w:spacing w:before="100" w:beforeAutospacing="1" w:after="100" w:afterAutospacing="1"/>
        <w:jc w:val="center"/>
        <w:rPr>
          <w:rFonts w:eastAsia="Times New Roman"/>
          <w:noProof/>
          <w:szCs w:val="24"/>
          <w:lang w:val="es-ES"/>
        </w:rPr>
      </w:pPr>
      <w:r>
        <w:rPr>
          <w:b/>
          <w:noProof/>
          <w:lang w:val="es-ES"/>
        </w:rPr>
        <w:t>Version espagnole</w:t>
      </w:r>
    </w:p>
    <w:p>
      <w:pPr>
        <w:spacing w:before="100" w:beforeAutospacing="1" w:after="100" w:afterAutospacing="1"/>
        <w:jc w:val="left"/>
        <w:rPr>
          <w:rFonts w:eastAsia="Times New Roman"/>
          <w:noProof/>
          <w:szCs w:val="20"/>
        </w:rPr>
      </w:pPr>
      <w:r>
        <w:rPr>
          <w:noProof/>
          <w:lang w:val="es-ES"/>
        </w:rPr>
        <w:t>El exportador de los productos incluidos en el presente documento [autorización aduanera no ... (</w:t>
      </w:r>
      <w:r>
        <w:rPr>
          <w:noProof/>
          <w:vertAlign w:val="superscript"/>
          <w:lang w:val="es-ES"/>
        </w:rPr>
        <w:t>1</w:t>
      </w:r>
      <w:r>
        <w:rPr>
          <w:noProof/>
          <w:lang w:val="es-ES"/>
        </w:rPr>
        <w:t xml:space="preserve">)] declara que, salvo indicación en sentido contrario, estos productos gozan de un origen preferencial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0"/>
        </w:rPr>
      </w:pPr>
      <w:r>
        <w:rPr>
          <w:noProof/>
        </w:rPr>
        <w:t xml:space="preserve">- cumulation applied with ........(nom du ou des pays) </w:t>
      </w:r>
    </w:p>
    <w:p>
      <w:pPr>
        <w:spacing w:before="100" w:beforeAutospacing="1" w:after="100" w:afterAutospacing="1"/>
        <w:jc w:val="left"/>
        <w:rPr>
          <w:rFonts w:eastAsia="Times New Roman"/>
          <w:noProof/>
          <w:szCs w:val="20"/>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tchèque</w:t>
      </w:r>
    </w:p>
    <w:p>
      <w:pPr>
        <w:spacing w:before="100" w:beforeAutospacing="1" w:after="100" w:afterAutospacing="1"/>
        <w:jc w:val="left"/>
        <w:rPr>
          <w:rFonts w:eastAsia="Times New Roman"/>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spacing w:before="100" w:beforeAutospacing="1" w:after="100" w:afterAutospacing="1"/>
        <w:jc w:val="left"/>
        <w:rPr>
          <w:rFonts w:eastAsia="Times New Roman"/>
          <w:noProof/>
          <w:szCs w:val="20"/>
        </w:rPr>
      </w:pPr>
      <w:r>
        <w:rPr>
          <w:noProof/>
        </w:rPr>
        <w:t xml:space="preserve">- cumulation applied with ........(nom du ou des pays) </w:t>
      </w:r>
    </w:p>
    <w:p>
      <w:pPr>
        <w:spacing w:before="100" w:beforeAutospacing="1" w:after="100" w:afterAutospacing="1"/>
        <w:jc w:val="left"/>
        <w:rPr>
          <w:rFonts w:eastAsia="Times New Roman"/>
          <w:noProof/>
          <w:szCs w:val="20"/>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da-DK"/>
        </w:rPr>
      </w:pPr>
      <w:r>
        <w:rPr>
          <w:b/>
          <w:noProof/>
          <w:lang w:val="da-DK"/>
        </w:rPr>
        <w:t>Version danoise</w:t>
      </w:r>
    </w:p>
    <w:p>
      <w:pPr>
        <w:spacing w:before="100" w:beforeAutospacing="1" w:after="100" w:afterAutospacing="1"/>
        <w:jc w:val="left"/>
        <w:rPr>
          <w:rFonts w:eastAsia="Times New Roman"/>
          <w:noProof/>
          <w:szCs w:val="24"/>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de-DE"/>
        </w:rPr>
      </w:pPr>
      <w:r>
        <w:rPr>
          <w:b/>
          <w:noProof/>
          <w:lang w:val="de-DE"/>
        </w:rPr>
        <w:t>Version allemande</w:t>
      </w:r>
    </w:p>
    <w:p>
      <w:pPr>
        <w:spacing w:before="100" w:beforeAutospacing="1" w:after="100" w:afterAutospacing="1"/>
        <w:jc w:val="left"/>
        <w:rPr>
          <w:rFonts w:eastAsia="Times New Roman"/>
          <w:noProof/>
          <w:szCs w:val="24"/>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xml:space="preserve">) Ursprungswaren sind.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estonienne</w:t>
      </w:r>
    </w:p>
    <w:p>
      <w:pPr>
        <w:spacing w:before="100" w:beforeAutospacing="1" w:after="100" w:afterAutospacing="1"/>
        <w:jc w:val="left"/>
        <w:rPr>
          <w:rFonts w:eastAsia="Times New Roman"/>
          <w:noProof/>
          <w:szCs w:val="24"/>
        </w:rPr>
      </w:pPr>
      <w:r>
        <w:rPr>
          <w:noProof/>
        </w:rPr>
        <w:t>Käesoleva dokumendiga hõlmatud toodete eksportija (tolliameti kinnitus nr. ...(</w:t>
      </w:r>
      <w:r>
        <w:rPr>
          <w:rStyle w:val="FootnoteReference"/>
          <w:noProof/>
        </w:rPr>
        <w:footnoteReference w:id="14"/>
      </w:r>
      <w:r>
        <w:rPr>
          <w:noProof/>
        </w:rPr>
        <w:t>) ) deklareerib, et need tooted on ...(</w:t>
      </w:r>
      <w:r>
        <w:rPr>
          <w:rStyle w:val="FootnoteReference"/>
          <w:noProof/>
        </w:rPr>
        <w:footnoteReference w:id="15"/>
      </w:r>
      <w:r>
        <w:rPr>
          <w:noProof/>
        </w:rPr>
        <w:t xml:space="preserve">)  sooduspäritoluga, välja arvatud juhul kui on selgelt näidatud teisiti.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w:t>
      </w:r>
      <w:r>
        <w:rPr>
          <w:rStyle w:val="FootnoteReference"/>
          <w:noProof/>
        </w:rPr>
        <w:footnoteReference w:id="16"/>
      </w:r>
      <w:r>
        <w:rPr>
          <w:noProof/>
          <w:lang w:val="el-GR"/>
        </w:rPr>
        <w:t xml:space="preserve">)  </w:t>
      </w:r>
    </w:p>
    <w:p>
      <w:pPr>
        <w:spacing w:before="100" w:beforeAutospacing="1" w:after="100" w:afterAutospacing="1"/>
        <w:jc w:val="center"/>
        <w:rPr>
          <w:rFonts w:eastAsia="Times New Roman"/>
          <w:noProof/>
          <w:szCs w:val="24"/>
          <w:lang w:val="el-GR"/>
        </w:rPr>
      </w:pPr>
      <w:r>
        <w:rPr>
          <w:b/>
          <w:noProof/>
        </w:rPr>
        <w:t>Version</w:t>
      </w:r>
      <w:r>
        <w:rPr>
          <w:b/>
          <w:noProof/>
          <w:lang w:val="el-GR"/>
        </w:rPr>
        <w:t xml:space="preserve"> </w:t>
      </w:r>
      <w:r>
        <w:rPr>
          <w:b/>
          <w:noProof/>
        </w:rPr>
        <w:t>grecque</w:t>
      </w:r>
    </w:p>
    <w:p>
      <w:pPr>
        <w:spacing w:before="100" w:beforeAutospacing="1" w:after="100" w:afterAutospacing="1"/>
        <w:jc w:val="left"/>
        <w:rPr>
          <w:rFonts w:eastAsia="Times New Roman"/>
          <w:noProof/>
          <w:szCs w:val="24"/>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anglaise</w:t>
      </w:r>
    </w:p>
    <w:p>
      <w:pPr>
        <w:spacing w:before="100" w:beforeAutospacing="1" w:after="100" w:afterAutospacing="1"/>
        <w:jc w:val="left"/>
        <w:rPr>
          <w:rFonts w:eastAsia="Times New Roman"/>
          <w:noProof/>
          <w:szCs w:val="24"/>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française</w:t>
      </w:r>
    </w:p>
    <w:p>
      <w:pPr>
        <w:spacing w:before="100" w:beforeAutospacing="1" w:after="100" w:afterAutospacing="1"/>
        <w:jc w:val="left"/>
        <w:rPr>
          <w:rFonts w:eastAsia="Times New Roman"/>
          <w:noProof/>
          <w:szCs w:val="24"/>
        </w:rPr>
      </w:pPr>
      <w:r>
        <w:rPr>
          <w:noProof/>
        </w:rPr>
        <w:t>L’exportateur des produits couverts par le présent document [autorisation douanière nº ... (</w:t>
      </w:r>
      <w:r>
        <w:rPr>
          <w:noProof/>
          <w:vertAlign w:val="superscript"/>
        </w:rPr>
        <w:t>1</w:t>
      </w:r>
      <w:r>
        <w:rPr>
          <w:noProof/>
        </w:rPr>
        <w:t>)] déclare que, sauf indication claire du contraire, ces produits ont l’origine préférentielle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rPr>
        <w:t>Version croate</w:t>
      </w:r>
    </w:p>
    <w:p>
      <w:pPr>
        <w:spacing w:before="100" w:beforeAutospacing="1" w:after="100" w:afterAutospacing="1"/>
        <w:jc w:val="left"/>
        <w:rPr>
          <w:rFonts w:eastAsia="Times New Roman"/>
          <w:noProof/>
          <w:szCs w:val="24"/>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spacing w:before="100" w:beforeAutospacing="1" w:after="100" w:afterAutospacing="1"/>
        <w:jc w:val="left"/>
        <w:rPr>
          <w:rFonts w:eastAsia="Times New Roman"/>
          <w:noProof/>
          <w:szCs w:val="24"/>
        </w:rPr>
      </w:pPr>
      <w:r>
        <w:rPr>
          <w:noProof/>
        </w:rPr>
        <w:t xml:space="preserve">— cumulation applied with ........................................... (nom du ou des pays) </w:t>
      </w:r>
    </w:p>
    <w:p>
      <w:pPr>
        <w:spacing w:before="100" w:beforeAutospacing="1" w:after="100" w:afterAutospacing="1"/>
        <w:jc w:val="left"/>
        <w:rPr>
          <w:rFonts w:eastAsia="Times New Roman"/>
          <w:noProof/>
          <w:szCs w:val="24"/>
          <w:lang w:val="it-IT"/>
        </w:rPr>
      </w:pPr>
      <w:r>
        <w:rPr>
          <w:noProof/>
          <w:lang w:val="it-IT"/>
        </w:rPr>
        <w:t>— no cumulation applied (</w:t>
      </w:r>
      <w:r>
        <w:rPr>
          <w:noProof/>
          <w:vertAlign w:val="superscript"/>
          <w:lang w:val="it-IT"/>
        </w:rPr>
        <w:t>3</w:t>
      </w:r>
      <w:r>
        <w:rPr>
          <w:noProof/>
          <w:lang w:val="it-IT"/>
        </w:rPr>
        <w:t>)</w:t>
      </w:r>
    </w:p>
    <w:p>
      <w:pPr>
        <w:spacing w:before="100" w:beforeAutospacing="1" w:after="100" w:afterAutospacing="1"/>
        <w:jc w:val="center"/>
        <w:rPr>
          <w:rFonts w:eastAsia="Times New Roman"/>
          <w:noProof/>
          <w:szCs w:val="24"/>
          <w:lang w:val="it-IT"/>
        </w:rPr>
      </w:pPr>
      <w:r>
        <w:rPr>
          <w:b/>
          <w:noProof/>
          <w:lang w:val="it-IT"/>
        </w:rPr>
        <w:t>Version italienne</w:t>
      </w:r>
    </w:p>
    <w:p>
      <w:pPr>
        <w:spacing w:before="100" w:beforeAutospacing="1" w:after="100" w:afterAutospacing="1"/>
        <w:jc w:val="left"/>
        <w:rPr>
          <w:rFonts w:eastAsia="Times New Roman"/>
          <w:noProof/>
          <w:szCs w:val="24"/>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lettonne</w:t>
      </w:r>
    </w:p>
    <w:p>
      <w:pPr>
        <w:spacing w:before="100" w:beforeAutospacing="1" w:after="100" w:afterAutospacing="1"/>
        <w:jc w:val="left"/>
        <w:rPr>
          <w:rFonts w:eastAsia="Times New Roman"/>
          <w:noProof/>
          <w:szCs w:val="24"/>
        </w:rPr>
      </w:pPr>
      <w:r>
        <w:rPr>
          <w:noProof/>
        </w:rPr>
        <w:t>Eksportētājs produktiem, kuri ietverti šajā dokumentā (muitas pilnvara Nr. ...(</w:t>
      </w:r>
      <w:r>
        <w:rPr>
          <w:rStyle w:val="FootnoteReference"/>
          <w:noProof/>
        </w:rPr>
        <w:footnoteReference w:id="17"/>
      </w:r>
      <w:r>
        <w:rPr>
          <w:noProof/>
        </w:rPr>
        <w:t>) ), deklarē, ka, izņemot tur, kur ir citādi skaidri noteikts, šiem produktiem ir priekšrocību izcelsme no ...(</w:t>
      </w:r>
      <w:r>
        <w:rPr>
          <w:rStyle w:val="FootnoteReference"/>
          <w:noProof/>
        </w:rPr>
        <w:footnoteReference w:id="18"/>
      </w:r>
      <w:r>
        <w:rPr>
          <w:noProof/>
        </w:rPr>
        <w:t xml:space="preserve">) .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w:t>
      </w:r>
      <w:r>
        <w:rPr>
          <w:rStyle w:val="FootnoteReference"/>
          <w:noProof/>
        </w:rPr>
        <w:footnoteReference w:id="19"/>
      </w:r>
      <w:r>
        <w:rPr>
          <w:noProof/>
        </w:rPr>
        <w:t xml:space="preserve">)  </w:t>
      </w:r>
    </w:p>
    <w:p>
      <w:pPr>
        <w:spacing w:before="100" w:beforeAutospacing="1" w:after="100" w:afterAutospacing="1"/>
        <w:jc w:val="center"/>
        <w:rPr>
          <w:rFonts w:eastAsia="Times New Roman"/>
          <w:noProof/>
          <w:szCs w:val="24"/>
        </w:rPr>
      </w:pPr>
      <w:r>
        <w:rPr>
          <w:b/>
          <w:noProof/>
        </w:rPr>
        <w:t>Version lituanienne</w:t>
      </w:r>
    </w:p>
    <w:p>
      <w:pPr>
        <w:spacing w:before="100" w:beforeAutospacing="1" w:after="100" w:afterAutospacing="1"/>
        <w:jc w:val="left"/>
        <w:rPr>
          <w:rFonts w:eastAsia="Times New Roman"/>
          <w:noProof/>
          <w:szCs w:val="24"/>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hongroise</w:t>
      </w:r>
    </w:p>
    <w:p>
      <w:pPr>
        <w:spacing w:before="100" w:beforeAutospacing="1" w:after="100" w:afterAutospacing="1"/>
        <w:jc w:val="left"/>
        <w:rPr>
          <w:rFonts w:eastAsia="Times New Roman"/>
          <w:noProof/>
          <w:szCs w:val="24"/>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maltaise</w:t>
      </w:r>
    </w:p>
    <w:p>
      <w:pPr>
        <w:spacing w:before="100" w:beforeAutospacing="1" w:after="100" w:afterAutospacing="1"/>
        <w:jc w:val="left"/>
        <w:rPr>
          <w:rFonts w:eastAsia="Times New Roman"/>
          <w:noProof/>
          <w:szCs w:val="24"/>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b/>
          <w:bCs/>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nl-NL"/>
        </w:rPr>
      </w:pPr>
      <w:r>
        <w:rPr>
          <w:b/>
          <w:noProof/>
          <w:lang w:val="nl-NL"/>
        </w:rPr>
        <w:t>Version néerlandaise</w:t>
      </w:r>
    </w:p>
    <w:p>
      <w:pPr>
        <w:spacing w:before="100" w:beforeAutospacing="1" w:after="100" w:afterAutospacing="1"/>
        <w:jc w:val="left"/>
        <w:rPr>
          <w:rFonts w:eastAsia="Times New Roman"/>
          <w:noProof/>
          <w:szCs w:val="24"/>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pl-PL"/>
        </w:rPr>
      </w:pPr>
      <w:r>
        <w:rPr>
          <w:noProof/>
          <w:lang w:val="pl-PL"/>
        </w:rPr>
        <w:t>- no cumulation applied (</w:t>
      </w:r>
      <w:r>
        <w:rPr>
          <w:noProof/>
          <w:vertAlign w:val="superscript"/>
          <w:lang w:val="pl-PL"/>
        </w:rPr>
        <w:t>3</w:t>
      </w:r>
      <w:r>
        <w:rPr>
          <w:noProof/>
          <w:lang w:val="pl-PL"/>
        </w:rPr>
        <w:t xml:space="preserve">) </w:t>
      </w:r>
    </w:p>
    <w:p>
      <w:pPr>
        <w:spacing w:before="100" w:beforeAutospacing="1" w:after="100" w:afterAutospacing="1"/>
        <w:jc w:val="center"/>
        <w:rPr>
          <w:rFonts w:eastAsia="Times New Roman"/>
          <w:noProof/>
          <w:szCs w:val="24"/>
          <w:lang w:val="pl-PL"/>
        </w:rPr>
      </w:pPr>
      <w:r>
        <w:rPr>
          <w:b/>
          <w:noProof/>
          <w:lang w:val="pl-PL"/>
        </w:rPr>
        <w:t>Version polonaise</w:t>
      </w:r>
    </w:p>
    <w:p>
      <w:pPr>
        <w:spacing w:before="100" w:beforeAutospacing="1" w:after="100" w:afterAutospacing="1"/>
        <w:jc w:val="left"/>
        <w:rPr>
          <w:rFonts w:eastAsia="Times New Roman"/>
          <w:noProof/>
          <w:szCs w:val="24"/>
        </w:rPr>
      </w:pPr>
      <w:r>
        <w:rPr>
          <w:noProof/>
          <w:lang w:val="pl-PL"/>
        </w:rPr>
        <w:t>Eksporter produktów objętych tym dokumentem (upoważnienie władz celnych nr ...(</w:t>
      </w:r>
      <w:r>
        <w:rPr>
          <w:rStyle w:val="FootnoteReference"/>
          <w:noProof/>
        </w:rPr>
        <w:footnoteReference w:id="20"/>
      </w:r>
      <w:r>
        <w:rPr>
          <w:noProof/>
          <w:lang w:val="pl-PL"/>
        </w:rPr>
        <w:t xml:space="preserve">) ) deklaruje, że z wyjątkiem gdzie jest to wyraźnie określone, produkty te mają ... </w:t>
      </w:r>
      <w:r>
        <w:rPr>
          <w:noProof/>
        </w:rPr>
        <w:t>(</w:t>
      </w:r>
      <w:r>
        <w:rPr>
          <w:rStyle w:val="FootnoteReference"/>
          <w:noProof/>
        </w:rPr>
        <w:footnoteReference w:id="21"/>
      </w:r>
      <w:r>
        <w:rPr>
          <w:noProof/>
        </w:rPr>
        <w:t xml:space="preserve">) preferencyjne pochodzenie.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pt-PT"/>
        </w:rPr>
      </w:pPr>
      <w:r>
        <w:rPr>
          <w:noProof/>
          <w:lang w:val="pt-PT"/>
        </w:rPr>
        <w:t>- no cumulation applied(</w:t>
      </w:r>
      <w:r>
        <w:rPr>
          <w:rStyle w:val="FootnoteReference"/>
          <w:noProof/>
        </w:rPr>
        <w:footnoteReference w:id="22"/>
      </w:r>
      <w:r>
        <w:rPr>
          <w:noProof/>
          <w:lang w:val="pt-PT"/>
        </w:rPr>
        <w:t xml:space="preserve">)  </w:t>
      </w:r>
    </w:p>
    <w:p>
      <w:pPr>
        <w:spacing w:before="100" w:beforeAutospacing="1" w:after="100" w:afterAutospacing="1"/>
        <w:jc w:val="center"/>
        <w:rPr>
          <w:rFonts w:eastAsia="Times New Roman"/>
          <w:noProof/>
          <w:szCs w:val="24"/>
          <w:lang w:val="pt-PT"/>
        </w:rPr>
      </w:pPr>
      <w:r>
        <w:rPr>
          <w:b/>
          <w:noProof/>
          <w:lang w:val="pt-PT"/>
        </w:rPr>
        <w:t>Version portugaise</w:t>
      </w:r>
    </w:p>
    <w:p>
      <w:pPr>
        <w:spacing w:before="100" w:beforeAutospacing="1" w:after="100" w:afterAutospacing="1"/>
        <w:jc w:val="left"/>
        <w:rPr>
          <w:rFonts w:eastAsia="Times New Roman"/>
          <w:noProof/>
          <w:szCs w:val="24"/>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cumulation applied with ........(nom du ou des pays)</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rPr>
        <w:t>Version roumaine</w:t>
      </w:r>
    </w:p>
    <w:p>
      <w:pPr>
        <w:spacing w:before="100" w:beforeAutospacing="1" w:after="100" w:afterAutospacing="1"/>
        <w:jc w:val="left"/>
        <w:rPr>
          <w:rFonts w:eastAsia="Times New Roman"/>
          <w:noProof/>
          <w:szCs w:val="24"/>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w:t>
      </w:r>
    </w:p>
    <w:p>
      <w:pPr>
        <w:spacing w:before="100" w:beforeAutospacing="1" w:after="100" w:afterAutospacing="1"/>
        <w:jc w:val="center"/>
        <w:rPr>
          <w:rFonts w:eastAsia="Times New Roman"/>
          <w:noProof/>
          <w:szCs w:val="24"/>
        </w:rPr>
      </w:pPr>
      <w:r>
        <w:rPr>
          <w:b/>
          <w:noProof/>
        </w:rPr>
        <w:t>Version slovène</w:t>
      </w:r>
    </w:p>
    <w:p>
      <w:pPr>
        <w:spacing w:before="100" w:beforeAutospacing="1" w:after="100" w:afterAutospacing="1"/>
        <w:jc w:val="left"/>
        <w:rPr>
          <w:rFonts w:eastAsia="Times New Roman"/>
          <w:noProof/>
          <w:szCs w:val="24"/>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slovaque</w:t>
      </w:r>
    </w:p>
    <w:p>
      <w:pPr>
        <w:spacing w:before="100" w:beforeAutospacing="1" w:after="100" w:afterAutospacing="1"/>
        <w:jc w:val="left"/>
        <w:rPr>
          <w:rFonts w:eastAsia="Times New Roman"/>
          <w:noProof/>
          <w:szCs w:val="24"/>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fi-FI"/>
        </w:rPr>
      </w:pPr>
      <w:r>
        <w:rPr>
          <w:b/>
          <w:noProof/>
          <w:lang w:val="fi-FI"/>
        </w:rPr>
        <w:t>Version finnoise</w:t>
      </w:r>
    </w:p>
    <w:p>
      <w:pPr>
        <w:spacing w:before="100" w:beforeAutospacing="1" w:after="100" w:afterAutospacing="1"/>
        <w:jc w:val="left"/>
        <w:rPr>
          <w:rFonts w:eastAsia="Times New Roman"/>
          <w:noProof/>
          <w:szCs w:val="24"/>
          <w:lang w:val="fi-FI"/>
        </w:rPr>
      </w:pPr>
      <w:r>
        <w:rPr>
          <w:noProof/>
          <w:lang w:val="fi-FI"/>
        </w:rPr>
        <w:t>Tässä asiakirjassa mainittujen tuotteiden viejä (tullin lupa n:o ...(</w:t>
      </w:r>
      <w:r>
        <w:rPr>
          <w:rStyle w:val="FootnoteReference"/>
          <w:noProof/>
        </w:rPr>
        <w:footnoteReference w:id="23"/>
      </w:r>
      <w:r>
        <w:rPr>
          <w:noProof/>
          <w:lang w:val="fi-FI"/>
        </w:rPr>
        <w:t>) ) ilmoittaa, että nämä tuotteet ovat, ellei toisin ole selvästi merkitty, etuuskohteluun oikeutettuja ... alkuperätuotteita(</w:t>
      </w:r>
      <w:r>
        <w:rPr>
          <w:rStyle w:val="FootnoteReference"/>
          <w:noProof/>
        </w:rPr>
        <w:footnoteReference w:id="24"/>
      </w:r>
      <w:r>
        <w:rPr>
          <w:noProof/>
          <w:lang w:val="fi-FI"/>
        </w:rPr>
        <w:t xml:space="preserve">) .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sv-SE"/>
        </w:rPr>
      </w:pPr>
      <w:r>
        <w:rPr>
          <w:noProof/>
          <w:lang w:val="sv-SE"/>
        </w:rPr>
        <w:t>- no cumulation applied(</w:t>
      </w:r>
      <w:r>
        <w:rPr>
          <w:rStyle w:val="FootnoteReference"/>
          <w:noProof/>
        </w:rPr>
        <w:footnoteReference w:id="25"/>
      </w:r>
      <w:r>
        <w:rPr>
          <w:noProof/>
          <w:lang w:val="sv-SE"/>
        </w:rPr>
        <w:t xml:space="preserve">)  </w:t>
      </w:r>
    </w:p>
    <w:p>
      <w:pPr>
        <w:spacing w:before="100" w:beforeAutospacing="1" w:after="100" w:afterAutospacing="1"/>
        <w:jc w:val="center"/>
        <w:rPr>
          <w:rFonts w:eastAsia="Times New Roman"/>
          <w:noProof/>
          <w:szCs w:val="24"/>
          <w:lang w:val="sv-SE"/>
        </w:rPr>
      </w:pPr>
      <w:r>
        <w:rPr>
          <w:b/>
          <w:noProof/>
          <w:lang w:val="sv-SE"/>
        </w:rPr>
        <w:t>Version suédoise</w:t>
      </w:r>
    </w:p>
    <w:p>
      <w:pPr>
        <w:spacing w:before="100" w:beforeAutospacing="1" w:after="100" w:afterAutospacing="1"/>
        <w:jc w:val="left"/>
        <w:rPr>
          <w:rFonts w:eastAsia="Times New Roman"/>
          <w:noProof/>
          <w:szCs w:val="24"/>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highlight w:val="yellow"/>
        </w:rPr>
        <w:t>Version hébraïque</w:t>
      </w:r>
    </w:p>
    <w:p>
      <w:pPr>
        <w:widowControl w:val="0"/>
        <w:spacing w:before="0" w:after="0" w:line="360" w:lineRule="auto"/>
        <w:jc w:val="center"/>
        <w:rPr>
          <w:rFonts w:eastAsia="Times New Roman"/>
          <w:noProof/>
          <w:szCs w:val="20"/>
          <w:vertAlign w:val="superscript"/>
        </w:rPr>
      </w:pPr>
      <w:r>
        <w:rPr>
          <w:noProof/>
        </w:rPr>
        <w:t>..........................................................................................................................................................(</w:t>
      </w:r>
      <w:r>
        <w:rPr>
          <w:rStyle w:val="FootnoteReference"/>
          <w:noProof/>
        </w:rPr>
        <w:footnoteReference w:id="26"/>
      </w:r>
      <w:r>
        <w:rPr>
          <w:noProof/>
        </w:rPr>
        <w:t xml:space="preserve">)  </w:t>
      </w:r>
      <w:r>
        <w:rPr>
          <w:noProof/>
          <w:vertAlign w:val="superscript"/>
        </w:rPr>
        <w:t>(Lieu et date)</w:t>
      </w:r>
    </w:p>
    <w:p>
      <w:pPr>
        <w:widowControl w:val="0"/>
        <w:spacing w:before="0" w:after="0" w:line="360" w:lineRule="auto"/>
        <w:jc w:val="left"/>
        <w:rPr>
          <w:rFonts w:eastAsia="Times New Roman"/>
          <w:noProof/>
          <w:szCs w:val="20"/>
        </w:rPr>
      </w:pPr>
      <w:r>
        <w:rPr>
          <w:noProof/>
        </w:rPr>
        <w:t>..........................................................................................................................................................(</w:t>
      </w:r>
      <w:r>
        <w:rPr>
          <w:rStyle w:val="FootnoteReference"/>
          <w:noProof/>
        </w:rPr>
        <w:footnoteReference w:id="27"/>
      </w:r>
      <w:r>
        <w:rPr>
          <w:noProof/>
        </w:rPr>
        <w:t xml:space="preserve">)  </w:t>
      </w:r>
    </w:p>
    <w:p>
      <w:pPr>
        <w:widowControl w:val="0"/>
        <w:spacing w:before="0" w:after="0" w:line="360" w:lineRule="auto"/>
        <w:jc w:val="center"/>
        <w:rPr>
          <w:rFonts w:eastAsia="Times New Roman"/>
          <w:noProof/>
          <w:szCs w:val="20"/>
        </w:rPr>
      </w:pPr>
      <w:r>
        <w:rPr>
          <w:noProof/>
        </w:rPr>
        <w:t>CHAPITRE II</w:t>
      </w:r>
    </w:p>
    <w:p>
      <w:pPr>
        <w:widowControl w:val="0"/>
        <w:spacing w:before="0" w:after="0" w:line="360" w:lineRule="auto"/>
        <w:jc w:val="center"/>
        <w:rPr>
          <w:rFonts w:eastAsia="Times New Roman"/>
          <w:b/>
          <w:noProof/>
          <w:szCs w:val="20"/>
        </w:rPr>
      </w:pPr>
      <w:r>
        <w:rPr>
          <w:b/>
          <w:noProof/>
        </w:rPr>
        <w:t>Dispositions finales et générales</w:t>
      </w:r>
    </w:p>
    <w:p>
      <w:pPr>
        <w:widowControl w:val="0"/>
        <w:spacing w:before="0" w:after="0" w:line="360" w:lineRule="auto"/>
        <w:jc w:val="center"/>
        <w:rPr>
          <w:rFonts w:eastAsia="Times New Roman"/>
          <w:noProof/>
          <w:szCs w:val="20"/>
        </w:rPr>
      </w:pPr>
      <w:r>
        <w:rPr>
          <w:noProof/>
        </w:rPr>
        <w:t>ARTICLE 4</w:t>
      </w:r>
    </w:p>
    <w:p>
      <w:pPr>
        <w:autoSpaceDE w:val="0"/>
        <w:autoSpaceDN w:val="0"/>
        <w:adjustRightInd w:val="0"/>
        <w:spacing w:before="0" w:after="0" w:line="360" w:lineRule="auto"/>
        <w:jc w:val="left"/>
        <w:rPr>
          <w:rFonts w:eastAsia="Times New Roman"/>
          <w:b/>
          <w:noProof/>
          <w:szCs w:val="20"/>
        </w:rPr>
      </w:pPr>
      <w:r>
        <w:rPr>
          <w:noProof/>
        </w:rPr>
        <w:t>Israël s’engage à ne revendiquer, demander ou renvoyer, ni modifier ou retirer aucune concession relevant des articles XXIV.6 et XXVIII du GATT de 1994 en liaison avec cet élargissement de l’Union.</w:t>
      </w:r>
      <w:r>
        <w:rPr>
          <w:b/>
          <w:noProof/>
        </w:rPr>
        <w:t xml:space="preserve"> </w:t>
      </w:r>
    </w:p>
    <w:p>
      <w:pPr>
        <w:widowControl w:val="0"/>
        <w:spacing w:before="0" w:after="0" w:line="360" w:lineRule="auto"/>
        <w:jc w:val="center"/>
        <w:rPr>
          <w:rFonts w:eastAsia="Times New Roman"/>
          <w:noProof/>
          <w:szCs w:val="20"/>
        </w:rPr>
      </w:pPr>
      <w:r>
        <w:rPr>
          <w:noProof/>
        </w:rPr>
        <w:t>ARTICLE 5</w:t>
      </w:r>
    </w:p>
    <w:p>
      <w:pPr>
        <w:widowControl w:val="0"/>
        <w:spacing w:before="0" w:after="0" w:line="360" w:lineRule="auto"/>
        <w:jc w:val="left"/>
        <w:rPr>
          <w:rFonts w:eastAsia="Times New Roman"/>
          <w:noProof/>
          <w:szCs w:val="20"/>
        </w:rPr>
      </w:pPr>
      <w:r>
        <w:rPr>
          <w:noProof/>
        </w:rPr>
        <w:t xml:space="preserve">En temps utile après le paraphe du présent protocole, l’Union européenne communique la version de l’accord en langue croate à ses États membres et à l’État d’Israël. Sous réserve de l’entrée en vigueur du présent protocole, la version linguistique visée à la première phrase du présent article fait foi dans les mêmes conditions que les versions allemande, anglaise, bulgare, danoise, espagnole, estonienne, finnoise, française, grecque, hébraïque, hongroise, italienne, lettonne, lituanienne, maltaise, néerlandaise, polonaise, portugaise, roumaine, slovaque, slovène, suédoise et tchèque de l’accord. </w:t>
      </w:r>
    </w:p>
    <w:p>
      <w:pPr>
        <w:widowControl w:val="0"/>
        <w:spacing w:before="0" w:after="0" w:line="360" w:lineRule="auto"/>
        <w:jc w:val="center"/>
        <w:rPr>
          <w:rFonts w:eastAsia="Times New Roman"/>
          <w:noProof/>
          <w:szCs w:val="20"/>
        </w:rPr>
      </w:pPr>
      <w:r>
        <w:rPr>
          <w:noProof/>
        </w:rPr>
        <w:t>ARTICLE 6</w:t>
      </w:r>
    </w:p>
    <w:p>
      <w:pPr>
        <w:widowControl w:val="0"/>
        <w:spacing w:before="0" w:after="0" w:line="360" w:lineRule="auto"/>
        <w:jc w:val="left"/>
        <w:rPr>
          <w:rFonts w:eastAsia="Times New Roman"/>
          <w:noProof/>
          <w:szCs w:val="20"/>
        </w:rPr>
      </w:pPr>
      <w:r>
        <w:rPr>
          <w:noProof/>
        </w:rPr>
        <w:t xml:space="preserve">Le présent protocole et son annexe font partie intégrante de l’accord. </w:t>
      </w:r>
    </w:p>
    <w:p>
      <w:pPr>
        <w:widowControl w:val="0"/>
        <w:spacing w:before="0" w:after="0" w:line="360" w:lineRule="auto"/>
        <w:jc w:val="center"/>
        <w:rPr>
          <w:rFonts w:eastAsia="Times New Roman"/>
          <w:noProof/>
          <w:szCs w:val="20"/>
        </w:rPr>
      </w:pPr>
      <w:r>
        <w:rPr>
          <w:noProof/>
        </w:rPr>
        <w:t>ARTICLE 7</w:t>
      </w:r>
    </w:p>
    <w:p>
      <w:pPr>
        <w:widowControl w:val="0"/>
        <w:spacing w:before="0" w:after="0" w:line="360" w:lineRule="auto"/>
        <w:jc w:val="left"/>
        <w:rPr>
          <w:rFonts w:eastAsia="Times New Roman"/>
          <w:noProof/>
          <w:szCs w:val="20"/>
        </w:rPr>
      </w:pPr>
      <w:r>
        <w:rPr>
          <w:noProof/>
        </w:rPr>
        <w:t>1.</w:t>
      </w:r>
      <w:r>
        <w:rPr>
          <w:noProof/>
        </w:rPr>
        <w:tab/>
        <w:t xml:space="preserve">Le présent protocole est approuvé par l’Union européenne, par le Conseil de l’Union européenne au nom des États membres et par Israël, selon les procédures qui leur sont propres. Les parties contractantes se notifient l’accomplissement des formalités nécessaires à cet effet. Les instruments d’approbation sont déposés auprès du secrétariat général du Conseil de l’Union européenne. </w:t>
      </w:r>
    </w:p>
    <w:p>
      <w:pPr>
        <w:widowControl w:val="0"/>
        <w:spacing w:before="0" w:after="0" w:line="360" w:lineRule="auto"/>
        <w:jc w:val="left"/>
        <w:rPr>
          <w:rFonts w:eastAsia="Times New Roman"/>
          <w:noProof/>
          <w:szCs w:val="20"/>
        </w:rPr>
      </w:pPr>
      <w:r>
        <w:rPr>
          <w:noProof/>
        </w:rPr>
        <w:t>2.</w:t>
      </w:r>
      <w:r>
        <w:rPr>
          <w:noProof/>
        </w:rPr>
        <w:tab/>
        <w:t xml:space="preserve">Le présent protocole entre en vigueur le premier jour du mois suivant la date à laquelle toutes les parties se sont notifié l’accomplissement des procédures nécessaires à cet effet. </w:t>
      </w:r>
    </w:p>
    <w:p>
      <w:pPr>
        <w:widowControl w:val="0"/>
        <w:spacing w:before="100" w:beforeAutospacing="1" w:after="100" w:afterAutospacing="1" w:line="360" w:lineRule="auto"/>
        <w:jc w:val="left"/>
        <w:rPr>
          <w:rFonts w:eastAsia="Times New Roman"/>
          <w:noProof/>
          <w:szCs w:val="20"/>
        </w:rPr>
      </w:pPr>
      <w:r>
        <w:rPr>
          <w:noProof/>
        </w:rPr>
        <w:t>3.</w:t>
      </w:r>
      <w:r>
        <w:rPr>
          <w:noProof/>
        </w:rPr>
        <w:tab/>
        <w:t>Dans l’attente de son entrée en vigueur, le présent protocole s’applique à titre provisoire avec effet au 1</w:t>
      </w:r>
      <w:r>
        <w:rPr>
          <w:noProof/>
          <w:vertAlign w:val="superscript"/>
        </w:rPr>
        <w:t>er</w:t>
      </w:r>
      <w:r>
        <w:rPr>
          <w:noProof/>
        </w:rPr>
        <w:t xml:space="preserve"> juillet 2013. </w:t>
      </w:r>
    </w:p>
    <w:p>
      <w:pPr>
        <w:widowControl w:val="0"/>
        <w:spacing w:before="0" w:after="0" w:line="360" w:lineRule="auto"/>
        <w:jc w:val="center"/>
        <w:rPr>
          <w:rFonts w:eastAsia="Times New Roman"/>
          <w:noProof/>
          <w:szCs w:val="20"/>
        </w:rPr>
      </w:pPr>
      <w:r>
        <w:rPr>
          <w:noProof/>
        </w:rPr>
        <w:t>ARTICLE 8</w:t>
      </w:r>
    </w:p>
    <w:p>
      <w:pPr>
        <w:widowControl w:val="0"/>
        <w:spacing w:before="100" w:beforeAutospacing="1" w:after="100" w:afterAutospacing="1" w:line="360" w:lineRule="auto"/>
        <w:jc w:val="left"/>
        <w:rPr>
          <w:rFonts w:eastAsia="Times New Roman"/>
          <w:noProof/>
          <w:szCs w:val="20"/>
        </w:rPr>
      </w:pPr>
      <w:r>
        <w:rPr>
          <w:noProof/>
        </w:rPr>
        <w:t>Le présent protocole est rédigé en double exemplaire en langues allemande, anglaise, bulgare, croate, danoise, espagnole, estonienne, finnoise, française, grecque, hongroise, italienne, lettonne, lituanienne, maltaise, néerlandaise, polonaise, portugaise, roumaine, slovaque, slovène, suédoise, tchèque et hébraïque, tous les textes faisant également foi.</w:t>
      </w:r>
    </w:p>
    <w:p>
      <w:pPr>
        <w:widowControl w:val="0"/>
        <w:spacing w:before="0" w:after="0" w:line="360" w:lineRule="auto"/>
        <w:jc w:val="left"/>
        <w:rPr>
          <w:rFonts w:eastAsia="Times New Roman"/>
          <w:noProof/>
          <w:szCs w:val="20"/>
        </w:rPr>
      </w:pPr>
      <w:r>
        <w:rPr>
          <w:noProof/>
        </w:rPr>
        <w:t>EN FOI DE QUOI, les plénipotentiaires soussignés, dûment habilités à cet effet,</w:t>
      </w:r>
    </w:p>
    <w:p>
      <w:pPr>
        <w:widowControl w:val="0"/>
        <w:spacing w:before="0" w:after="0" w:line="360" w:lineRule="auto"/>
        <w:jc w:val="left"/>
        <w:rPr>
          <w:rFonts w:eastAsia="Times New Roman"/>
          <w:noProof/>
          <w:szCs w:val="20"/>
        </w:rPr>
      </w:pPr>
      <w:r>
        <w:rPr>
          <w:noProof/>
        </w:rPr>
        <w:t xml:space="preserve">ont signé le présent protocole. </w:t>
      </w:r>
    </w:p>
    <w:p>
      <w:pPr>
        <w:widowControl w:val="0"/>
        <w:spacing w:before="0" w:after="0" w:line="360" w:lineRule="auto"/>
        <w:jc w:val="left"/>
        <w:rPr>
          <w:rFonts w:eastAsia="Times New Roman"/>
          <w:noProof/>
          <w:szCs w:val="20"/>
        </w:rPr>
      </w:pPr>
      <w:r>
        <w:rPr>
          <w:noProof/>
        </w:rPr>
        <w:t>Fait à …, le …</w:t>
      </w:r>
    </w:p>
    <w:p>
      <w:pPr>
        <w:widowControl w:val="0"/>
        <w:spacing w:before="0" w:after="0" w:line="360" w:lineRule="auto"/>
        <w:jc w:val="left"/>
        <w:rPr>
          <w:rFonts w:eastAsia="Times New Roman"/>
          <w:noProof/>
          <w:szCs w:val="20"/>
        </w:rPr>
      </w:pPr>
      <w:r>
        <w:rPr>
          <w:noProof/>
        </w:rPr>
        <w:t>POUR L’UNION EUROPÉENNE ET SES ÉTATS MEMBRES</w:t>
      </w:r>
    </w:p>
    <w:p>
      <w:pPr>
        <w:widowControl w:val="0"/>
        <w:spacing w:before="0" w:after="0" w:line="360" w:lineRule="auto"/>
        <w:jc w:val="left"/>
        <w:rPr>
          <w:rFonts w:eastAsia="Times New Roman"/>
          <w:noProof/>
          <w:szCs w:val="20"/>
        </w:rPr>
      </w:pPr>
      <w:r>
        <w:rPr>
          <w:noProof/>
        </w:rPr>
        <w:t>POUR L’ÉTAT D’ISRAËL</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caps/>
          <w:noProof/>
          <w:szCs w:val="20"/>
        </w:rPr>
      </w:pPr>
      <w:r>
        <w:rPr>
          <w:caps/>
          <w:noProof/>
        </w:rPr>
        <w:t xml:space="preserve">Annexe </w:t>
      </w:r>
    </w:p>
    <w:p>
      <w:pPr>
        <w:widowControl w:val="0"/>
        <w:spacing w:before="0" w:after="0" w:line="360" w:lineRule="auto"/>
        <w:rPr>
          <w:rFonts w:eastAsia="Times New Roman"/>
          <w:caps/>
          <w:noProof/>
          <w:szCs w:val="20"/>
        </w:rPr>
      </w:pPr>
      <w:r>
        <w:rPr>
          <w:caps/>
          <w:noProof/>
        </w:rPr>
        <w:t>Modifications apportées au protocole 1 relatif au régime applicable à l’importation dans l’UE de produits agricoles et de produits agricoles transformés originaires d’Israël</w:t>
      </w:r>
    </w:p>
    <w:p>
      <w:pPr>
        <w:widowControl w:val="0"/>
        <w:spacing w:before="0" w:after="0" w:line="360" w:lineRule="auto"/>
        <w:rPr>
          <w:rFonts w:eastAsia="Times New Roman"/>
          <w:noProof/>
          <w:szCs w:val="20"/>
        </w:rPr>
      </w:pPr>
      <w:r>
        <w:rPr>
          <w:noProof/>
        </w:rPr>
        <w:t>Les concessions visées dans la présente annexe 1 remplacent, pour les produits énumérés ci-dessous, les concessions appliquées actuellement dans le cadre de l’accord d’association (protocole nº 1). Pour tous les produits qui ne sont pas visés dans la présente annexe 1, les concessions appliquées actuellement demeurent inchangées.</w:t>
      </w:r>
    </w:p>
    <w:p>
      <w:pPr>
        <w:widowControl w:val="0"/>
        <w:spacing w:before="0" w:after="0" w:line="360" w:lineRule="auto"/>
        <w:rPr>
          <w:rFonts w:eastAsia="Times New Roman"/>
          <w:noProof/>
          <w:szCs w:val="20"/>
        </w:rPr>
      </w:pPr>
      <w:r>
        <w:rPr>
          <w:noProof/>
        </w:rPr>
        <w:t>L’entrée suivante est ajoutée au tableau 2 de l’annexe du protocole nº 1:</w:t>
      </w:r>
    </w:p>
    <w:p>
      <w:pPr>
        <w:widowControl w:val="0"/>
        <w:spacing w:before="0" w:after="0" w:line="360" w:lineRule="auto"/>
        <w:jc w:val="center"/>
        <w:rPr>
          <w:rFonts w:eastAsia="Times New Roman"/>
          <w:noProof/>
          <w:szCs w:val="20"/>
        </w:rPr>
      </w:pPr>
      <w:r>
        <w:rPr>
          <w:noProof/>
        </w:rPr>
        <w:t>«Tableau 2</w:t>
      </w:r>
    </w:p>
    <w:tbl>
      <w:tblPr>
        <w:tblW w:w="11246" w:type="dxa"/>
        <w:jc w:val="center"/>
        <w:tblInd w:w="-923" w:type="dxa"/>
        <w:tblCellMar>
          <w:left w:w="0" w:type="dxa"/>
          <w:right w:w="0" w:type="dxa"/>
        </w:tblCellMar>
        <w:tblLook w:val="04A0" w:firstRow="1" w:lastRow="0" w:firstColumn="1" w:lastColumn="0" w:noHBand="0" w:noVBand="1"/>
      </w:tblPr>
      <w:tblGrid>
        <w:gridCol w:w="1578"/>
        <w:gridCol w:w="1952"/>
        <w:gridCol w:w="1953"/>
        <w:gridCol w:w="1824"/>
        <w:gridCol w:w="2040"/>
        <w:gridCol w:w="1899"/>
      </w:tblGrid>
      <w:tr>
        <w:trPr>
          <w:trHeight w:val="1302"/>
          <w:tblHeader/>
          <w:jc w:val="center"/>
        </w:trPr>
        <w:tc>
          <w:tcPr>
            <w:tcW w:w="1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40" w:after="20" w:line="276" w:lineRule="auto"/>
              <w:ind w:right="476"/>
              <w:jc w:val="center"/>
              <w:rPr>
                <w:rFonts w:eastAsia="Calibri"/>
                <w:noProof/>
                <w:sz w:val="20"/>
                <w:szCs w:val="20"/>
              </w:rPr>
            </w:pPr>
            <w:r>
              <w:rPr>
                <w:noProof/>
                <w:sz w:val="20"/>
              </w:rPr>
              <w:t>Code NC</w:t>
            </w:r>
          </w:p>
          <w:p>
            <w:pPr>
              <w:spacing w:before="40" w:after="20" w:line="276" w:lineRule="auto"/>
              <w:rPr>
                <w:rFonts w:eastAsia="Calibri"/>
                <w:noProof/>
                <w:sz w:val="20"/>
                <w:szCs w:val="20"/>
              </w:rPr>
            </w:pP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jc w:val="center"/>
              <w:rPr>
                <w:rFonts w:eastAsia="Calibri"/>
                <w:noProof/>
                <w:sz w:val="20"/>
                <w:szCs w:val="20"/>
              </w:rPr>
            </w:pPr>
            <w:r>
              <w:rPr>
                <w:noProof/>
                <w:sz w:val="20"/>
              </w:rPr>
              <w:t xml:space="preserve">Désignation des marchandises </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Taux de réduction des droits de douane NPF (%)</w:t>
            </w:r>
          </w:p>
        </w:tc>
        <w:tc>
          <w:tcPr>
            <w:tcW w:w="1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Contingent tarifaire (tonnes, poids net, sauf indication contraire)</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rPr>
            </w:pPr>
            <w:r>
              <w:rPr>
                <w:noProof/>
                <w:spacing w:val="-4"/>
                <w:sz w:val="20"/>
              </w:rPr>
              <w:t>Taux de réduction des droits de douane NPF</w:t>
            </w:r>
          </w:p>
          <w:p>
            <w:pPr>
              <w:spacing w:before="40" w:after="20" w:line="276" w:lineRule="auto"/>
              <w:ind w:left="-11" w:right="-11"/>
              <w:jc w:val="center"/>
              <w:rPr>
                <w:rFonts w:eastAsia="Calibri"/>
                <w:noProof/>
                <w:sz w:val="20"/>
                <w:szCs w:val="20"/>
              </w:rPr>
            </w:pPr>
            <w:r>
              <w:rPr>
                <w:noProof/>
                <w:spacing w:val="-4"/>
                <w:sz w:val="20"/>
              </w:rPr>
              <w:t>applicables au-delà du contingent tarifaire existant (%) </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Dispositions spécifiques</w:t>
            </w:r>
          </w:p>
        </w:tc>
      </w:tr>
      <w:tr>
        <w:trPr>
          <w:trHeight w:val="2079"/>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20" w:after="40" w:line="276" w:lineRule="auto"/>
              <w:jc w:val="center"/>
              <w:rPr>
                <w:rFonts w:eastAsia="Calibri"/>
                <w:noProof/>
                <w:sz w:val="20"/>
                <w:szCs w:val="20"/>
              </w:rPr>
            </w:pPr>
            <w:r>
              <w:rPr>
                <w:noProof/>
                <w:sz w:val="20"/>
              </w:rPr>
              <w:t>2008 70 61</w:t>
            </w:r>
          </w:p>
          <w:p>
            <w:pPr>
              <w:spacing w:before="20" w:after="40" w:line="276" w:lineRule="auto"/>
              <w:jc w:val="center"/>
              <w:rPr>
                <w:rFonts w:eastAsia="Calibri"/>
                <w:noProof/>
                <w:sz w:val="20"/>
                <w:szCs w:val="20"/>
              </w:rPr>
            </w:pPr>
          </w:p>
          <w:p>
            <w:pPr>
              <w:spacing w:before="20" w:after="40" w:line="276" w:lineRule="auto"/>
              <w:jc w:val="center"/>
              <w:rPr>
                <w:rFonts w:eastAsia="Calibri"/>
                <w:noProof/>
                <w:sz w:val="20"/>
                <w:szCs w:val="20"/>
              </w:rPr>
            </w:pPr>
          </w:p>
          <w:p>
            <w:pPr>
              <w:spacing w:before="20" w:after="40" w:line="276" w:lineRule="auto"/>
              <w:jc w:val="center"/>
              <w:rPr>
                <w:rFonts w:eastAsia="Calibri"/>
                <w:noProof/>
                <w:sz w:val="20"/>
                <w:szCs w:val="20"/>
              </w:rPr>
            </w:pPr>
          </w:p>
          <w:p>
            <w:pPr>
              <w:spacing w:before="20" w:after="40" w:line="276" w:lineRule="auto"/>
              <w:jc w:val="center"/>
              <w:rPr>
                <w:rFonts w:eastAsia="Calibri"/>
                <w:noProof/>
                <w:sz w:val="20"/>
                <w:szCs w:val="20"/>
              </w:rPr>
            </w:pPr>
          </w:p>
          <w:p>
            <w:pPr>
              <w:spacing w:before="20" w:after="40" w:line="276" w:lineRule="auto"/>
              <w:jc w:val="center"/>
              <w:rPr>
                <w:rFonts w:eastAsia="Calibri"/>
                <w:noProof/>
                <w:sz w:val="20"/>
                <w:szCs w:val="20"/>
              </w:rPr>
            </w:pPr>
          </w:p>
          <w:p>
            <w:pPr>
              <w:spacing w:before="40" w:after="20" w:line="276" w:lineRule="auto"/>
              <w:ind w:right="476"/>
              <w:jc w:val="center"/>
              <w:rPr>
                <w:rFonts w:eastAsia="Calibri"/>
                <w:noProof/>
                <w:sz w:val="20"/>
                <w:szCs w:val="20"/>
              </w:rPr>
            </w:pPr>
          </w:p>
          <w:p>
            <w:pPr>
              <w:spacing w:before="40" w:after="20" w:line="276" w:lineRule="auto"/>
              <w:ind w:right="476"/>
              <w:jc w:val="center"/>
              <w:rPr>
                <w:rFonts w:eastAsia="Calibri"/>
                <w:noProof/>
                <w:sz w:val="20"/>
                <w:szCs w:val="20"/>
              </w:rPr>
            </w:pPr>
          </w:p>
          <w:p>
            <w:pPr>
              <w:spacing w:before="40" w:after="20" w:line="276" w:lineRule="auto"/>
              <w:ind w:right="476"/>
              <w:jc w:val="center"/>
              <w:rPr>
                <w:rFonts w:eastAsia="Calibri"/>
                <w:noProof/>
                <w:sz w:val="20"/>
                <w:szCs w:val="20"/>
              </w:rPr>
            </w:pPr>
          </w:p>
        </w:tc>
        <w:tc>
          <w:tcPr>
            <w:tcW w:w="1952"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before="0" w:after="0" w:line="276" w:lineRule="auto"/>
              <w:jc w:val="left"/>
              <w:rPr>
                <w:rFonts w:eastAsia="Calibri"/>
                <w:noProof/>
                <w:sz w:val="20"/>
                <w:szCs w:val="20"/>
              </w:rPr>
            </w:pPr>
            <w:r>
              <w:rPr>
                <w:noProof/>
                <w:sz w:val="20"/>
              </w:rPr>
              <w:t>Pêches, y compris les brugnons et nectarines, sans addition d’alcool, avec addition de sucre, en emballages immédiats d’un contenu net excédant 1 kg, d’une teneur en sucres excédant 13 % en poids</w:t>
            </w:r>
          </w:p>
          <w:p>
            <w:pPr>
              <w:spacing w:before="40" w:after="20" w:line="276" w:lineRule="auto"/>
              <w:jc w:val="left"/>
              <w:rPr>
                <w:rFonts w:eastAsia="Calibri"/>
                <w:noProof/>
                <w:sz w:val="20"/>
                <w:szCs w:val="20"/>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74 %</w:t>
            </w:r>
          </w:p>
        </w:tc>
        <w:tc>
          <w:tcPr>
            <w:tcW w:w="18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555</w:t>
            </w:r>
          </w:p>
        </w:tc>
        <w:tc>
          <w:tcPr>
            <w:tcW w:w="20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rPr>
            </w:pPr>
            <w:r>
              <w:rPr>
                <w:noProof/>
                <w:spacing w:val="-4"/>
                <w:sz w:val="20"/>
              </w:rPr>
              <w:t>-</w:t>
            </w:r>
          </w:p>
        </w:tc>
        <w:tc>
          <w:tcPr>
            <w:tcW w:w="18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w:t>
            </w:r>
          </w:p>
        </w:tc>
      </w:tr>
      <w:tr>
        <w:trPr>
          <w:trHeight w:val="2078"/>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20" w:after="40" w:line="276" w:lineRule="auto"/>
              <w:jc w:val="center"/>
              <w:rPr>
                <w:rFonts w:eastAsia="Calibri"/>
                <w:noProof/>
                <w:sz w:val="20"/>
                <w:szCs w:val="20"/>
              </w:rPr>
            </w:pPr>
            <w:r>
              <w:rPr>
                <w:noProof/>
                <w:sz w:val="20"/>
              </w:rPr>
              <w:t>2008 70 92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line="276" w:lineRule="auto"/>
              <w:jc w:val="left"/>
              <w:rPr>
                <w:rFonts w:eastAsia="Calibri"/>
                <w:noProof/>
                <w:sz w:val="20"/>
                <w:szCs w:val="20"/>
              </w:rPr>
            </w:pPr>
            <w:r>
              <w:rPr>
                <w:noProof/>
                <w:sz w:val="20"/>
              </w:rPr>
              <w:t>Pêches, y compris les brugnons et nectarines, sans addition d’alcool, sans addition de sucre, en emballages immédiats d’un contenu net de 5 kg ou plus</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67 %»</w:t>
            </w: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rPr>
            </w:pP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pacing w:val="-4"/>
                <w:sz w:val="20"/>
                <w:szCs w:val="20"/>
              </w:rPr>
            </w:pPr>
          </w:p>
        </w:tc>
        <w:tc>
          <w:tcPr>
            <w:tcW w:w="1899" w:type="dxa"/>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2">
    <w:p>
      <w:pPr>
        <w:pStyle w:val="FootnoteText"/>
        <w:rPr>
          <w:vertAlign w:val="superscript"/>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3">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4">
    <w:p>
      <w:pPr>
        <w:pStyle w:val="FootnoteText"/>
        <w:rPr>
          <w:vertAlign w:val="superscript"/>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5">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6">
    <w:p>
      <w:pPr>
        <w:pStyle w:val="FootnoteText"/>
        <w:rPr>
          <w:rStyle w:val="FootnoteReference"/>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7">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8">
    <w:p>
      <w:pPr>
        <w:pStyle w:val="FootnoteText"/>
        <w:rPr>
          <w:rStyle w:val="FootnoteReference"/>
        </w:rPr>
      </w:pPr>
      <w:r>
        <w:rPr>
          <w:rStyle w:val="FootnoteReference"/>
        </w:rPr>
        <w:footnoteRef/>
      </w:r>
      <w:r>
        <w:tab/>
      </w:r>
      <w:r>
        <w:rPr>
          <w:rStyle w:val="FootnoteReference"/>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9">
    <w:p>
      <w:pPr>
        <w:pStyle w:val="FootnoteText"/>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 w:id="10">
    <w:p>
      <w:pPr>
        <w:pStyle w:val="FootnoteText"/>
      </w:pPr>
      <w:r>
        <w:rPr>
          <w:rStyle w:val="FootnoteReference"/>
        </w:rPr>
        <w:footnoteRef/>
      </w:r>
      <w:r>
        <w:tab/>
      </w:r>
      <w:r>
        <w:rPr>
          <w:rStyle w:val="FootnoteReference"/>
        </w:rPr>
        <w:t>Voir l’article 22, paragraphe 5, du protocole. Dans les cas où l’exportateur n’est pas tenu de signer, la dispense de signature dégage aussi de l’obligation d’indiquer le nom du signataire.</w:t>
      </w:r>
      <w:r>
        <w:t xml:space="preserve"> </w:t>
      </w:r>
    </w:p>
  </w:footnote>
  <w:footnote w:id="11">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2">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3">
    <w:p>
      <w:pPr>
        <w:pStyle w:val="FootnoteText"/>
        <w:rPr>
          <w:rStyle w:val="FootnoteReference"/>
        </w:rPr>
      </w:pPr>
      <w:r>
        <w:rPr>
          <w:rStyle w:val="FootnoteReference"/>
        </w:rPr>
        <w:footnoteRef/>
      </w:r>
      <w:r>
        <w:tab/>
      </w:r>
      <w:r>
        <w:rPr>
          <w:rStyle w:val="FootnoteReference"/>
        </w:rPr>
        <w:t>À remplir et à supprimer selon le cas.</w:t>
      </w:r>
      <w:r>
        <w:t xml:space="preserve"> </w:t>
      </w:r>
    </w:p>
  </w:footnote>
  <w:footnote w:id="14">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5">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6">
    <w:p>
      <w:pPr>
        <w:pStyle w:val="FootnoteText"/>
      </w:pPr>
      <w:r>
        <w:rPr>
          <w:rStyle w:val="FootnoteReference"/>
        </w:rPr>
        <w:footnoteRef/>
      </w:r>
      <w:r>
        <w:tab/>
      </w:r>
      <w:r>
        <w:rPr>
          <w:rStyle w:val="FootnoteReference"/>
        </w:rPr>
        <w:t>À remplir et à supprimer selon le cas.</w:t>
      </w:r>
    </w:p>
  </w:footnote>
  <w:footnote w:id="17">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8">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9">
    <w:p>
      <w:pPr>
        <w:pStyle w:val="FootnoteText"/>
      </w:pPr>
      <w:r>
        <w:rPr>
          <w:rStyle w:val="FootnoteReference"/>
        </w:rPr>
        <w:footnoteRef/>
      </w:r>
      <w:r>
        <w:tab/>
      </w:r>
      <w:r>
        <w:rPr>
          <w:rStyle w:val="FootnoteReference"/>
        </w:rPr>
        <w:t>À remplir et à supprimer selon le cas.</w:t>
      </w:r>
    </w:p>
  </w:footnote>
  <w:footnote w:id="20">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21">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2">
    <w:p>
      <w:pPr>
        <w:pStyle w:val="FootnoteText"/>
      </w:pPr>
      <w:r>
        <w:rPr>
          <w:rStyle w:val="FootnoteReference"/>
        </w:rPr>
        <w:footnoteRef/>
      </w:r>
      <w:r>
        <w:tab/>
      </w:r>
      <w:r>
        <w:rPr>
          <w:rStyle w:val="FootnoteReference"/>
        </w:rPr>
        <w:t>À remplir et à supprimer selon le cas.</w:t>
      </w:r>
    </w:p>
  </w:footnote>
  <w:footnote w:id="23">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24">
    <w:p>
      <w:pPr>
        <w:pStyle w:val="FootnoteText"/>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5">
    <w:p>
      <w:pPr>
        <w:pStyle w:val="FootnoteText"/>
      </w:pPr>
      <w:r>
        <w:rPr>
          <w:rStyle w:val="FootnoteReference"/>
        </w:rPr>
        <w:footnoteRef/>
      </w:r>
      <w:r>
        <w:tab/>
      </w:r>
      <w:r>
        <w:rPr>
          <w:rStyle w:val="FootnoteReference"/>
        </w:rPr>
        <w:t>À remplir et à supprimer selon le cas.</w:t>
      </w:r>
    </w:p>
  </w:footnote>
  <w:footnote w:id="26">
    <w:p>
      <w:pPr>
        <w:pStyle w:val="FootnoteText"/>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 w:id="27">
    <w:p>
      <w:pPr>
        <w:pStyle w:val="FootnoteText"/>
      </w:pPr>
      <w:r>
        <w:rPr>
          <w:rStyle w:val="FootnoteReference"/>
        </w:rPr>
        <w:footnoteRef/>
      </w:r>
      <w:r>
        <w:tab/>
      </w:r>
      <w:r>
        <w:rPr>
          <w:rStyle w:val="FootnoteReference"/>
        </w:rPr>
        <w:t>Voir l’article 22, paragraphe 5, du protocole. Dans les cas où l’exportateur n’est pas tenu de signer, la dispense de signature dégage aussi de l’obligation d’indiquer le nom du signataire.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02FA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10F0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144B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FA8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925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48CC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460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B806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5: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12BCAB7-31C8-4731-82B5-85048A64DF12"/>
    <w:docVar w:name="LW_COVERPAGE_TYPE" w:val="1"/>
    <w:docVar w:name="LW_CROSSREFERENCE" w:val="&lt;UNUSED&gt;"/>
    <w:docVar w:name="LW_DocType" w:val="ANNEX"/>
    <w:docVar w:name="LW_EMISSION" w:val="4.4.2018"/>
    <w:docVar w:name="LW_EMISSION_ISODATE" w:val="2018-04-0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et de ses États membres, _x000b_et à l\u8217?application provisoire d\u8217?un protocole à l\u8217?accord euro-méditerranéen _x000b_établissant une association entre les Communautés européennes _x000b_et leurs États membres, d\u8217?une part, et l\u8217?État d\u8217?Israël, d\u8217?autre part, _x000b_afin de tenir compte de l\u8217?adhésion de la République de Croatie à l\u8217?Union européenne"/>
    <w:docVar w:name="LW_OBJETACTEPRINCIPAL.CP" w:val="relative à la signature, au nom de l\u8217?Union européenne et de ses États membres, _x000b_et à l\u8217?application provisoire d\u8217?un protocole à l\u8217?accord euro-méditerranéen _x000b_établissant une association entre les Communautés européennes _x000b_et leurs États membres, d\u8217?une part, et l\u8217?État d\u8217?Israël, d\u8217?autre part, _x000b_afin de tenir compte de l\u8217?adhésion de la République de Croatie à l\u8217?Union européenne"/>
    <w:docVar w:name="LW_PART_NBR" w:val="1"/>
    <w:docVar w:name="LW_PART_NBR_TOTAL" w:val="1"/>
    <w:docVar w:name="LW_REF.INST.NEW" w:val="COM"/>
    <w:docVar w:name="LW_REF.INST.NEW_ADOPTED" w:val="final"/>
    <w:docVar w:name="LW_REF.INST.NEW_TEXT" w:val="(2018)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link w:val="FooterCoverPage"/>
    <w:rPr>
      <w:rFonts w:ascii="Times New Roman" w:eastAsia="Times New Roman" w:hAnsi="Times New Roman" w:cs="Times New Roman"/>
      <w:sz w:val="24"/>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rPr>
  </w:style>
  <w:style w:type="character" w:customStyle="1" w:styleId="FooterCoverPageChar">
    <w:name w:val="Footer Cover Page Char"/>
    <w:link w:val="FooterCoverPage"/>
    <w:rPr>
      <w:rFonts w:ascii="Times New Roman" w:eastAsia="Times New Roman" w:hAnsi="Times New Roman" w:cs="Times New Roman"/>
      <w:sz w:val="24"/>
      <w:szCs w:val="20"/>
      <w:lang w:val="fr-FR"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2780</Words>
  <Characters>16991</Characters>
  <Application>Microsoft Office Word</Application>
  <DocSecurity>0</DocSecurity>
  <Lines>424</Lines>
  <Paragraphs>286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2018-02-06T15:22:00Z</dcterms:created>
  <dcterms:modified xsi:type="dcterms:W3CDTF">2018-03-23T08:05:00Z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