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4D2" w:rsidRDefault="00730FFD" w:rsidP="00FA3985">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7D14AB7-C642-4B18-85E2-7FF8488AB839" style="width:450.8pt;height:365.65pt">
            <v:imagedata r:id="rId8" o:title=""/>
          </v:shape>
        </w:pict>
      </w:r>
    </w:p>
    <w:p w:rsidR="00CA54D2" w:rsidRDefault="00CA54D2">
      <w:pPr>
        <w:rPr>
          <w:noProof/>
        </w:rPr>
        <w:sectPr w:rsidR="00CA54D2" w:rsidSect="00FA3985">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CA54D2" w:rsidRDefault="00FA3985">
      <w:pPr>
        <w:pStyle w:val="Exposdesmotifstitre"/>
        <w:rPr>
          <w:noProof/>
        </w:rPr>
      </w:pPr>
      <w:r>
        <w:rPr>
          <w:noProof/>
        </w:rPr>
        <w:lastRenderedPageBreak/>
        <w:t>ОБЯСНИТЕЛЕН МЕМОРАНДУМ</w:t>
      </w:r>
    </w:p>
    <w:p w:rsidR="00CA54D2" w:rsidRDefault="00FA3985">
      <w:pPr>
        <w:pStyle w:val="ManualHeading1"/>
        <w:rPr>
          <w:rFonts w:eastAsia="Arial Unicode MS"/>
          <w:noProof/>
        </w:rPr>
      </w:pPr>
      <w:r>
        <w:t>1.</w:t>
      </w:r>
      <w:r>
        <w:tab/>
      </w:r>
      <w:r>
        <w:rPr>
          <w:noProof/>
        </w:rPr>
        <w:t>Предмет на предложението</w:t>
      </w:r>
    </w:p>
    <w:p w:rsidR="00CA54D2" w:rsidRDefault="00FA3985">
      <w:pPr>
        <w:rPr>
          <w:rFonts w:eastAsia="Arial Unicode MS"/>
          <w:noProof/>
        </w:rPr>
      </w:pPr>
      <w:r>
        <w:rPr>
          <w:noProof/>
        </w:rPr>
        <w:t>Настоящото предложение се отнася за решение за определяне на позицията, която да се заеме от името на ЕС във връзка с предвиденото приемане на вътрешен процедурен правилник на Съвместния комитет, учреден съгласно Споразумението за Общоевропейско авиационно пространство.</w:t>
      </w:r>
    </w:p>
    <w:p w:rsidR="00CA54D2" w:rsidRDefault="00FA3985">
      <w:pPr>
        <w:pStyle w:val="ManualHeading1"/>
        <w:rPr>
          <w:noProof/>
        </w:rPr>
      </w:pPr>
      <w:r>
        <w:t>2.</w:t>
      </w:r>
      <w:r>
        <w:tab/>
      </w:r>
      <w:r>
        <w:rPr>
          <w:noProof/>
        </w:rPr>
        <w:t>Контекст на предложението</w:t>
      </w:r>
    </w:p>
    <w:p w:rsidR="00CA54D2" w:rsidRDefault="00FA3985">
      <w:pPr>
        <w:pStyle w:val="ManualHeading2"/>
        <w:rPr>
          <w:noProof/>
        </w:rPr>
      </w:pPr>
      <w:r>
        <w:t>2.1.</w:t>
      </w:r>
      <w:r>
        <w:tab/>
      </w:r>
      <w:r>
        <w:rPr>
          <w:noProof/>
        </w:rPr>
        <w:t>Многостранното споразумение за Общоевропейско авиационно пространство (ECAA)</w:t>
      </w:r>
    </w:p>
    <w:p w:rsidR="00CA54D2" w:rsidRDefault="00FA3985">
      <w:pPr>
        <w:rPr>
          <w:rFonts w:eastAsia="Arial Unicode MS"/>
          <w:noProof/>
        </w:rPr>
      </w:pPr>
      <w:r>
        <w:rPr>
          <w:noProof/>
        </w:rPr>
        <w:t>Многостранното споразумение между Европейската общност и нейните държави членки, Република Албания, Босна и Херцеговина, бившата югославска република Македония, Република Исландия, Република Черна гора, Кралство Норвегия, Република Сърбия и Временната административна мисия на ООН в Косово</w:t>
      </w:r>
      <w:r>
        <w:rPr>
          <w:rStyle w:val="FootnoteReference"/>
          <w:noProof/>
        </w:rPr>
        <w:footnoteReference w:id="1"/>
      </w:r>
      <w:r>
        <w:rPr>
          <w:noProof/>
        </w:rPr>
        <w:t xml:space="preserve"> относно създаването на Общоевропейско авиационно пространство („Споразумението за ЕСАА“) има за цел да бъде създадено Общоевропейско авиационно пространство, базиращо се на свободен достъп до пазара, свобода на установяване, еднакви условия за конкуренция и общи правила, включително в областите на безопасността, сигурността, управлението на въздушното движение, социалните отношения и околната среда. Споразумението за ЕСАА влезе в сила на 1 декември 2017 г.</w:t>
      </w:r>
    </w:p>
    <w:p w:rsidR="00CA54D2" w:rsidRDefault="00FA3985">
      <w:pPr>
        <w:rPr>
          <w:rFonts w:eastAsia="Arial Unicode MS"/>
          <w:noProof/>
        </w:rPr>
      </w:pPr>
      <w:r>
        <w:rPr>
          <w:noProof/>
        </w:rPr>
        <w:t>Европейският съюз е страна по Споразумението за ЕСАА</w:t>
      </w:r>
      <w:r>
        <w:rPr>
          <w:rStyle w:val="FootnoteReference"/>
          <w:noProof/>
        </w:rPr>
        <w:footnoteReference w:id="2"/>
      </w:r>
      <w:r>
        <w:rPr>
          <w:noProof/>
        </w:rPr>
        <w:t xml:space="preserve">. </w:t>
      </w:r>
    </w:p>
    <w:p w:rsidR="00CA54D2" w:rsidRDefault="00FA3985">
      <w:pPr>
        <w:pStyle w:val="ManualHeading2"/>
        <w:rPr>
          <w:noProof/>
        </w:rPr>
      </w:pPr>
      <w:r>
        <w:t>2.</w:t>
      </w:r>
      <w:proofErr w:type="spellStart"/>
      <w:r>
        <w:t>2</w:t>
      </w:r>
      <w:proofErr w:type="spellEnd"/>
      <w:r>
        <w:t>.</w:t>
      </w:r>
      <w:r>
        <w:tab/>
      </w:r>
      <w:r>
        <w:rPr>
          <w:noProof/>
        </w:rPr>
        <w:t>Съвместният комитет</w:t>
      </w:r>
    </w:p>
    <w:p w:rsidR="00CA54D2" w:rsidRDefault="00FA3985">
      <w:pPr>
        <w:rPr>
          <w:rFonts w:eastAsia="Arial Unicode MS"/>
          <w:noProof/>
        </w:rPr>
      </w:pPr>
      <w:r>
        <w:rPr>
          <w:noProof/>
        </w:rPr>
        <w:t>Съвместният комитет, създаден по силата на член 18 от Споразумението за ЕСАА, отговаря за администрирането на Споразумението и е длъжен да гарантира неговото правилно прилагане посредством издаването на препоръки и решения в предвидените по Споразумението случаи. Съвместният комитет взема решения с единодушие. При все това, той може за някои специфични въпроси да въведе процедура за решаването им чрез гласуване с мнозинство. Съвместният комитет се председателства от Европейската комисия, като държавите членки участват в него.</w:t>
      </w:r>
    </w:p>
    <w:p w:rsidR="00CA54D2" w:rsidRDefault="00FA3985">
      <w:pPr>
        <w:pStyle w:val="ManualHeading2"/>
        <w:rPr>
          <w:noProof/>
        </w:rPr>
      </w:pPr>
      <w:r>
        <w:t>2.3.</w:t>
      </w:r>
      <w:r>
        <w:tab/>
      </w:r>
      <w:r>
        <w:rPr>
          <w:noProof/>
        </w:rPr>
        <w:t>Предвидените действия на Съвместния комитет</w:t>
      </w:r>
    </w:p>
    <w:p w:rsidR="00CA54D2" w:rsidRDefault="00FA3985">
      <w:pPr>
        <w:rPr>
          <w:rFonts w:eastAsia="Arial Unicode MS"/>
          <w:noProof/>
        </w:rPr>
      </w:pPr>
      <w:r>
        <w:rPr>
          <w:noProof/>
        </w:rPr>
        <w:t xml:space="preserve">На своето първо заседание Съвместният комитет следва да приеме свой вътрешен процедурен правилник. </w:t>
      </w:r>
    </w:p>
    <w:p w:rsidR="00CA54D2" w:rsidRDefault="00FA3985">
      <w:pPr>
        <w:rPr>
          <w:rFonts w:eastAsia="Arial Unicode MS"/>
          <w:noProof/>
        </w:rPr>
      </w:pPr>
      <w:r>
        <w:rPr>
          <w:noProof/>
        </w:rPr>
        <w:t xml:space="preserve">Този акт е предвидено да бъде приет съгласно член 18, параграф 5 от Споразумението за ЕСАА, в който е посочено, че Съвместният комитет „приема свой процедурен правилник“. </w:t>
      </w:r>
    </w:p>
    <w:p w:rsidR="00CA54D2" w:rsidRDefault="00FA3985">
      <w:pPr>
        <w:pStyle w:val="ManualHeading1"/>
        <w:rPr>
          <w:rFonts w:eastAsia="Arial Unicode MS"/>
          <w:noProof/>
        </w:rPr>
      </w:pPr>
      <w:r>
        <w:t>3.</w:t>
      </w:r>
      <w:r>
        <w:tab/>
      </w:r>
      <w:r>
        <w:rPr>
          <w:noProof/>
        </w:rPr>
        <w:t>Позиция, която следва ДА СЕ ЗАЕМЕ от името на Съюза</w:t>
      </w:r>
    </w:p>
    <w:p w:rsidR="00CA54D2" w:rsidRDefault="00FA3985">
      <w:pPr>
        <w:rPr>
          <w:noProof/>
        </w:rPr>
      </w:pPr>
      <w:r>
        <w:rPr>
          <w:noProof/>
        </w:rPr>
        <w:t>От Съвета се изисква да определи позицията от името на ЕС по отношение на вътрешния процедурен правилник, така че Съвместният комитет да може да функционира по подходящ начин, в съответствие с член 18, параграф 5 от Споразумението за ЕСАА.</w:t>
      </w:r>
    </w:p>
    <w:p w:rsidR="00CA54D2" w:rsidRDefault="00FA3985">
      <w:pPr>
        <w:rPr>
          <w:rFonts w:eastAsia="Arial Unicode MS"/>
          <w:noProof/>
        </w:rPr>
      </w:pPr>
      <w:r>
        <w:rPr>
          <w:noProof/>
        </w:rPr>
        <w:lastRenderedPageBreak/>
        <w:t>В качеството си на страна по Споразумението ЕС е длъжен да представи своя позиция на партньорите си в ЕСАА по време на съответната сесия на Съвместния комитет, която позиция да дава възможност за правилно прилагане на Споразумението и за изпълнение на поетите с него задължения.</w:t>
      </w:r>
    </w:p>
    <w:p w:rsidR="00CA54D2" w:rsidRDefault="00FA3985">
      <w:pPr>
        <w:pStyle w:val="ManualHeading1"/>
        <w:rPr>
          <w:noProof/>
        </w:rPr>
      </w:pPr>
      <w:r>
        <w:t>4.</w:t>
      </w:r>
      <w:r>
        <w:tab/>
      </w:r>
      <w:r>
        <w:rPr>
          <w:noProof/>
        </w:rPr>
        <w:t>Правно основание</w:t>
      </w:r>
    </w:p>
    <w:p w:rsidR="00CA54D2" w:rsidRDefault="00FA3985">
      <w:pPr>
        <w:pStyle w:val="ManualHeading2"/>
        <w:rPr>
          <w:noProof/>
        </w:rPr>
      </w:pPr>
      <w:r>
        <w:t>4.1.</w:t>
      </w:r>
      <w:r>
        <w:tab/>
      </w:r>
      <w:r>
        <w:rPr>
          <w:noProof/>
        </w:rPr>
        <w:t>Процесуалноправно основание</w:t>
      </w:r>
    </w:p>
    <w:p w:rsidR="00CA54D2" w:rsidRDefault="00FA3985">
      <w:pPr>
        <w:pStyle w:val="ManualHeading3"/>
        <w:rPr>
          <w:noProof/>
        </w:rPr>
      </w:pPr>
      <w:r>
        <w:t>4.1.</w:t>
      </w:r>
      <w:proofErr w:type="spellStart"/>
      <w:r>
        <w:t>1</w:t>
      </w:r>
      <w:proofErr w:type="spellEnd"/>
      <w:r>
        <w:t>.</w:t>
      </w:r>
      <w:r>
        <w:tab/>
      </w:r>
      <w:r>
        <w:rPr>
          <w:noProof/>
        </w:rPr>
        <w:t>Принципи</w:t>
      </w:r>
    </w:p>
    <w:p w:rsidR="00CA54D2" w:rsidRDefault="00FA3985">
      <w:pPr>
        <w:rPr>
          <w:noProof/>
        </w:rPr>
      </w:pPr>
      <w:r>
        <w:rPr>
          <w:noProof/>
        </w:rPr>
        <w:t xml:space="preserve">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rsidR="00CA54D2" w:rsidRDefault="00FA3985">
      <w:pPr>
        <w:pStyle w:val="ManualHeading3"/>
        <w:rPr>
          <w:noProof/>
        </w:rPr>
      </w:pPr>
      <w:r>
        <w:t>4.1.2.</w:t>
      </w:r>
      <w:r>
        <w:tab/>
      </w:r>
      <w:r>
        <w:rPr>
          <w:noProof/>
        </w:rPr>
        <w:t>Приложение в разглеждания случай</w:t>
      </w:r>
    </w:p>
    <w:p w:rsidR="00CA54D2" w:rsidRDefault="00FA3985">
      <w:pPr>
        <w:rPr>
          <w:noProof/>
        </w:rPr>
      </w:pPr>
      <w:r>
        <w:rPr>
          <w:noProof/>
        </w:rPr>
        <w:t>Съвместният комитет е орган, създаден със споразумение, а именно Споразумението за ЕСАА.</w:t>
      </w:r>
    </w:p>
    <w:p w:rsidR="00CA54D2" w:rsidRDefault="00FA3985">
      <w:pPr>
        <w:rPr>
          <w:noProof/>
        </w:rPr>
      </w:pPr>
      <w:r>
        <w:rPr>
          <w:noProof/>
        </w:rPr>
        <w:t xml:space="preserve">Актът, който Съвместният комитет има за задача да приеме, представлява акт с правно действие. Предвиденият акт ще бъде обвързващ съгласно международното право в съответствие с член 19 от Споразумението за ЕСАА. </w:t>
      </w:r>
    </w:p>
    <w:p w:rsidR="00CA54D2" w:rsidRDefault="00FA3985">
      <w:pPr>
        <w:rPr>
          <w:noProof/>
        </w:rPr>
      </w:pPr>
      <w:r>
        <w:rPr>
          <w:noProof/>
        </w:rPr>
        <w:t>Предвиденият акт не допълва, нито изменя институционалната рамка на Споразумението за ЕСАА.</w:t>
      </w:r>
    </w:p>
    <w:p w:rsidR="00CA54D2" w:rsidRDefault="00FA3985">
      <w:pPr>
        <w:rPr>
          <w:noProof/>
        </w:rPr>
      </w:pPr>
      <w:r>
        <w:rPr>
          <w:noProof/>
        </w:rPr>
        <w:t>Поради това процесуалноправното основание за предложеното решение е член 218, параграф 9 от ДФЕС.</w:t>
      </w:r>
    </w:p>
    <w:p w:rsidR="00CA54D2" w:rsidRDefault="00FA3985">
      <w:pPr>
        <w:pStyle w:val="ManualHeading2"/>
        <w:rPr>
          <w:noProof/>
        </w:rPr>
      </w:pPr>
      <w:r>
        <w:t>4.2.</w:t>
      </w:r>
      <w:r>
        <w:tab/>
      </w:r>
      <w:r>
        <w:rPr>
          <w:noProof/>
        </w:rPr>
        <w:t>Материалноправно основание</w:t>
      </w:r>
    </w:p>
    <w:p w:rsidR="00CA54D2" w:rsidRDefault="00FA3985">
      <w:pPr>
        <w:pStyle w:val="ManualHeading3"/>
        <w:rPr>
          <w:noProof/>
        </w:rPr>
      </w:pPr>
      <w:r>
        <w:t>4.2.1.</w:t>
      </w:r>
      <w:r>
        <w:tab/>
      </w:r>
      <w:r>
        <w:rPr>
          <w:noProof/>
        </w:rPr>
        <w:t>Принципи</w:t>
      </w:r>
    </w:p>
    <w:p w:rsidR="00CA54D2" w:rsidRDefault="00FA3985">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rsidR="00CA54D2" w:rsidRDefault="00FA3985">
      <w:pPr>
        <w:pStyle w:val="ManualHeading3"/>
        <w:rPr>
          <w:noProof/>
        </w:rPr>
      </w:pPr>
      <w:r>
        <w:t>4.2.</w:t>
      </w:r>
      <w:proofErr w:type="spellStart"/>
      <w:r>
        <w:t>2</w:t>
      </w:r>
      <w:proofErr w:type="spellEnd"/>
      <w:r>
        <w:t>.</w:t>
      </w:r>
      <w:r>
        <w:tab/>
      </w:r>
      <w:r>
        <w:rPr>
          <w:noProof/>
        </w:rPr>
        <w:t>Приложение в разглеждания случай</w:t>
      </w:r>
    </w:p>
    <w:p w:rsidR="00CA54D2" w:rsidRDefault="00FA3985">
      <w:pPr>
        <w:rPr>
          <w:noProof/>
        </w:rPr>
      </w:pPr>
      <w:r>
        <w:rPr>
          <w:noProof/>
        </w:rPr>
        <w:t>Основната цел и съдържание на предвидения акт са свързани с въздушния транспорт.</w:t>
      </w:r>
    </w:p>
    <w:p w:rsidR="00CA54D2" w:rsidRDefault="00FA3985">
      <w:pPr>
        <w:rPr>
          <w:noProof/>
        </w:rPr>
      </w:pPr>
      <w:r>
        <w:rPr>
          <w:noProof/>
        </w:rPr>
        <w:t>Поради това материалноправното основание за предложеното решение е член 100, параграф 2 от ДФЕС.</w:t>
      </w:r>
    </w:p>
    <w:p w:rsidR="00CA54D2" w:rsidRDefault="00FA3985">
      <w:pPr>
        <w:pStyle w:val="ManualHeading2"/>
        <w:rPr>
          <w:noProof/>
        </w:rPr>
      </w:pPr>
      <w:r>
        <w:t>4.3.</w:t>
      </w:r>
      <w:r>
        <w:tab/>
      </w:r>
      <w:r>
        <w:rPr>
          <w:noProof/>
        </w:rPr>
        <w:t>Заключение</w:t>
      </w:r>
    </w:p>
    <w:p w:rsidR="00CA54D2" w:rsidRDefault="00FA3985">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rsidR="00CA54D2" w:rsidRDefault="00FA3985">
      <w:pPr>
        <w:pStyle w:val="ManualHeading1"/>
        <w:rPr>
          <w:noProof/>
        </w:rPr>
      </w:pPr>
      <w:r>
        <w:t>5.</w:t>
      </w:r>
      <w:r>
        <w:tab/>
      </w:r>
      <w:r>
        <w:rPr>
          <w:noProof/>
        </w:rPr>
        <w:t>Публикуване на предвидения акт</w:t>
      </w:r>
    </w:p>
    <w:p w:rsidR="00CA54D2" w:rsidRDefault="00FA3985">
      <w:pPr>
        <w:rPr>
          <w:noProof/>
        </w:rPr>
      </w:pPr>
      <w:r>
        <w:rPr>
          <w:noProof/>
        </w:rPr>
        <w:t xml:space="preserve">Съгласно член 19 от Споразумението за ЕСАА решенията на Съвместния комитет се публикуват след тяхното приемане в </w:t>
      </w:r>
      <w:r>
        <w:rPr>
          <w:i/>
          <w:noProof/>
        </w:rPr>
        <w:t>Официален вестник на Европейския съюз</w:t>
      </w:r>
      <w:r>
        <w:rPr>
          <w:noProof/>
        </w:rPr>
        <w:t>.</w:t>
      </w:r>
    </w:p>
    <w:p w:rsidR="00FA3985" w:rsidRDefault="00FA3985">
      <w:pPr>
        <w:spacing w:before="0" w:after="200" w:line="276" w:lineRule="auto"/>
        <w:jc w:val="left"/>
        <w:rPr>
          <w:noProof/>
        </w:rPr>
      </w:pPr>
      <w:bookmarkStart w:id="0" w:name="_GoBack"/>
      <w:bookmarkEnd w:id="0"/>
      <w:r>
        <w:rPr>
          <w:noProof/>
        </w:rPr>
        <w:br w:type="page"/>
      </w:r>
    </w:p>
    <w:p w:rsidR="00FA3985" w:rsidRDefault="00FA3985">
      <w:pPr>
        <w:spacing w:before="0" w:after="200" w:line="276" w:lineRule="auto"/>
        <w:jc w:val="left"/>
        <w:rPr>
          <w:noProof/>
        </w:rPr>
      </w:pPr>
    </w:p>
    <w:p w:rsidR="00CA54D2" w:rsidRDefault="00FA3985">
      <w:pPr>
        <w:pStyle w:val="Rfrenceinterinstitutionnelle"/>
        <w:rPr>
          <w:noProof/>
        </w:rPr>
      </w:pPr>
      <w:r>
        <w:rPr>
          <w:noProof/>
        </w:rPr>
        <w:t>2018/0077 (NLE)</w:t>
      </w:r>
    </w:p>
    <w:p w:rsidR="00CA54D2" w:rsidRDefault="00FA3985">
      <w:pPr>
        <w:pStyle w:val="Statut"/>
        <w:rPr>
          <w:noProof/>
        </w:rPr>
      </w:pPr>
      <w:r>
        <w:rPr>
          <w:noProof/>
        </w:rPr>
        <w:t>Предложение за</w:t>
      </w:r>
    </w:p>
    <w:p w:rsidR="00CA54D2" w:rsidRDefault="00FA3985">
      <w:pPr>
        <w:pStyle w:val="Typedudocument"/>
        <w:rPr>
          <w:noProof/>
        </w:rPr>
      </w:pPr>
      <w:r>
        <w:rPr>
          <w:noProof/>
        </w:rPr>
        <w:t>РЕШЕНИЕ НА СЪВЕТА</w:t>
      </w:r>
    </w:p>
    <w:p w:rsidR="00CA54D2" w:rsidRDefault="00FA3985">
      <w:pPr>
        <w:pStyle w:val="Titreobjet"/>
        <w:rPr>
          <w:noProof/>
        </w:rPr>
      </w:pPr>
      <w:r>
        <w:rPr>
          <w:noProof/>
        </w:rPr>
        <w:t>относно позицията, която да се заеме от името на Европейския съюз в Съвместния комитет, учреден съгласно Споразумението за Общоевропейско авиационно пространство (ЕСАА), по отношение на неговия вътрешен процедурен правилник</w:t>
      </w:r>
    </w:p>
    <w:p w:rsidR="00CA54D2" w:rsidRDefault="00FA3985">
      <w:pPr>
        <w:pStyle w:val="Institutionquiagit"/>
        <w:rPr>
          <w:noProof/>
        </w:rPr>
      </w:pPr>
      <w:r>
        <w:rPr>
          <w:noProof/>
        </w:rPr>
        <w:t>СЪВЕТЪТ НА ЕВРОПЕЙСКИЯ СЪЮЗ,</w:t>
      </w:r>
    </w:p>
    <w:p w:rsidR="00CA54D2" w:rsidRDefault="00FA3985">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rsidR="00CA54D2" w:rsidRDefault="00FA3985">
      <w:pPr>
        <w:rPr>
          <w:noProof/>
        </w:rPr>
      </w:pPr>
      <w:r>
        <w:rPr>
          <w:noProof/>
        </w:rPr>
        <w:t>като взе предвид предложението на Комисията,</w:t>
      </w:r>
    </w:p>
    <w:p w:rsidR="00CA54D2" w:rsidRDefault="00FA3985">
      <w:pPr>
        <w:rPr>
          <w:noProof/>
        </w:rPr>
      </w:pPr>
      <w:r>
        <w:rPr>
          <w:noProof/>
        </w:rPr>
        <w:t>като има предвид, че:</w:t>
      </w:r>
    </w:p>
    <w:p w:rsidR="00CA54D2" w:rsidRDefault="00FA3985">
      <w:pPr>
        <w:pStyle w:val="ManualConsidrant"/>
        <w:rPr>
          <w:noProof/>
        </w:rPr>
      </w:pPr>
      <w:r>
        <w:t>(1)</w:t>
      </w:r>
      <w:r>
        <w:tab/>
      </w:r>
      <w:r>
        <w:rPr>
          <w:noProof/>
        </w:rPr>
        <w:t>Многостранното Споразумение за създаване на Общоевропейско авиационно пространство („Споразумението за ЕСАА“) бе сключено от името на ЕС с Решение 2018/145 на Съвета</w:t>
      </w:r>
      <w:r>
        <w:rPr>
          <w:rStyle w:val="FootnoteReference"/>
          <w:noProof/>
        </w:rPr>
        <w:footnoteReference w:id="3"/>
      </w:r>
      <w:r>
        <w:rPr>
          <w:noProof/>
        </w:rPr>
        <w:t xml:space="preserve"> и влезе в сила на 1 декември 2017 г. </w:t>
      </w:r>
    </w:p>
    <w:p w:rsidR="00CA54D2" w:rsidRDefault="00FA3985">
      <w:pPr>
        <w:pStyle w:val="ManualConsidrant"/>
        <w:rPr>
          <w:noProof/>
        </w:rPr>
      </w:pPr>
      <w:r>
        <w:t>(2)</w:t>
      </w:r>
      <w:r>
        <w:tab/>
      </w:r>
      <w:r>
        <w:rPr>
          <w:noProof/>
        </w:rPr>
        <w:t>Съгласно член 18, параграф 5 от Споразумението за ЕСАА Съвместният комитет трябва да приеме свой процедурен правилник.</w:t>
      </w:r>
    </w:p>
    <w:p w:rsidR="00CA54D2" w:rsidRDefault="00FA3985">
      <w:pPr>
        <w:pStyle w:val="ManualConsidrant"/>
        <w:rPr>
          <w:noProof/>
        </w:rPr>
      </w:pPr>
      <w:r>
        <w:t>(3)</w:t>
      </w:r>
      <w:r>
        <w:tab/>
      </w:r>
      <w:r>
        <w:rPr>
          <w:noProof/>
        </w:rPr>
        <w:t>Предвижда се на своето първо заседание, насрочено за 3 май 2018 г., Съвместният комитет да приеме вътрешен процедурен правилник в съответствие с член 18, параграф 5, за да може Съвместният комитет да функционира по подходящ начин.</w:t>
      </w:r>
    </w:p>
    <w:p w:rsidR="00CA54D2" w:rsidRDefault="00FA3985">
      <w:pPr>
        <w:pStyle w:val="ManualConsidrant"/>
        <w:rPr>
          <w:noProof/>
        </w:rPr>
      </w:pPr>
      <w:r>
        <w:t>(4)</w:t>
      </w:r>
      <w:r>
        <w:tab/>
      </w:r>
      <w:r>
        <w:rPr>
          <w:noProof/>
        </w:rPr>
        <w:t>Целесъобразно е да се установи позицията, която да се заеме от името на Съюза в рамките на Съвместния комитет, тъй като актът, който ще бъде приет от Съвместния комитет, ще бъде правно обвързващ.</w:t>
      </w:r>
    </w:p>
    <w:p w:rsidR="00CA54D2" w:rsidRDefault="00FA3985">
      <w:pPr>
        <w:pStyle w:val="ManualConsidrant"/>
        <w:rPr>
          <w:noProof/>
        </w:rPr>
      </w:pPr>
      <w:r>
        <w:t>(5)</w:t>
      </w:r>
      <w:r>
        <w:tab/>
      </w:r>
      <w:r>
        <w:rPr>
          <w:noProof/>
        </w:rPr>
        <w:t xml:space="preserve">Съгласно член 19, параграф 2 от Споразумението за ЕСАА решенията на Съвместния комитет се публикуват в </w:t>
      </w:r>
      <w:r>
        <w:rPr>
          <w:i/>
          <w:noProof/>
        </w:rPr>
        <w:t>Официален вестник на Европейския съюз</w:t>
      </w:r>
      <w:r>
        <w:rPr>
          <w:noProof/>
        </w:rPr>
        <w:t>,</w:t>
      </w:r>
    </w:p>
    <w:p w:rsidR="00CA54D2" w:rsidRDefault="00FA3985">
      <w:pPr>
        <w:pStyle w:val="Formuledadoption"/>
        <w:rPr>
          <w:noProof/>
        </w:rPr>
      </w:pPr>
      <w:r>
        <w:rPr>
          <w:noProof/>
        </w:rPr>
        <w:t>ПРИЕ НАСТОЯЩОТО РЕШЕНИЕ:</w:t>
      </w:r>
    </w:p>
    <w:p w:rsidR="00CA54D2" w:rsidRDefault="00FA3985">
      <w:pPr>
        <w:pStyle w:val="Titrearticle"/>
        <w:rPr>
          <w:noProof/>
        </w:rPr>
      </w:pPr>
      <w:r>
        <w:rPr>
          <w:noProof/>
        </w:rPr>
        <w:t>Член 1</w:t>
      </w:r>
    </w:p>
    <w:p w:rsidR="00CA54D2" w:rsidRDefault="00FA3985">
      <w:pPr>
        <w:rPr>
          <w:noProof/>
        </w:rPr>
      </w:pPr>
      <w:r>
        <w:rPr>
          <w:noProof/>
        </w:rPr>
        <w:t>Позицията, която трябва да се заеме от името на ЕС на първото заседание на Съвместния комитет, е следната:</w:t>
      </w:r>
    </w:p>
    <w:p w:rsidR="00CA54D2" w:rsidRDefault="00FA3985">
      <w:pPr>
        <w:rPr>
          <w:noProof/>
        </w:rPr>
      </w:pPr>
      <w:r>
        <w:rPr>
          <w:noProof/>
        </w:rPr>
        <w:t xml:space="preserve">— да се приеме вътрешният процедурен правилник на Съвместния комитет, даден в приложението към настоящото решение; </w:t>
      </w:r>
    </w:p>
    <w:p w:rsidR="00CA54D2" w:rsidRDefault="00FA3985">
      <w:pPr>
        <w:rPr>
          <w:noProof/>
        </w:rPr>
      </w:pPr>
      <w:r>
        <w:rPr>
          <w:noProof/>
          <w:color w:val="000000"/>
        </w:rPr>
        <w:t>Евентуални незначителни промени в проекторешението на Съвместния комитет могат да бъдат одобрени от представителите на ЕС в Съвместния комитет без допълнително решение на Съвета.</w:t>
      </w:r>
    </w:p>
    <w:p w:rsidR="00CA54D2" w:rsidRDefault="00FA3985">
      <w:pPr>
        <w:pStyle w:val="Titrearticle"/>
        <w:rPr>
          <w:noProof/>
        </w:rPr>
      </w:pPr>
      <w:r>
        <w:rPr>
          <w:noProof/>
        </w:rPr>
        <w:t>Член 2</w:t>
      </w:r>
    </w:p>
    <w:p w:rsidR="00CA54D2" w:rsidRDefault="00FA3985">
      <w:pPr>
        <w:rPr>
          <w:noProof/>
        </w:rPr>
      </w:pPr>
      <w:r>
        <w:rPr>
          <w:noProof/>
        </w:rPr>
        <w:t xml:space="preserve">След като бъдат приети, актовете на Съвместния комитет се публикуват в </w:t>
      </w:r>
      <w:r>
        <w:rPr>
          <w:i/>
          <w:noProof/>
        </w:rPr>
        <w:t>Официален вестник на Европейския съюз</w:t>
      </w:r>
      <w:r>
        <w:rPr>
          <w:noProof/>
        </w:rPr>
        <w:t>.</w:t>
      </w:r>
    </w:p>
    <w:p w:rsidR="00CA54D2" w:rsidRDefault="00FA3985">
      <w:pPr>
        <w:pStyle w:val="Titrearticle"/>
        <w:rPr>
          <w:noProof/>
        </w:rPr>
      </w:pPr>
      <w:r>
        <w:rPr>
          <w:noProof/>
        </w:rPr>
        <w:t>Член 3</w:t>
      </w:r>
    </w:p>
    <w:p w:rsidR="00CA54D2" w:rsidRDefault="00FA3985">
      <w:pPr>
        <w:rPr>
          <w:noProof/>
        </w:rPr>
      </w:pPr>
      <w:r>
        <w:rPr>
          <w:noProof/>
        </w:rPr>
        <w:t>Адресат на настоящото решение е Комисията.</w:t>
      </w:r>
    </w:p>
    <w:p w:rsidR="00CA54D2" w:rsidRDefault="00FA3985">
      <w:pPr>
        <w:pStyle w:val="Fait"/>
        <w:rPr>
          <w:noProof/>
        </w:rPr>
      </w:pPr>
      <w:r>
        <w:t xml:space="preserve">Съставено в Брюксел на </w:t>
      </w:r>
      <w:r>
        <w:rPr>
          <w:rStyle w:val="Marker"/>
        </w:rPr>
        <w:t>[…]</w:t>
      </w:r>
      <w:r>
        <w:t xml:space="preserve"> година.</w:t>
      </w:r>
    </w:p>
    <w:p w:rsidR="00CA54D2" w:rsidRDefault="00FA3985">
      <w:pPr>
        <w:pStyle w:val="Institutionquisigne"/>
        <w:rPr>
          <w:noProof/>
        </w:rPr>
      </w:pPr>
      <w:r>
        <w:rPr>
          <w:noProof/>
        </w:rPr>
        <w:tab/>
        <w:t>За Съвета</w:t>
      </w:r>
    </w:p>
    <w:p w:rsidR="00CA54D2" w:rsidRDefault="00FA3985">
      <w:pPr>
        <w:pStyle w:val="Personnequisigne"/>
        <w:rPr>
          <w:noProof/>
        </w:rPr>
      </w:pPr>
      <w:r>
        <w:rPr>
          <w:noProof/>
        </w:rPr>
        <w:tab/>
        <w:t>Председател</w:t>
      </w:r>
    </w:p>
    <w:sectPr w:rsidR="00CA54D2">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4D2" w:rsidRDefault="00FA3985">
      <w:pPr>
        <w:spacing w:before="0" w:after="0"/>
      </w:pPr>
      <w:r>
        <w:separator/>
      </w:r>
    </w:p>
  </w:endnote>
  <w:endnote w:type="continuationSeparator" w:id="0">
    <w:p w:rsidR="00CA54D2" w:rsidRDefault="00FA39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85" w:rsidRDefault="00FA39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D2" w:rsidRDefault="00FA3985">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sidR="00730FFD">
      <w:rPr>
        <w:noProof/>
      </w:rPr>
      <w:t>4</w:t>
    </w:r>
    <w:r>
      <w:fldChar w:fldCharType="end"/>
    </w:r>
    <w:r>
      <w:tab/>
    </w:r>
    <w:r>
      <w:tab/>
    </w:r>
    <w:r>
      <w:rPr>
        <w:rFonts w:ascii="Arial" w:hAnsi="Arial" w:cs="Arial"/>
        <w:b/>
        <w:sz w:val="48"/>
      </w:rPr>
      <w:t>BG</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4D2" w:rsidRDefault="00CA54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4D2" w:rsidRDefault="00FA3985">
      <w:pPr>
        <w:spacing w:before="0" w:after="0"/>
      </w:pPr>
      <w:r>
        <w:separator/>
      </w:r>
    </w:p>
  </w:footnote>
  <w:footnote w:type="continuationSeparator" w:id="0">
    <w:p w:rsidR="00CA54D2" w:rsidRDefault="00FA3985">
      <w:pPr>
        <w:spacing w:before="0" w:after="0"/>
      </w:pPr>
      <w:r>
        <w:continuationSeparator/>
      </w:r>
    </w:p>
  </w:footnote>
  <w:footnote w:id="1">
    <w:p w:rsidR="00CA54D2" w:rsidRDefault="00FA3985">
      <w:pPr>
        <w:pStyle w:val="FootnoteText"/>
      </w:pPr>
      <w:r>
        <w:rPr>
          <w:rStyle w:val="FootnoteReference"/>
        </w:rPr>
        <w:footnoteRef/>
      </w:r>
      <w:r>
        <w:tab/>
        <w:t>Съгласно Резолюция 1244 на Съвета за сигурност на ООН от 10 юни 1999 г.</w:t>
      </w:r>
    </w:p>
  </w:footnote>
  <w:footnote w:id="2">
    <w:p w:rsidR="00CA54D2" w:rsidRDefault="00FA3985">
      <w:pPr>
        <w:pStyle w:val="FootnoteText"/>
      </w:pPr>
      <w:r>
        <w:rPr>
          <w:rStyle w:val="FootnoteReference"/>
        </w:rPr>
        <w:footnoteRef/>
      </w:r>
      <w:r>
        <w:tab/>
        <w:t>ОВ L 26, 31.1.2018 г., стр. 1.</w:t>
      </w:r>
    </w:p>
  </w:footnote>
  <w:footnote w:id="3">
    <w:p w:rsidR="00CA54D2" w:rsidRDefault="00FA3985">
      <w:pPr>
        <w:pStyle w:val="FootnoteText"/>
      </w:pPr>
      <w:r>
        <w:rPr>
          <w:rStyle w:val="FootnoteReference"/>
        </w:rPr>
        <w:footnoteRef/>
      </w:r>
      <w:r>
        <w:tab/>
        <w:t>ОВ L 26, 31.1.2018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FFD" w:rsidRDefault="00730FF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85" w:rsidRDefault="00FA398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85" w:rsidRDefault="00FA398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85" w:rsidRDefault="00FA39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C4CEA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08F2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89E817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300BC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DD29D1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C6A857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B98FF7C"/>
    <w:lvl w:ilvl="0">
      <w:start w:val="1"/>
      <w:numFmt w:val="decimal"/>
      <w:pStyle w:val="ListNumber"/>
      <w:lvlText w:val="%1."/>
      <w:lvlJc w:val="left"/>
      <w:pPr>
        <w:tabs>
          <w:tab w:val="num" w:pos="360"/>
        </w:tabs>
        <w:ind w:left="360" w:hanging="360"/>
      </w:pPr>
    </w:lvl>
  </w:abstractNum>
  <w:abstractNum w:abstractNumId="7">
    <w:nsid w:val="FFFFFF89"/>
    <w:multiLevelType w:val="singleLevel"/>
    <w:tmpl w:val="0A3271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2 10:03:0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7D14AB7-C642-4B18-85E2-7FF8488AB839"/>
    <w:docVar w:name="LW_COVERPAGE_TYPE" w:val="1"/>
    <w:docVar w:name="LW_CROSSREFERENCE" w:val="&lt;UNUSED&gt;"/>
    <w:docVar w:name="LW_DocType" w:val="COM"/>
    <w:docVar w:name="LW_EMISSION" w:val="5.4.2018"/>
    <w:docVar w:name="LW_EMISSION_ISODATE" w:val="2018-04-05"/>
    <w:docVar w:name="LW_EMISSION_LOCATION" w:val="BRX"/>
    <w:docVar w:name="LW_EMISSION_PREFIX" w:val="Брюксел,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7"/>
    <w:docVar w:name="LW_REF.II.NEW.CP_YEAR" w:val="2018"/>
    <w:docVar w:name="LW_REF.INST.NEW" w:val="COM"/>
    <w:docVar w:name="LW_REF.INST.NEW_ADOPTED" w:val="final"/>
    <w:docVar w:name="LW_REF.INST.NEW_TEXT" w:val="(2018) 16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89?\u1077? \u1079?\u1072?\u1077?\u1084?\u1077? \u1086?\u1090? \u1080?\u1084?\u1077?\u1090?\u1086? \u1085?\u1072? \u1045?\u1074?\u1088?\u1086?\u1087?\u1077?\u1081?\u1089?\u1082?\u1080?\u1103? \u1089?\u1098?\u1102?\u1079? \u1074? \u1057?\u1098?\u1074?\u1084?\u1077?\u1089?\u1090?\u1085?\u1080?\u1103? \u1082?\u1086?\u1084?\u1080?\u1090?\u1077?\u1090?, \u1091?\u1095?\u1088?\u1077?\u1076?\u1077?\u1085? \u1089?\u1098?\u1075?\u1083?\u1072?\u1089?\u1085?\u1086? \u1057?\u1087?\u1086?\u1088?\u1072?\u1079?\u1091?\u1084?\u1077?\u1085?\u1080?\u1077?\u1090?\u1086? \u1079?\u1072? \u1054?\u1073?\u1097?\u1086?\u1077?\u1074?\u1088?\u1086?\u1087?\u1077?\u1081?\u1089?\u1082?\u1086? \u1072?\u1074?\u1080?\u1072?\u1094?\u1080?\u1086?\u1085?\u1085?\u1086? \u1087?\u1088?\u1086?\u1089?\u1090?\u1088?\u1072?\u1085?\u1089?\u1090?\u1074?\u1086? (\u1045?\u1057?\u1040?\u1040?), \u1087?\u1086? \u1086?\u1090?\u1085?\u1086?\u1096?\u1077?\u1085?\u1080?\u1077? \u1085?\u1072? \u1085?\u1077?\u1075?\u1086?\u1074?\u1080?\u1103? \u1074?\u1098?\u1090?\u1088?\u1077?\u1096?\u1077?\u1085? \u1087?\u1088?\u1086?\u1094?\u1077?\u1076?\u1091?\u1088?\u1077?\u1085? \u1087?\u1088?\u1072?\u1074?\u1080?\u1083?\u1085?\u1080?\u1082?"/>
    <w:docVar w:name="LW_TYPE.DOC.CP" w:val="\u1056?\u1045?\u1064?\u1045?\u1053?\u1048?\u1045? \u1053?\u1040? \u1057?\u1066?\u1042?\u1045?\u1058?\u1040?"/>
  </w:docVars>
  <w:rsids>
    <w:rsidRoot w:val="00CA54D2"/>
    <w:rsid w:val="00730FFD"/>
    <w:rsid w:val="00CA54D2"/>
    <w:rsid w:val="00FA3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FA3985"/>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FA3985"/>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rsid w:val="00FA3985"/>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rsid w:val="00FA3985"/>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EBE9E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Pages>
  <Words>1037</Words>
  <Characters>5914</Characters>
  <Application>Microsoft Office Word</Application>
  <DocSecurity>0</DocSecurity>
  <Lines>49</Lines>
  <Paragraphs>13</Paragraphs>
  <ScaleCrop>false</ScaleCrop>
  <Manager/>
  <Company/>
  <LinksUpToDate>false</LinksUpToDate>
  <CharactersWithSpaces>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dcterms:created xsi:type="dcterms:W3CDTF">2018-03-12T09:03:00Z</dcterms:created>
  <dcterms:modified xsi:type="dcterms:W3CDTF">2018-04-05T08:16:00Z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