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A2" w:rsidRDefault="00B91D09" w:rsidP="00B91D0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1A453D3-4623-4442-BF63-5FE249AEA632" style="width:450.75pt;height:389.25pt">
            <v:imagedata r:id="rId7" o:title=""/>
          </v:shape>
        </w:pict>
      </w:r>
    </w:p>
    <w:bookmarkEnd w:id="0"/>
    <w:p w:rsidR="00D63AA2" w:rsidRDefault="00D63AA2">
      <w:pPr>
        <w:rPr>
          <w:noProof/>
        </w:rPr>
        <w:sectPr w:rsidR="00D63AA2" w:rsidSect="00B91D09">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D63AA2" w:rsidRDefault="00B91D09">
      <w:pPr>
        <w:keepNext/>
        <w:tabs>
          <w:tab w:val="left" w:pos="480"/>
        </w:tabs>
        <w:spacing w:after="120" w:line="240" w:lineRule="auto"/>
        <w:ind w:left="480"/>
        <w:jc w:val="center"/>
        <w:outlineLvl w:val="0"/>
        <w:rPr>
          <w:rFonts w:ascii="Times New Roman" w:eastAsia="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Consultation des parties prenantes – rapport de synthèse</w:t>
      </w:r>
    </w:p>
    <w:p w:rsidR="00D63AA2" w:rsidRDefault="00D63AA2">
      <w:pPr>
        <w:spacing w:after="120" w:line="240" w:lineRule="auto"/>
        <w:jc w:val="both"/>
        <w:rPr>
          <w:rFonts w:ascii="Times New Roman" w:eastAsia="Times New Roman" w:hAnsi="Times New Roman" w:cs="Times New Roman"/>
          <w:b/>
          <w:noProof/>
          <w:sz w:val="24"/>
          <w:szCs w:val="24"/>
          <w:u w:val="single"/>
        </w:rPr>
      </w:pPr>
    </w:p>
    <w:p w:rsidR="00D63AA2" w:rsidRDefault="00B91D09">
      <w:pPr>
        <w:spacing w:after="12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u w:val="single"/>
        </w:rPr>
        <w:t>Contexte – Le socle européen des droits sociaux</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8 mars 2016, la Commission européenne a </w:t>
      </w:r>
      <w:r>
        <w:rPr>
          <w:rFonts w:ascii="Times New Roman" w:hAnsi="Times New Roman"/>
          <w:noProof/>
          <w:sz w:val="24"/>
        </w:rPr>
        <w:t>adopté une communication qui propose une première ébauche préliminaire de ce qui devrait devenir le socle européen des droits sociaux</w:t>
      </w:r>
      <w:r>
        <w:rPr>
          <w:rFonts w:ascii="Times New Roman" w:hAnsi="Times New Roman"/>
          <w:noProof/>
          <w:sz w:val="24"/>
          <w:vertAlign w:val="superscript"/>
        </w:rPr>
        <w:footnoteReference w:id="1"/>
      </w:r>
      <w:r>
        <w:rPr>
          <w:rFonts w:ascii="Times New Roman" w:hAnsi="Times New Roman"/>
          <w:noProof/>
          <w:sz w:val="24"/>
        </w:rPr>
        <w:t>. Cette communication expose les principes à la base de cette initiative, ainsi que le rôle de celle-ci, sa portée et sa n</w:t>
      </w:r>
      <w:r>
        <w:rPr>
          <w:rFonts w:ascii="Times New Roman" w:hAnsi="Times New Roman"/>
          <w:noProof/>
          <w:sz w:val="24"/>
        </w:rPr>
        <w:t>ature</w:t>
      </w:r>
      <w:r>
        <w:rPr>
          <w:rFonts w:ascii="Times New Roman" w:hAnsi="Times New Roman"/>
          <w:noProof/>
          <w:sz w:val="24"/>
          <w:vertAlign w:val="superscript"/>
        </w:rPr>
        <w:footnoteReference w:id="2"/>
      </w:r>
      <w:r>
        <w:rPr>
          <w:rFonts w:ascii="Times New Roman" w:hAnsi="Times New Roman"/>
          <w:noProof/>
          <w:sz w:val="24"/>
        </w:rPr>
        <w:t>.</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Sur cette base, la Commission a lancé, entre le mois de mars et le 31 décembre 2016, une large consultation publique afin de recueillir des avis sur le projet proposé, dans le but de les intégrer à la proposition finale. La consultation visait à dé</w:t>
      </w:r>
      <w:r>
        <w:rPr>
          <w:rFonts w:ascii="Times New Roman" w:hAnsi="Times New Roman"/>
          <w:noProof/>
          <w:sz w:val="24"/>
        </w:rPr>
        <w:t>battre des droits sociaux existants, des réalités mouvantes dans le monde du travail et dans les sociétés, et du rôle du socle dans le cadre de la dimension sociale de l’Union économique et monétaire. Une conférence européenne s’est tenue le 23 janvier 201</w:t>
      </w:r>
      <w:r>
        <w:rPr>
          <w:rFonts w:ascii="Times New Roman" w:hAnsi="Times New Roman"/>
          <w:noProof/>
          <w:sz w:val="24"/>
        </w:rPr>
        <w:t>7 pour conclure le processus de consultation</w:t>
      </w:r>
      <w:r>
        <w:rPr>
          <w:rFonts w:ascii="Times New Roman" w:hAnsi="Times New Roman"/>
          <w:noProof/>
          <w:sz w:val="24"/>
          <w:vertAlign w:val="superscript"/>
        </w:rPr>
        <w:footnoteReference w:id="3"/>
      </w:r>
      <w:r>
        <w:rPr>
          <w:rFonts w:ascii="Times New Roman" w:hAnsi="Times New Roman"/>
          <w:noProof/>
          <w:sz w:val="24"/>
        </w:rPr>
        <w:t>. Celle-ci portait essentiellement sur la manière de garantir la protection sociale de tous les types de travailleurs.</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parties prenantes ont déclaré qu’une protection sociale adéquate et pérenne devrait couv</w:t>
      </w:r>
      <w:r>
        <w:rPr>
          <w:rFonts w:ascii="Times New Roman" w:hAnsi="Times New Roman"/>
          <w:noProof/>
          <w:sz w:val="24"/>
        </w:rPr>
        <w:t xml:space="preserve">rir toutes les personnes, indépendamment de leur statut professionnel, en accordant une attention particulière aux plus vulnérables, sur la base d’une stratégie intégrée en matière de prestations sociales et de services, qui prévoit entre autres des soins </w:t>
      </w:r>
      <w:r>
        <w:rPr>
          <w:rFonts w:ascii="Times New Roman" w:hAnsi="Times New Roman"/>
          <w:noProof/>
          <w:sz w:val="24"/>
        </w:rPr>
        <w:t xml:space="preserve">de santé accessibles et durables tenant compte de la situation nationale, des soins de longue durée de qualité s’appuyant notamment sur des services de soins à domicile et de proximité, ainsi que des logements et une aide adaptés pour les sans-abri en vue </w:t>
      </w:r>
      <w:r>
        <w:rPr>
          <w:rFonts w:ascii="Times New Roman" w:hAnsi="Times New Roman"/>
          <w:noProof/>
          <w:sz w:val="24"/>
        </w:rPr>
        <w:t>de leur réinsertion sociale. Des prestations de chômage appropriées d’une durée raisonnable</w:t>
      </w:r>
      <w:r>
        <w:rPr>
          <w:rFonts w:ascii="Calibri" w:hAnsi="Calibri"/>
          <w:noProof/>
        </w:rPr>
        <w:t xml:space="preserve"> </w:t>
      </w:r>
      <w:r>
        <w:rPr>
          <w:rFonts w:ascii="Times New Roman" w:hAnsi="Times New Roman"/>
          <w:noProof/>
          <w:sz w:val="24"/>
        </w:rPr>
        <w:t>ainsi qu’un régime adéquat de revenu minimal devraient constituer un socle de protection sociale résilient à même de contribuer à la réinsertion sur le marché du tr</w:t>
      </w:r>
      <w:r>
        <w:rPr>
          <w:rFonts w:ascii="Times New Roman" w:hAnsi="Times New Roman"/>
          <w:noProof/>
          <w:sz w:val="24"/>
        </w:rPr>
        <w:t xml:space="preserve">avail. Les systèmes de retraite devraient fournir une protection adaptée contre la pauvreté des personnes âgées tout en assurant la pérennité, dans la perspective de protéger les générations futures et de consacrer les ressources nécessaires à une enfance </w:t>
      </w:r>
      <w:r>
        <w:rPr>
          <w:rFonts w:ascii="Times New Roman" w:hAnsi="Times New Roman"/>
          <w:noProof/>
          <w:sz w:val="24"/>
        </w:rPr>
        <w:t>sans pauvreté</w:t>
      </w:r>
      <w:r>
        <w:rPr>
          <w:rFonts w:ascii="Times New Roman" w:hAnsi="Times New Roman"/>
          <w:noProof/>
          <w:sz w:val="24"/>
          <w:vertAlign w:val="superscript"/>
        </w:rPr>
        <w:footnoteReference w:id="4"/>
      </w:r>
      <w:r>
        <w:rPr>
          <w:rFonts w:ascii="Times New Roman" w:hAnsi="Times New Roman"/>
          <w:noProof/>
          <w:sz w:val="24"/>
        </w:rPr>
        <w:t>.</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D’autres institutions de l’Union ont également participé à ce débat. Si le Comité économique et social européen</w:t>
      </w:r>
      <w:r>
        <w:rPr>
          <w:rFonts w:ascii="Times New Roman" w:hAnsi="Times New Roman"/>
          <w:noProof/>
          <w:sz w:val="24"/>
          <w:vertAlign w:val="superscript"/>
        </w:rPr>
        <w:footnoteReference w:id="5"/>
      </w:r>
      <w:r>
        <w:rPr>
          <w:rFonts w:ascii="Times New Roman" w:hAnsi="Times New Roman"/>
          <w:noProof/>
          <w:sz w:val="24"/>
        </w:rPr>
        <w:t xml:space="preserve"> («estime que dans le cadre des débats lancés par la Commission européenne sur le développement d’un socle européen des droits sociaux, il conviendrait que le champ de ces discussions englobe nécessairement aussi la question de la situation des travailleur</w:t>
      </w:r>
      <w:r>
        <w:rPr>
          <w:rFonts w:ascii="Times New Roman" w:hAnsi="Times New Roman"/>
          <w:noProof/>
          <w:sz w:val="24"/>
        </w:rPr>
        <w:t>s engagés dans les nouvelles formes de travail et, en particulier, du mode de reconnaissance de leur statut, ainsi que la manière de leur garantir un accès adéquat aux systèmes de sécurité sociale et de protection sociale») et le Comité des régions</w:t>
      </w:r>
      <w:r>
        <w:rPr>
          <w:rFonts w:ascii="Times New Roman" w:hAnsi="Times New Roman"/>
          <w:noProof/>
          <w:sz w:val="24"/>
          <w:vertAlign w:val="superscript"/>
        </w:rPr>
        <w:footnoteReference w:id="6"/>
      </w:r>
      <w:r>
        <w:rPr>
          <w:rFonts w:ascii="Times New Roman" w:hAnsi="Times New Roman"/>
          <w:noProof/>
          <w:sz w:val="24"/>
        </w:rPr>
        <w:t xml:space="preserve"> («est </w:t>
      </w:r>
      <w:r>
        <w:rPr>
          <w:rFonts w:ascii="Times New Roman" w:hAnsi="Times New Roman"/>
          <w:noProof/>
          <w:sz w:val="24"/>
        </w:rPr>
        <w:t xml:space="preserve">d’avis que les nouvelles formes d’emploi ou la définition de nouvelles normes minimales européennes communes doivent toujours tenir compte d’un niveau adéquat de protection </w:t>
      </w:r>
      <w:r>
        <w:rPr>
          <w:rFonts w:ascii="Times New Roman" w:hAnsi="Times New Roman"/>
          <w:noProof/>
          <w:sz w:val="24"/>
        </w:rPr>
        <w:lastRenderedPageBreak/>
        <w:t>sociale») ont apporté une contribution pertinente au débat, le Parlement européen</w:t>
      </w:r>
      <w:r>
        <w:rPr>
          <w:rFonts w:ascii="Times New Roman" w:hAnsi="Times New Roman"/>
          <w:noProof/>
          <w:sz w:val="24"/>
          <w:vertAlign w:val="superscript"/>
        </w:rPr>
        <w:footnoteReference w:id="7"/>
      </w:r>
      <w:r>
        <w:rPr>
          <w:rFonts w:ascii="Times New Roman" w:hAnsi="Times New Roman"/>
          <w:noProof/>
          <w:sz w:val="24"/>
        </w:rPr>
        <w:t xml:space="preserve"> </w:t>
      </w:r>
      <w:r>
        <w:rPr>
          <w:rFonts w:ascii="Times New Roman" w:hAnsi="Times New Roman"/>
          <w:noProof/>
          <w:sz w:val="24"/>
        </w:rPr>
        <w:t>est allé plus loin en appelant à l’élaboration d’une recommandation concernant «tous les travailleurs, salariés ou indépendants».</w:t>
      </w:r>
    </w:p>
    <w:p w:rsidR="00D63AA2" w:rsidRDefault="00D63AA2">
      <w:pPr>
        <w:spacing w:after="120" w:line="240" w:lineRule="auto"/>
        <w:jc w:val="both"/>
        <w:rPr>
          <w:rFonts w:ascii="Times New Roman" w:eastAsia="Times New Roman" w:hAnsi="Times New Roman" w:cs="Times New Roman"/>
          <w:noProof/>
          <w:sz w:val="24"/>
          <w:szCs w:val="24"/>
        </w:rPr>
      </w:pPr>
    </w:p>
    <w:p w:rsidR="00D63AA2" w:rsidRDefault="00D63AA2">
      <w:pPr>
        <w:spacing w:after="120" w:line="240" w:lineRule="auto"/>
        <w:jc w:val="both"/>
        <w:rPr>
          <w:rFonts w:ascii="Times New Roman" w:eastAsia="Times New Roman" w:hAnsi="Times New Roman" w:cs="Times New Roman"/>
          <w:noProof/>
          <w:sz w:val="24"/>
          <w:szCs w:val="24"/>
        </w:rPr>
      </w:pPr>
    </w:p>
    <w:p w:rsidR="00D63AA2" w:rsidRDefault="00D63AA2">
      <w:pPr>
        <w:spacing w:after="120" w:line="240" w:lineRule="auto"/>
        <w:jc w:val="both"/>
        <w:rPr>
          <w:rFonts w:ascii="Times New Roman" w:eastAsia="Times New Roman" w:hAnsi="Times New Roman" w:cs="Times New Roman"/>
          <w:noProof/>
          <w:sz w:val="24"/>
          <w:szCs w:val="24"/>
        </w:rPr>
      </w:pPr>
    </w:p>
    <w:p w:rsidR="00D63AA2" w:rsidRDefault="00B91D09">
      <w:pPr>
        <w:spacing w:after="12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u w:val="single"/>
        </w:rPr>
        <w:t>L’initiative visant à garantir l’accès à une protection sociale</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Plusieurs consultations des parties prenantes ont été </w:t>
      </w:r>
      <w:r>
        <w:rPr>
          <w:rFonts w:ascii="Times New Roman" w:hAnsi="Times New Roman"/>
          <w:noProof/>
          <w:sz w:val="24"/>
        </w:rPr>
        <w:t>effectuées afin de servir de base à cette initiative. Parmi elles figurent une procédure de consultation des partenaires sociaux européens en deux étapes, comme le prévoit l’article 154 du traité sur le fonctionnement de l’Union européenne (ci-après le «TF</w:t>
      </w:r>
      <w:r>
        <w:rPr>
          <w:rFonts w:ascii="Times New Roman" w:hAnsi="Times New Roman"/>
          <w:noProof/>
          <w:sz w:val="24"/>
        </w:rPr>
        <w:t>UE»), ainsi qu’une consultation publique ouverte.</w:t>
      </w:r>
    </w:p>
    <w:p w:rsidR="00D63AA2" w:rsidRDefault="00B91D09">
      <w:pPr>
        <w:keepNext/>
        <w:spacing w:after="120" w:line="240" w:lineRule="auto"/>
        <w:rPr>
          <w:rFonts w:ascii="Times New Roman" w:eastAsia="Times New Roman" w:hAnsi="Times New Roman" w:cs="Times New Roman"/>
          <w:b/>
          <w:noProof/>
          <w:sz w:val="24"/>
          <w:szCs w:val="24"/>
        </w:rPr>
      </w:pPr>
      <w:r>
        <w:rPr>
          <w:rFonts w:ascii="Times New Roman" w:hAnsi="Times New Roman"/>
          <w:b/>
          <w:noProof/>
          <w:sz w:val="24"/>
        </w:rPr>
        <w:t>1. Résultats de l’analyse d’impact initiale</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a reçu neuf avis concernant l’analyse d’impact initiale, de la part de particuliers et d’entités des Pays-Bas (6), de Belgique, d’Allemagne et du Ro</w:t>
      </w:r>
      <w:r>
        <w:rPr>
          <w:rFonts w:ascii="Times New Roman" w:hAnsi="Times New Roman"/>
          <w:noProof/>
          <w:sz w:val="24"/>
        </w:rPr>
        <w:t>yaume-Uni. Les commentaires des particuliers et des associations des Pays-Bas insistent sur la subsidiarité et sur la volonté des travailleurs indépendants d’être responsables de leurs décisions, y compris en matière d’assurance des risques. Dans sa contri</w:t>
      </w:r>
      <w:r>
        <w:rPr>
          <w:rFonts w:ascii="Times New Roman" w:hAnsi="Times New Roman"/>
          <w:noProof/>
          <w:sz w:val="24"/>
        </w:rPr>
        <w:t>bution, une organisation professionnelle britannique considère que les régimes volontaires seraient plus faciles à appliquer dans les États membres à court et à moyen terme (2 à 5 ans), mais qu’ils nécessitent une mise en œuvre au niveau national et que le</w:t>
      </w:r>
      <w:r>
        <w:rPr>
          <w:rFonts w:ascii="Times New Roman" w:hAnsi="Times New Roman"/>
          <w:noProof/>
          <w:sz w:val="24"/>
        </w:rPr>
        <w:t>s gouvernements pourraient rencontrer des difficultés pour trouver un accord à cet égard. De son côté, EuroHealthNet insiste sur le rôle essentiel que joue la protection sociale dans la réduction des inégalités en matière de santé, et les associations faît</w:t>
      </w:r>
      <w:r>
        <w:rPr>
          <w:rFonts w:ascii="Times New Roman" w:hAnsi="Times New Roman"/>
          <w:noProof/>
          <w:sz w:val="24"/>
        </w:rPr>
        <w:t>ières de l’assurance sociale allemande (DSV) soutiennent la réflexion sur l’accès à la protection sociale et sur la pérennisation des systèmes de protection sociale dans un monde du travail en évolution.</w:t>
      </w:r>
    </w:p>
    <w:p w:rsidR="00D63AA2" w:rsidRDefault="00B91D09">
      <w:pPr>
        <w:keepNext/>
        <w:spacing w:after="120" w:line="240" w:lineRule="auto"/>
        <w:rPr>
          <w:rFonts w:ascii="Times New Roman" w:eastAsia="Times New Roman" w:hAnsi="Times New Roman" w:cs="Times New Roman"/>
          <w:b/>
          <w:noProof/>
          <w:sz w:val="24"/>
          <w:szCs w:val="24"/>
        </w:rPr>
      </w:pPr>
      <w:r>
        <w:rPr>
          <w:rFonts w:ascii="Times New Roman" w:hAnsi="Times New Roman"/>
          <w:b/>
          <w:noProof/>
          <w:sz w:val="24"/>
        </w:rPr>
        <w:t>2. Résultats de la première phase de consultation de</w:t>
      </w:r>
      <w:r>
        <w:rPr>
          <w:rFonts w:ascii="Times New Roman" w:hAnsi="Times New Roman"/>
          <w:b/>
          <w:noProof/>
          <w:sz w:val="24"/>
        </w:rPr>
        <w:t>s partenaires sociaux</w:t>
      </w:r>
    </w:p>
    <w:p w:rsidR="00D63AA2" w:rsidRDefault="00B91D09">
      <w:pPr>
        <w:spacing w:after="120" w:line="240" w:lineRule="auto"/>
        <w:rPr>
          <w:rFonts w:ascii="Times New Roman" w:eastAsia="Times New Roman" w:hAnsi="Times New Roman" w:cs="Times New Roman"/>
          <w:noProof/>
          <w:sz w:val="24"/>
          <w:szCs w:val="24"/>
        </w:rPr>
      </w:pPr>
      <w:r>
        <w:rPr>
          <w:rFonts w:ascii="Times New Roman" w:hAnsi="Times New Roman"/>
          <w:noProof/>
          <w:sz w:val="24"/>
        </w:rPr>
        <w:t>La première phase de consultation des partenaires sociaux s’est déroulée du 29 avril au 23 juin 2017.</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organisations syndicales qui ont répondu à la consultation sont la Confédération européenne des syndicats (CES), Eurocadres et l</w:t>
      </w:r>
      <w:r>
        <w:rPr>
          <w:rFonts w:ascii="Times New Roman" w:hAnsi="Times New Roman"/>
          <w:noProof/>
          <w:sz w:val="24"/>
        </w:rPr>
        <w:t>a Confédération européenne des cadres (CEC), la Confédération européenne des syndicats indépendants (CESI), l’Alliance européenne des médias et du spectacle (EAEA) et la Fédération européenne des journalistes (FEJ). Il convient de noter que la réponse de l</w:t>
      </w:r>
      <w:r>
        <w:rPr>
          <w:rFonts w:ascii="Times New Roman" w:hAnsi="Times New Roman"/>
          <w:noProof/>
          <w:sz w:val="24"/>
        </w:rPr>
        <w:t>a CES a également tenu compte de l’avis de 10 de ses organisations syndicales sectorielles.</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Du côté du patronat, les réponses à la consultation provenaient de BusinessEurope, du Centre européen des entreprises à participation publique et des entreprises d’</w:t>
      </w:r>
      <w:r>
        <w:rPr>
          <w:rFonts w:ascii="Times New Roman" w:hAnsi="Times New Roman"/>
          <w:noProof/>
          <w:sz w:val="24"/>
        </w:rPr>
        <w:t>intérêt économique général (CEEP), d’EuroCommerce, de l’Union européenne de l’artisanat et des petites et moyennes entreprises (UEAPME), du Conseil des employeurs européens de la métallurgie, de l’ingénierie et de la technologie (CEEMET), du Conseil des co</w:t>
      </w:r>
      <w:r>
        <w:rPr>
          <w:rFonts w:ascii="Times New Roman" w:hAnsi="Times New Roman"/>
          <w:noProof/>
          <w:sz w:val="24"/>
        </w:rPr>
        <w:t>mmunes et des régions d’Europe (CCRE), du Groupe européen des employeurs de la chimie (ECEG), de la Confédération des associations nationales de l’hôtellerie, de la restauration, des cafés et établissements similaires de l’Union européenne et de l’espace é</w:t>
      </w:r>
      <w:r>
        <w:rPr>
          <w:rFonts w:ascii="Times New Roman" w:hAnsi="Times New Roman"/>
          <w:noProof/>
          <w:sz w:val="24"/>
        </w:rPr>
        <w:t xml:space="preserve">conomique européen </w:t>
      </w:r>
      <w:r>
        <w:rPr>
          <w:rFonts w:ascii="Times New Roman" w:hAnsi="Times New Roman"/>
          <w:noProof/>
          <w:sz w:val="24"/>
        </w:rPr>
        <w:lastRenderedPageBreak/>
        <w:t>(HOTREC), de la Représentation du commerce de gros, de détail et international auprès de l’Union européenne (EuroCommerce), du Groupe des employeurs des organisations professionnelles agricoles de l’Union européenne (CEOPA-COPA) et de la</w:t>
      </w:r>
      <w:r>
        <w:rPr>
          <w:rFonts w:ascii="Times New Roman" w:hAnsi="Times New Roman"/>
          <w:noProof/>
          <w:sz w:val="24"/>
        </w:rPr>
        <w:t xml:space="preserve"> World Employment Confederation (WEC). </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Recensement des problèmes en matière d’accès à la protection sociale</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partenaires sociaux conviennent largement qu’il existe des problèmes en matière d’accès à la protection sociale pour les travailleurs occupant </w:t>
      </w:r>
      <w:r>
        <w:rPr>
          <w:rFonts w:ascii="Times New Roman" w:hAnsi="Times New Roman"/>
          <w:noProof/>
          <w:sz w:val="24"/>
        </w:rPr>
        <w:t>des emplois atypiques et les travailleurs indépendants.</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Toutefois, les organisations patronales soulignent qu’il est inapproprié de regrouper des formes d’emplois très différentes dans la catégorie des emplois «atypiques», car cette démarche fait abstracti</w:t>
      </w:r>
      <w:r>
        <w:rPr>
          <w:rFonts w:ascii="Times New Roman" w:hAnsi="Times New Roman"/>
          <w:noProof/>
          <w:sz w:val="24"/>
        </w:rPr>
        <w:t>on de la diversité de ces formes et des besoins et souhaits des travailleurs concernés, notamment en matière d’accès à la protection sociale (BusinessEurope). La WEC insiste par ailleurs sur le caractère hétérogène des travailleurs indépendants. L’UEAPME a</w:t>
      </w:r>
      <w:r>
        <w:rPr>
          <w:rFonts w:ascii="Times New Roman" w:hAnsi="Times New Roman"/>
          <w:noProof/>
          <w:sz w:val="24"/>
        </w:rPr>
        <w:t>ppelle à la réalisation d’un inventaire minutieux des politiques nationales, de la disponibilité et de l’existence de régimes de protection sociale adaptés et de la répartition du recours à ces régimes dans les différents groupes. Le CEEP insiste sur les d</w:t>
      </w:r>
      <w:r>
        <w:rPr>
          <w:rFonts w:ascii="Times New Roman" w:hAnsi="Times New Roman"/>
          <w:noProof/>
          <w:sz w:val="24"/>
        </w:rPr>
        <w:t>ifférents modèles de marché du travail et modèles sociaux, qui expliquent les différents niveaux de protection.</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 leur côté, certains syndicats constatent que l’inventaire des problèmes va dans la bonne direction, mais qu’il est possible de l’améliorer en</w:t>
      </w:r>
      <w:r>
        <w:rPr>
          <w:rFonts w:ascii="Times New Roman" w:hAnsi="Times New Roman"/>
          <w:noProof/>
          <w:sz w:val="24"/>
        </w:rPr>
        <w:t xml:space="preserve"> précisant que certaines nouvelles formes de travail s’accompagnent de mauvaises conditions de travail et d’une situation précaire, qui se traduisent par un manque de protection contre les risques de la vie plutôt que par de véritables perspectives d’emplo</w:t>
      </w:r>
      <w:r>
        <w:rPr>
          <w:rFonts w:ascii="Times New Roman" w:hAnsi="Times New Roman"/>
          <w:noProof/>
          <w:sz w:val="24"/>
        </w:rPr>
        <w:t>i (CES, Eurocadres). L’inventaire des problèmes pourrait également couvrir le droit de négociation collective, la rémunération juste pour tous et le droit de s’associer librement pour tous les travailleurs (EFJ). Des syndicats soulignent en outre qu’il con</w:t>
      </w:r>
      <w:r>
        <w:rPr>
          <w:rFonts w:ascii="Times New Roman" w:hAnsi="Times New Roman"/>
          <w:noProof/>
          <w:sz w:val="24"/>
        </w:rPr>
        <w:t>viendrait de garantir la cohérence avec les propositions relatives aux informations sur le système de sécurité sociale dans le cadre de la directive relative à la déclaration écrite (CES, Eurocadres).</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Branches les plus pertinentes des services chargés de l</w:t>
      </w:r>
      <w:r>
        <w:rPr>
          <w:rFonts w:ascii="Times New Roman" w:hAnsi="Times New Roman"/>
          <w:b/>
          <w:noProof/>
          <w:sz w:val="24"/>
        </w:rPr>
        <w:t>a protection sociale et de l’emploi</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syndicats considèrent que toutes les branches présentent la même importance et encouragent l’adoption d’une stratégie intégrée et globale en matière de protection sociale, nonobstant les points soulevés ci-dessus con</w:t>
      </w:r>
      <w:r>
        <w:rPr>
          <w:rFonts w:ascii="Times New Roman" w:hAnsi="Times New Roman"/>
          <w:noProof/>
          <w:sz w:val="24"/>
        </w:rPr>
        <w:t>cernant la distinction entre les différents domaines d’action, y compris toutes les branches visées par la convention nº 102 de l’Organisation internationale du travail (et par le règlement sur la coordination des systèmes de sécurité sociale). Si un ordre</w:t>
      </w:r>
      <w:r>
        <w:rPr>
          <w:rFonts w:ascii="Times New Roman" w:hAnsi="Times New Roman"/>
          <w:noProof/>
          <w:sz w:val="24"/>
        </w:rPr>
        <w:t xml:space="preserve"> de priorité devait être établi, la CEC favoriserait celles qui ne sont pas universelles. Il conviendrait d’accorder à tous l’accès aux services de l’emploi connexes.</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Du côté des organisations patronales, les avis sont partagés. BusinessEurope estime que l</w:t>
      </w:r>
      <w:r>
        <w:rPr>
          <w:rFonts w:ascii="Times New Roman" w:hAnsi="Times New Roman"/>
          <w:noProof/>
          <w:sz w:val="24"/>
        </w:rPr>
        <w:t>a question présuppose la mise en place d’une initiative de l’Union dans ce domaine (ce à quoi l’organisation n’est pas favorable). EuroCommerce s’interroge sur la faisabilité d’une classification des volets de la protection sociale, et le COPA accorde la p</w:t>
      </w:r>
      <w:r>
        <w:rPr>
          <w:rFonts w:ascii="Times New Roman" w:hAnsi="Times New Roman"/>
          <w:noProof/>
          <w:sz w:val="24"/>
        </w:rPr>
        <w:t>riorité aux accidents du travail et aux maladies professionnelles. La HOTREC envisage la protection sociale comme une compétence nationale, mais souligne que tous les citoyens devraient pouvoir accéder facilement aux compétences, à l’éducation et à la form</w:t>
      </w:r>
      <w:r>
        <w:rPr>
          <w:rFonts w:ascii="Times New Roman" w:hAnsi="Times New Roman"/>
          <w:noProof/>
          <w:sz w:val="24"/>
        </w:rPr>
        <w:t>ation.</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Champ d’application personnel d’une initiative de l’Union européenne</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règle générale, les syndicats sont favorables à un champ d’application personnel large et à l’inclusion de l’ensemble des travailleurs occupant des emplois atypiques et des trav</w:t>
      </w:r>
      <w:r>
        <w:rPr>
          <w:rFonts w:ascii="Times New Roman" w:hAnsi="Times New Roman"/>
          <w:noProof/>
          <w:sz w:val="24"/>
        </w:rPr>
        <w:t>ailleurs indépendants dans une initiative de l’Union. Toutefois, certains d’entre eux appellent en premier lieu à définir des principes permettant de s’accorder sur une compréhension commune, à l’échelle de l’Union, de la nature juridique des différentes f</w:t>
      </w:r>
      <w:r>
        <w:rPr>
          <w:rFonts w:ascii="Times New Roman" w:hAnsi="Times New Roman"/>
          <w:noProof/>
          <w:sz w:val="24"/>
        </w:rPr>
        <w:t>ormes de travail (CEC, CESI).</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organisations patronales sont relativement peu enclines à répondre à la question concernant le champ d’application personnel de l’initiative de l’Union, parce qu’elles ne sont pas favorables à cette dernière (BusinessEurop</w:t>
      </w:r>
      <w:r>
        <w:rPr>
          <w:rFonts w:ascii="Times New Roman" w:hAnsi="Times New Roman"/>
          <w:noProof/>
          <w:sz w:val="24"/>
        </w:rPr>
        <w:t>e), ou parce qu’elles invoquent au principe de subsidiarité (HOTREC), ou encore parce qu’elles estiment que le champ d’application personnel devrait dépendre de la nature de l’initiative en question (EuroCommerce). Le CCRE souligne la nécessité de clarifie</w:t>
      </w:r>
      <w:r>
        <w:rPr>
          <w:rFonts w:ascii="Times New Roman" w:hAnsi="Times New Roman"/>
          <w:noProof/>
          <w:sz w:val="24"/>
        </w:rPr>
        <w:t>r la définition de la nature juridique des différentes formes d’emploi; le COPA estime quant à lui que l’éventuelle initiative juridique de l’Union devrait s’appliquer à l’ensemble des travailleurs occupant des emplois atypiques, alors que les travailleurs</w:t>
      </w:r>
      <w:r>
        <w:rPr>
          <w:rFonts w:ascii="Times New Roman" w:hAnsi="Times New Roman"/>
          <w:noProof/>
          <w:sz w:val="24"/>
        </w:rPr>
        <w:t xml:space="preserve"> indépendants devraient seulement faire l’objet d’une recommandation.</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Législation de l’Union et instruments en place au niveau de l’Union</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BusinessEurope, l’UEAPME et EuroCommerce n’estiment pas nécessaire ou approprié de modifier la législation européenne </w:t>
      </w:r>
      <w:r>
        <w:rPr>
          <w:rFonts w:ascii="Times New Roman" w:hAnsi="Times New Roman"/>
          <w:noProof/>
          <w:sz w:val="24"/>
        </w:rPr>
        <w:t>dans ce domaine. La méthode ouverte de coordination et le processus du Semestre européen, y compris les critères de référence, seraient les outils adéquats pour faciliter l’apprentissage mutuel et les échanges de bonnes pratiques. L’objectif devrait être d</w:t>
      </w:r>
      <w:r>
        <w:rPr>
          <w:rFonts w:ascii="Times New Roman" w:hAnsi="Times New Roman"/>
          <w:noProof/>
          <w:sz w:val="24"/>
        </w:rPr>
        <w:t>’améliorer les réactions politiques nationales grâce aux enseignements tirés des autres pratiques nationales pertinentes. D’autres organisations patronales attirent l’attention sur le dialogue social sectoriel (COPA), les compétences des États membres et l</w:t>
      </w:r>
      <w:r>
        <w:rPr>
          <w:rFonts w:ascii="Times New Roman" w:hAnsi="Times New Roman"/>
          <w:noProof/>
          <w:sz w:val="24"/>
        </w:rPr>
        <w:t xml:space="preserve">es principes de subsidiarité et de proportionnalité (CEEMET, ECEG, EuroCommerce, WEC et CEEP). </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syndicats estiment que la législation de l’Union devrait être améliorée. La CES et la CESI soulignent la nécessité d’une meilleure application de la législa</w:t>
      </w:r>
      <w:r>
        <w:rPr>
          <w:rFonts w:ascii="Times New Roman" w:hAnsi="Times New Roman"/>
          <w:noProof/>
          <w:sz w:val="24"/>
        </w:rPr>
        <w:t>tion en vigueur, en particulier au niveau national. La CEC mentionne la nécessité de réduire la charge administrative découlant potentiellement de la fourniture d’informations sur la situation professionnelle d’une personne, et de veiller à ce que tous les</w:t>
      </w:r>
      <w:r>
        <w:rPr>
          <w:rFonts w:ascii="Times New Roman" w:hAnsi="Times New Roman"/>
          <w:noProof/>
          <w:sz w:val="24"/>
        </w:rPr>
        <w:t xml:space="preserve"> droits soient effectivement transférables.</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Volonté d’entamer des négociations</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Toutes les organisations syndicales ont fait part de leur volonté d’entamer des négociations. Cependant, si les partenaires sociaux de l’Union se refusent à négocier, ou si les </w:t>
      </w:r>
      <w:r>
        <w:rPr>
          <w:rFonts w:ascii="Times New Roman" w:hAnsi="Times New Roman"/>
          <w:noProof/>
          <w:sz w:val="24"/>
        </w:rPr>
        <w:t>négociations n’aboutissent pas, les organisations syndicales prient instamment la Commission d’élaborer une proposition législative.</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patronat n’envisage pas l’ouverture d’un dialogue au titre de l’article 155 du TFUE parce qu’il ne juge pas nécessaire </w:t>
      </w:r>
      <w:r>
        <w:rPr>
          <w:rFonts w:ascii="Times New Roman" w:hAnsi="Times New Roman"/>
          <w:noProof/>
          <w:sz w:val="24"/>
        </w:rPr>
        <w:t>de prendre des mesures au niveau de l’Union, sauf dans le domaine de l’apprentissage collégial et de l’échange de pratiques (BusinessEurope) ou parce que la subsidiarité prévaut en la matière (HOTREC, UEAPME), et parce que la question peut être mieux trait</w:t>
      </w:r>
      <w:r>
        <w:rPr>
          <w:rFonts w:ascii="Times New Roman" w:hAnsi="Times New Roman"/>
          <w:noProof/>
          <w:sz w:val="24"/>
        </w:rPr>
        <w:t>ée par les administrations nationales (EuroCommerce) ou dans le cadre du dialogue social sectoriel (COPA). Le CEEP souligne qu’il convient en premier lieu de définir des indicateurs valables.</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Portée de la consultation</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CES regrette l’absence de </w:t>
      </w:r>
      <w:r>
        <w:rPr>
          <w:rFonts w:ascii="Times New Roman" w:hAnsi="Times New Roman"/>
          <w:noProof/>
          <w:sz w:val="24"/>
        </w:rPr>
        <w:t>propositions claires concernant la création d’emplois de qualité – accompagnés d’indicateurs définis d’un commun accord qui permettent d’en assurer le suivi, y compris en matière d’accès à la protection sociale. Par conséquent, la CES estime que les princi</w:t>
      </w:r>
      <w:r>
        <w:rPr>
          <w:rFonts w:ascii="Times New Roman" w:hAnsi="Times New Roman"/>
          <w:noProof/>
          <w:sz w:val="24"/>
        </w:rPr>
        <w:t>paux aspects de l’accès insuffisant qui ont été mis en évidence (disparités en matière d’accès à la protection sociale, manque de transférabilité des droits et manque de transparence sur les droits en matière de protection sociale) constituent des problème</w:t>
      </w:r>
      <w:r>
        <w:rPr>
          <w:rFonts w:ascii="Times New Roman" w:hAnsi="Times New Roman"/>
          <w:noProof/>
          <w:sz w:val="24"/>
        </w:rPr>
        <w:t>s essentiels à résoudre, mais elle privilégierait la réduction des divergences entre les droits sociaux des personnes en matière de protection sociale et de services de l’emploi.</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Consultation complémentaire des partenaires sociaux</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DG Emploi et affaires </w:t>
      </w:r>
      <w:r>
        <w:rPr>
          <w:rFonts w:ascii="Times New Roman" w:hAnsi="Times New Roman"/>
          <w:noProof/>
          <w:sz w:val="24"/>
        </w:rPr>
        <w:t>sociales a organisé des réunions bilatérales avec les 16 partenaires sociaux qui ont apporté une contribution à la première phase de consultation des partenaires sociaux. Ces réunions ont eu lieu entre le 14 juillet et le 5 septembre. Elles visaient à appo</w:t>
      </w:r>
      <w:r>
        <w:rPr>
          <w:rFonts w:ascii="Times New Roman" w:hAnsi="Times New Roman"/>
          <w:noProof/>
          <w:sz w:val="24"/>
        </w:rPr>
        <w:t xml:space="preserve">rter des précisions techniques et, dans la mesure du possible, à recueillir des informations complémentaires. Les informations reçues sont présentées dans les parties correspondantes du présent document. </w:t>
      </w:r>
    </w:p>
    <w:p w:rsidR="00D63AA2" w:rsidRDefault="00D63AA2">
      <w:pPr>
        <w:spacing w:after="120" w:line="240" w:lineRule="auto"/>
        <w:jc w:val="both"/>
        <w:rPr>
          <w:rFonts w:ascii="Calibri" w:eastAsia="Calibri" w:hAnsi="Calibri" w:cs="Times New Roman"/>
          <w:noProof/>
        </w:rPr>
      </w:pPr>
      <w:bookmarkStart w:id="2" w:name="_Toc500495879"/>
    </w:p>
    <w:p w:rsidR="00D63AA2" w:rsidRDefault="00B91D09">
      <w:pPr>
        <w:keepNext/>
        <w:spacing w:after="120" w:line="240" w:lineRule="auto"/>
        <w:rPr>
          <w:rFonts w:ascii="Times New Roman" w:eastAsia="Times New Roman" w:hAnsi="Times New Roman" w:cs="Times New Roman"/>
          <w:b/>
          <w:noProof/>
          <w:sz w:val="24"/>
          <w:szCs w:val="24"/>
        </w:rPr>
      </w:pPr>
      <w:r>
        <w:rPr>
          <w:rFonts w:ascii="Times New Roman" w:hAnsi="Times New Roman"/>
          <w:b/>
          <w:noProof/>
          <w:sz w:val="24"/>
        </w:rPr>
        <w:t>3. Résultats de la seconde phase de consultation d</w:t>
      </w:r>
      <w:r>
        <w:rPr>
          <w:rFonts w:ascii="Times New Roman" w:hAnsi="Times New Roman"/>
          <w:b/>
          <w:noProof/>
          <w:sz w:val="24"/>
        </w:rPr>
        <w:t>es partenaires sociaux</w:t>
      </w:r>
      <w:bookmarkEnd w:id="2"/>
    </w:p>
    <w:p w:rsidR="00D63AA2" w:rsidRDefault="00B91D09">
      <w:pPr>
        <w:spacing w:after="120" w:line="240" w:lineRule="auto"/>
        <w:rPr>
          <w:rFonts w:ascii="Times New Roman" w:eastAsia="Times New Roman" w:hAnsi="Times New Roman" w:cs="Times New Roman"/>
          <w:noProof/>
          <w:sz w:val="24"/>
          <w:szCs w:val="24"/>
        </w:rPr>
      </w:pPr>
      <w:r>
        <w:rPr>
          <w:rFonts w:ascii="Times New Roman" w:hAnsi="Times New Roman"/>
          <w:noProof/>
          <w:sz w:val="24"/>
        </w:rPr>
        <w:t>La seconde phase de consultation des partenaires sociaux a été engagée le 20 novembre et clôturée le 5 janvier 2018.</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organisations syndicales qui ont répondu à la consultation sont la Confédération européenne des syndicats (CES),</w:t>
      </w:r>
      <w:r>
        <w:rPr>
          <w:rFonts w:ascii="Times New Roman" w:hAnsi="Times New Roman"/>
          <w:noProof/>
          <w:sz w:val="24"/>
        </w:rPr>
        <w:t xml:space="preserve"> Eurocadres et la Confédération européenne des cadres (CEC), la Confédération européenne des syndicats indépendants (CESI), l’Alliance européenne des médias et du spectacle (EAEA), ainsi qu’UNI Global Union Europa et la World Employment Confederation (WEC)</w:t>
      </w:r>
      <w:r>
        <w:rPr>
          <w:rFonts w:ascii="Times New Roman" w:hAnsi="Times New Roman"/>
          <w:noProof/>
          <w:sz w:val="24"/>
        </w:rPr>
        <w:t xml:space="preserve">. </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Du côté du patronat, les réponses à la consultation provenaient de BusinessEurope, du Centre européen des entreprises à participation publique et des entreprises d’intérêt économique général (CEEP), d’EuroCommerce, de l’Union européenne de l’artisanat e</w:t>
      </w:r>
      <w:r>
        <w:rPr>
          <w:rFonts w:ascii="Times New Roman" w:hAnsi="Times New Roman"/>
          <w:noProof/>
          <w:sz w:val="24"/>
        </w:rPr>
        <w:t>t des petites et moyennes entreprises (UEAPME), du Conseil des employeurs européens de la métallurgie, de l’ingénierie et de la technologie (CEEMET), du Groupe européen des employeurs de la chimie (ECEG) et de la Confédération des associations nationales d</w:t>
      </w:r>
      <w:r>
        <w:rPr>
          <w:rFonts w:ascii="Times New Roman" w:hAnsi="Times New Roman"/>
          <w:noProof/>
          <w:sz w:val="24"/>
        </w:rPr>
        <w:t xml:space="preserve">e l’hôtellerie, de la restauration, des cafés et établissements similaires de l’Union européenne et de l’espace économique européen (HOTREC). </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Objectifs de couverture, de transférabilité et de transparence</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syndicats partagent les objectifs de l’initiat</w:t>
      </w:r>
      <w:r>
        <w:rPr>
          <w:rFonts w:ascii="Times New Roman" w:hAnsi="Times New Roman"/>
          <w:noProof/>
          <w:sz w:val="24"/>
        </w:rPr>
        <w:t xml:space="preserve">ive en matière de couverture, de transférabilité et de transparence. La mise en place d’une couverture formelle et effective revêt la plus haute importance pour la CES, qui ajouterait également l’accès à une protection sociale </w:t>
      </w:r>
      <w:r>
        <w:rPr>
          <w:rFonts w:ascii="Times New Roman" w:hAnsi="Times New Roman"/>
          <w:i/>
          <w:noProof/>
          <w:sz w:val="24"/>
        </w:rPr>
        <w:t>adéquate</w:t>
      </w:r>
      <w:r>
        <w:rPr>
          <w:rFonts w:ascii="Times New Roman" w:hAnsi="Times New Roman"/>
          <w:noProof/>
          <w:sz w:val="24"/>
        </w:rPr>
        <w:t xml:space="preserve">. Les cotisations et </w:t>
      </w:r>
      <w:r>
        <w:rPr>
          <w:rFonts w:ascii="Times New Roman" w:hAnsi="Times New Roman"/>
          <w:noProof/>
          <w:sz w:val="24"/>
        </w:rPr>
        <w:t>les prestations (des travailleurs occupant des emplois atypiques et des travailleurs indépendants) doivent se rapprocher autant que possible de celles correspondant aux contrats de travail traditionnels (CESI). Le fait de lier les droits en matière de prot</w:t>
      </w:r>
      <w:r>
        <w:rPr>
          <w:rFonts w:ascii="Times New Roman" w:hAnsi="Times New Roman"/>
          <w:noProof/>
          <w:sz w:val="24"/>
        </w:rPr>
        <w:t>ection sociale aux personnes ne devrait pas conduire à une individualisation de la protection sociale, dont la dimension collective doit être préservée (EAEA). Il convient de veiller à ce que ces droits, prestations et avantages soient pleinement transféra</w:t>
      </w:r>
      <w:r>
        <w:rPr>
          <w:rFonts w:ascii="Times New Roman" w:hAnsi="Times New Roman"/>
          <w:noProof/>
          <w:sz w:val="24"/>
        </w:rPr>
        <w:t>bles et totalisables, quel que soit le type ou la durée du travail (UNI Europa). L’importance de l’accès aux services de formation et de l’emploi a également été mise en avant (Eurocadres). Tous les syndicats conviennent de la nécessité d’une plus grande t</w:t>
      </w:r>
      <w:r>
        <w:rPr>
          <w:rFonts w:ascii="Times New Roman" w:hAnsi="Times New Roman"/>
          <w:noProof/>
          <w:sz w:val="24"/>
        </w:rPr>
        <w:t xml:space="preserve">ransparence. </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Du côté des organisations patronales, les avis sont plutôt partagés. La plupart des organisations patronales sont dans une large mesure d’accord avec les trois objectifs, mais elles soulignent la compétence des États membres dans ce domaine (</w:t>
      </w:r>
      <w:r>
        <w:rPr>
          <w:rFonts w:ascii="Times New Roman" w:hAnsi="Times New Roman"/>
          <w:noProof/>
          <w:sz w:val="24"/>
        </w:rPr>
        <w:t>BusinessEurope, EuroCommerce, CEEMET, CEEP et UEAPME).</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L’ECEG ne partage pas l’idée selon laquelle les travailleurs occupant des emplois atypiques et les travailleurs indépendants ont un accès limité à la protection sociale et n’estime pas nécessaire de ch</w:t>
      </w:r>
      <w:r>
        <w:rPr>
          <w:rFonts w:ascii="Times New Roman" w:hAnsi="Times New Roman"/>
          <w:noProof/>
          <w:sz w:val="24"/>
        </w:rPr>
        <w:t>ercher une définition commune de ce qu’est un travailleur à l’échelle de l’Union.</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HOTREC convient de la nécessité d’améliorer la transparence, mais fait valoir que le principe de subsidiarité prévaut: elle lui préfère par conséquent un inventaire des sy</w:t>
      </w:r>
      <w:r>
        <w:rPr>
          <w:rFonts w:ascii="Times New Roman" w:hAnsi="Times New Roman"/>
          <w:noProof/>
          <w:sz w:val="24"/>
        </w:rPr>
        <w:t xml:space="preserve">stèmes transférables au niveau national. </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Options de couverture formelle obligatoire ou volontaire</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Tous les syndicats sont favorables à une couverture formelle obligatoire, égale à celle des travailleurs salariés standard (CES, EAEA), mais estiment qu’il c</w:t>
      </w:r>
      <w:r>
        <w:rPr>
          <w:rFonts w:ascii="Times New Roman" w:hAnsi="Times New Roman"/>
          <w:noProof/>
          <w:sz w:val="24"/>
        </w:rPr>
        <w:t>onvient de tenir compte des traditions nationales (CEC).</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organisations patronales ont exprimé des points de vue différents sur ces options. L’ECEG convient que la protection sociale devrait être obligatoire, mais estime que les travailleurs salariés de</w:t>
      </w:r>
      <w:r>
        <w:rPr>
          <w:rFonts w:ascii="Times New Roman" w:hAnsi="Times New Roman"/>
          <w:noProof/>
          <w:sz w:val="24"/>
        </w:rPr>
        <w:t>vraient avoir le droit de choisir la forme de couverture (publique ou privée). BusinessEurope met en avant la liberté de choix pour les travailleurs indépendants. Le CEEP et EuroCommerce privilégient la couverture formelle volontaire afin de tenir compte d</w:t>
      </w:r>
      <w:r>
        <w:rPr>
          <w:rFonts w:ascii="Times New Roman" w:hAnsi="Times New Roman"/>
          <w:noProof/>
          <w:sz w:val="24"/>
        </w:rPr>
        <w:t>e la diversité des formes d’emploi et de l’hétérogénéité existant parmi les travailleurs indépendants. La HOTREC, le CEEMET et l’UEAPME ont indiqué que la subsidiarité devrait prévaloir.</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Action appropriée pour garantir une couverture effective </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syndica</w:t>
      </w:r>
      <w:r>
        <w:rPr>
          <w:rFonts w:ascii="Times New Roman" w:hAnsi="Times New Roman"/>
          <w:noProof/>
          <w:sz w:val="24"/>
        </w:rPr>
        <w:t>ts et le patronat ont des points de vue opposés concernant les mesures qu’il convient de prendre. Les syndicats privilégient l’extension et l’adaptation des régimes existants à tous les types d’emploi (CES), aussi loin que les traités le permettent (CESI).</w:t>
      </w:r>
      <w:r>
        <w:rPr>
          <w:rFonts w:ascii="Times New Roman" w:hAnsi="Times New Roman"/>
          <w:noProof/>
          <w:sz w:val="24"/>
        </w:rPr>
        <w:t xml:space="preserve"> La perspective d’une directive de l’Union imposant des exigences et des principes minimaux et contraignants est mentionnée (UNI Europa, AEEA), mais celle-ci ne devrait ni porter atteinte à l’acquis existant de l’Union, ni entraîner un abaissement des norm</w:t>
      </w:r>
      <w:r>
        <w:rPr>
          <w:rFonts w:ascii="Times New Roman" w:hAnsi="Times New Roman"/>
          <w:noProof/>
          <w:sz w:val="24"/>
        </w:rPr>
        <w:t>es nationales actuelles, ni conduire à une harmonisation vers le bas des droits.</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Pour leur part, les organisations patronales sont opposées aux mesures juridiquement contraignantes dans ce domaine et font valoir que le principe de subsidiarité prévaut (ECE</w:t>
      </w:r>
      <w:r>
        <w:rPr>
          <w:rFonts w:ascii="Times New Roman" w:hAnsi="Times New Roman"/>
          <w:noProof/>
          <w:sz w:val="24"/>
        </w:rPr>
        <w:t>G, HOTREC), mais sont favorables au recours à la méthode ouverte de coordination, au Semestre européen, aux échanges de bonnes pratiques, aux critères de référence et au tableau de bord social (BusinessEurope). Certaines organisations patronales (CEEP et E</w:t>
      </w:r>
      <w:r>
        <w:rPr>
          <w:rFonts w:ascii="Times New Roman" w:hAnsi="Times New Roman"/>
          <w:noProof/>
          <w:sz w:val="24"/>
        </w:rPr>
        <w:t>uroCommerce) considèrent qu’une recommandation du Conseil serait appropriée.</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Exigences minimales appropriées pour garantir la transférabilité et la transparence</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Selon les syndicats, l’évolution du marché du travail appelle la mise en place de certaines nor</w:t>
      </w:r>
      <w:r>
        <w:rPr>
          <w:rFonts w:ascii="Times New Roman" w:hAnsi="Times New Roman"/>
          <w:noProof/>
          <w:sz w:val="24"/>
        </w:rPr>
        <w:t>mes minimales communes dans le domaine de la protection sociale (CESI). Il convient de garantir la portabilité complète en liant les droits en matière de protection sociale aux personnes grâce à une égalisation des calculs et à une totalisation, sans toute</w:t>
      </w:r>
      <w:r>
        <w:rPr>
          <w:rFonts w:ascii="Times New Roman" w:hAnsi="Times New Roman"/>
          <w:noProof/>
          <w:sz w:val="24"/>
        </w:rPr>
        <w:t xml:space="preserve">fois donner lieu à une individualisation de la protection sociale (CES). </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Certaines organisations patronales sont d’accord avec le principe de la transférabilité des droits, mais demandent une analyse d’impact préalable à la création de réalités juridiquem</w:t>
      </w:r>
      <w:r>
        <w:rPr>
          <w:rFonts w:ascii="Times New Roman" w:hAnsi="Times New Roman"/>
          <w:noProof/>
          <w:sz w:val="24"/>
        </w:rPr>
        <w:t>ent contraignantes (ECEG), ou font valoir que la subsidiarité prévaut et qu’il convient de privilégier un inventaire des systèmes transférables existants (HOTREC).</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D’autres recommandent que l’Union se limite à des dispositions générales (UEAPME) ou souhait</w:t>
      </w:r>
      <w:r>
        <w:rPr>
          <w:rFonts w:ascii="Times New Roman" w:hAnsi="Times New Roman"/>
          <w:noProof/>
          <w:sz w:val="24"/>
        </w:rPr>
        <w:t>ent limiter la transférabilité aux droits minimaux en matière de protection sociale (EuroCommerce). Le coût administratif de la transférabilité devrait être maintenu au minimum, et le nouvel employeur ne devrait supporter aucun coût supplémentaire pour ass</w:t>
      </w:r>
      <w:r>
        <w:rPr>
          <w:rFonts w:ascii="Times New Roman" w:hAnsi="Times New Roman"/>
          <w:noProof/>
          <w:sz w:val="24"/>
        </w:rPr>
        <w:t>urer la fourniture des droits transférés (CEEP).</w:t>
      </w:r>
    </w:p>
    <w:p w:rsidR="00D63AA2" w:rsidRDefault="00B91D09">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Volonté d’entamer des négociations</w:t>
      </w:r>
    </w:p>
    <w:p w:rsidR="00D63AA2" w:rsidRDefault="00B91D09">
      <w:pPr>
        <w:spacing w:after="120" w:line="240" w:lineRule="auto"/>
        <w:jc w:val="both"/>
        <w:rPr>
          <w:rFonts w:ascii="Times New Roman" w:eastAsia="Times New Roman" w:hAnsi="Times New Roman" w:cs="Times New Roman"/>
          <w:noProof/>
        </w:rPr>
      </w:pPr>
      <w:r>
        <w:rPr>
          <w:rFonts w:ascii="Times New Roman" w:hAnsi="Times New Roman"/>
          <w:noProof/>
          <w:sz w:val="24"/>
        </w:rPr>
        <w:t xml:space="preserve">Toutes les organisations syndicales ont fait part de leur volonté d’entamer des négociations. Toutefois, la CES est convaincue que les conditions permettant de mener des </w:t>
      </w:r>
      <w:r>
        <w:rPr>
          <w:rFonts w:ascii="Times New Roman" w:hAnsi="Times New Roman"/>
          <w:noProof/>
          <w:sz w:val="24"/>
        </w:rPr>
        <w:t>négociations formelles ne sont plus rassemblées, et d’autres syndicats prient instamment la Commission d’élaborer une proposition législative avant les élections européennes de 2019. Le patronat n’envisage pas l’ouverture d’un dialogue sur la base de l’art</w:t>
      </w:r>
      <w:r>
        <w:rPr>
          <w:rFonts w:ascii="Times New Roman" w:hAnsi="Times New Roman"/>
          <w:noProof/>
          <w:sz w:val="24"/>
        </w:rPr>
        <w:t>icle 155 du TFUE car il ne voit pas la nécessité de prendre des mesures au niveau de l’Union.</w:t>
      </w:r>
    </w:p>
    <w:p w:rsidR="00D63AA2" w:rsidRDefault="00B91D09">
      <w:pPr>
        <w:spacing w:after="120" w:line="240" w:lineRule="auto"/>
        <w:rPr>
          <w:rFonts w:ascii="Times New Roman" w:eastAsia="Times New Roman" w:hAnsi="Times New Roman" w:cs="Times New Roman"/>
          <w:b/>
          <w:noProof/>
          <w:sz w:val="24"/>
          <w:szCs w:val="24"/>
        </w:rPr>
      </w:pPr>
      <w:r>
        <w:rPr>
          <w:rFonts w:ascii="Times New Roman" w:hAnsi="Times New Roman"/>
          <w:b/>
          <w:noProof/>
          <w:sz w:val="24"/>
        </w:rPr>
        <w:t xml:space="preserve">4. Résultats de la consultation publique </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consultation publique ouverte a eu lieu du 20 novembre 2017 au 15 janvier 2018; 119 répondants y ont contribué, dont </w:t>
      </w:r>
      <w:r>
        <w:rPr>
          <w:rFonts w:ascii="Times New Roman" w:hAnsi="Times New Roman"/>
          <w:noProof/>
          <w:sz w:val="24"/>
        </w:rPr>
        <w:t xml:space="preserve">62 organisations, 7 administrations, 37 citoyens et 13 autres entités (par exemple, des instituts de recherche ou des réseaux). La plupart des réponses provenaient de pays dotés de systèmes de protection sociale bien développés, comme l’Allemagne (18), la </w:t>
      </w:r>
      <w:r>
        <w:rPr>
          <w:rFonts w:ascii="Times New Roman" w:hAnsi="Times New Roman"/>
          <w:noProof/>
          <w:sz w:val="24"/>
        </w:rPr>
        <w:t>Belgique (16), la France (15) et la Suède (14). Quinze documents de prise de position ont été reçus, principalement de l’Allemagne (5), de la Belgique (4), de la France (2) et du Royaume-Uni (2), et émanant d’administrations régionales et centrales, de pre</w:t>
      </w:r>
      <w:r>
        <w:rPr>
          <w:rFonts w:ascii="Times New Roman" w:hAnsi="Times New Roman"/>
          <w:noProof/>
          <w:sz w:val="24"/>
        </w:rPr>
        <w:t xml:space="preserve">stataires de services de protection sociale, de coopératives, d’organisations de travailleurs indépendants, d’un syndicat, d’une </w:t>
      </w:r>
      <w:r>
        <w:rPr>
          <w:rFonts w:ascii="Times New Roman" w:hAnsi="Times New Roman"/>
          <w:noProof/>
        </w:rPr>
        <w:t>organisation non gouvernementale</w:t>
      </w:r>
      <w:r>
        <w:rPr>
          <w:rFonts w:ascii="Times New Roman" w:hAnsi="Times New Roman"/>
          <w:noProof/>
          <w:sz w:val="24"/>
        </w:rPr>
        <w:t xml:space="preserve"> et d’une entreprise. </w:t>
      </w:r>
    </w:p>
    <w:p w:rsidR="00D63AA2" w:rsidRDefault="00B91D09">
      <w:pPr>
        <w:spacing w:after="0"/>
        <w:rPr>
          <w:rFonts w:ascii="Times New Roman" w:eastAsia="Times New Roman" w:hAnsi="Times New Roman" w:cs="Times New Roman"/>
          <w:b/>
          <w:noProof/>
          <w:sz w:val="24"/>
          <w:szCs w:val="24"/>
        </w:rPr>
      </w:pPr>
      <w:r>
        <w:rPr>
          <w:rFonts w:ascii="Times New Roman" w:hAnsi="Times New Roman"/>
          <w:b/>
          <w:noProof/>
          <w:sz w:val="24"/>
        </w:rPr>
        <w:t>Défis</w:t>
      </w:r>
    </w:p>
    <w:p w:rsidR="00D63AA2" w:rsidRDefault="00B91D09">
      <w:pPr>
        <w:spacing w:after="0" w:line="240" w:lineRule="auto"/>
        <w:ind w:right="-142"/>
        <w:rPr>
          <w:rFonts w:ascii="Times New Roman" w:eastAsia="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 xml:space="preserve">Êtes-vous d’accord avec la description des défis donnée dans le </w:t>
      </w:r>
      <w:r>
        <w:rPr>
          <w:rFonts w:ascii="Times New Roman" w:hAnsi="Times New Roman"/>
          <w:i/>
          <w:noProof/>
          <w:sz w:val="24"/>
        </w:rPr>
        <w:t>document d’information?</w:t>
      </w:r>
      <w:r>
        <w:rPr>
          <w:rFonts w:ascii="Times New Roman" w:hAnsi="Times New Roman"/>
          <w:noProof/>
          <w:sz w:val="24"/>
        </w:rPr>
        <w:t>»</w:t>
      </w:r>
    </w:p>
    <w:p w:rsidR="00D63AA2" w:rsidRDefault="00D63AA2">
      <w:pPr>
        <w:spacing w:after="0" w:line="240" w:lineRule="auto"/>
        <w:ind w:right="-142"/>
        <w:rPr>
          <w:rFonts w:ascii="Times New Roman" w:eastAsia="Times New Roman" w:hAnsi="Times New Roman" w:cs="Times New Roman"/>
          <w:noProof/>
          <w:sz w:val="24"/>
          <w:szCs w:val="24"/>
        </w:rPr>
      </w:pPr>
    </w:p>
    <w:p w:rsidR="00D63AA2" w:rsidRDefault="00B91D09">
      <w:pPr>
        <w:spacing w:after="0" w:line="240" w:lineRule="auto"/>
        <w:ind w:right="-142"/>
        <w:rPr>
          <w:rFonts w:ascii="Times New Roman" w:eastAsia="Times New Roman" w:hAnsi="Times New Roman" w:cs="Times New Roman"/>
          <w:noProof/>
          <w:sz w:val="24"/>
          <w:szCs w:val="24"/>
        </w:rPr>
      </w:pPr>
      <w:r>
        <w:rPr>
          <w:rFonts w:ascii="Times New Roman" w:hAnsi="Times New Roman"/>
          <w:noProof/>
          <w:sz w:val="24"/>
        </w:rPr>
        <w:t>Environ deux tiers des répondants étaient d’accord avec les défis recensés par la Commission. Les disparités en matière de couverture effective ont recueilli le plus de suffrages, suivies de la complexité réglementaire.</w:t>
      </w:r>
    </w:p>
    <w:p w:rsidR="00D63AA2" w:rsidRDefault="00D63AA2">
      <w:pPr>
        <w:spacing w:after="0" w:line="240" w:lineRule="auto"/>
        <w:ind w:right="-142"/>
        <w:rPr>
          <w:rFonts w:ascii="Times New Roman" w:eastAsia="Times New Roman" w:hAnsi="Times New Roman" w:cs="Times New Roman"/>
          <w:noProof/>
          <w:sz w:val="24"/>
          <w:szCs w:val="24"/>
        </w:rPr>
      </w:pPr>
    </w:p>
    <w:tbl>
      <w:tblPr>
        <w:tblStyle w:val="TableGrid1"/>
        <w:tblW w:w="0" w:type="auto"/>
        <w:tblLayout w:type="fixed"/>
        <w:tblLook w:val="04A0" w:firstRow="1" w:lastRow="0" w:firstColumn="1" w:lastColumn="0" w:noHBand="0" w:noVBand="1"/>
      </w:tblPr>
      <w:tblGrid>
        <w:gridCol w:w="4643"/>
        <w:gridCol w:w="4643"/>
      </w:tblGrid>
      <w:tr w:rsidR="00D63AA2">
        <w:tc>
          <w:tcPr>
            <w:tcW w:w="4643" w:type="dxa"/>
          </w:tcPr>
          <w:p w:rsidR="00D63AA2" w:rsidRDefault="00D63AA2">
            <w:pPr>
              <w:ind w:right="-142"/>
              <w:rPr>
                <w:rFonts w:ascii="Times New Roman" w:eastAsia="Times New Roman" w:hAnsi="Times New Roman"/>
                <w:noProof/>
                <w:sz w:val="24"/>
                <w:szCs w:val="24"/>
              </w:rPr>
            </w:pPr>
          </w:p>
        </w:tc>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 xml:space="preserve">Je suis </w:t>
            </w:r>
            <w:r>
              <w:rPr>
                <w:rFonts w:ascii="Times New Roman" w:hAnsi="Times New Roman"/>
                <w:noProof/>
                <w:sz w:val="24"/>
              </w:rPr>
              <w:t>d’accord (réponses sur 119 réponses)</w:t>
            </w:r>
          </w:p>
        </w:tc>
      </w:tr>
      <w:tr w:rsidR="00D63AA2">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Disparités en matière de couverture formelle</w:t>
            </w:r>
          </w:p>
        </w:tc>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66</w:t>
            </w:r>
          </w:p>
        </w:tc>
      </w:tr>
      <w:tr w:rsidR="00D63AA2">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Disparités en matière de couverture effective</w:t>
            </w:r>
          </w:p>
        </w:tc>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78</w:t>
            </w:r>
          </w:p>
        </w:tc>
      </w:tr>
      <w:tr w:rsidR="00D63AA2">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Manque de transférabilité</w:t>
            </w:r>
          </w:p>
        </w:tc>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65</w:t>
            </w:r>
          </w:p>
        </w:tc>
      </w:tr>
      <w:tr w:rsidR="00D63AA2">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Manque de transparence</w:t>
            </w:r>
          </w:p>
        </w:tc>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69</w:t>
            </w:r>
          </w:p>
        </w:tc>
      </w:tr>
      <w:tr w:rsidR="00D63AA2">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Complexité réglementaire</w:t>
            </w:r>
          </w:p>
        </w:tc>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75</w:t>
            </w:r>
          </w:p>
        </w:tc>
      </w:tr>
      <w:tr w:rsidR="00D63AA2">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Il existe d’autres défis</w:t>
            </w:r>
          </w:p>
        </w:tc>
        <w:tc>
          <w:tcPr>
            <w:tcW w:w="4643" w:type="dxa"/>
          </w:tcPr>
          <w:p w:rsidR="00D63AA2" w:rsidRDefault="00B91D09">
            <w:pPr>
              <w:ind w:right="-142"/>
              <w:rPr>
                <w:rFonts w:ascii="Times New Roman" w:eastAsia="Times New Roman" w:hAnsi="Times New Roman"/>
                <w:noProof/>
                <w:sz w:val="24"/>
                <w:szCs w:val="24"/>
              </w:rPr>
            </w:pPr>
            <w:r>
              <w:rPr>
                <w:rFonts w:ascii="Times New Roman" w:hAnsi="Times New Roman"/>
                <w:noProof/>
                <w:sz w:val="24"/>
              </w:rPr>
              <w:t>62</w:t>
            </w:r>
          </w:p>
        </w:tc>
      </w:tr>
    </w:tbl>
    <w:p w:rsidR="00D63AA2" w:rsidRDefault="00D63AA2">
      <w:pPr>
        <w:spacing w:after="0" w:line="240" w:lineRule="auto"/>
        <w:ind w:right="-142"/>
        <w:rPr>
          <w:rFonts w:ascii="Times New Roman" w:eastAsia="Times New Roman" w:hAnsi="Times New Roman" w:cs="Times New Roman"/>
          <w:noProof/>
          <w:sz w:val="24"/>
          <w:szCs w:val="24"/>
        </w:rPr>
      </w:pPr>
    </w:p>
    <w:p w:rsidR="00D63AA2" w:rsidRDefault="00D63AA2">
      <w:pPr>
        <w:spacing w:after="120"/>
        <w:rPr>
          <w:rFonts w:ascii="Times New Roman" w:eastAsia="Times New Roman" w:hAnsi="Times New Roman" w:cs="Times New Roman"/>
          <w:b/>
          <w:noProof/>
          <w:sz w:val="24"/>
          <w:szCs w:val="24"/>
        </w:rPr>
      </w:pPr>
    </w:p>
    <w:p w:rsidR="00D63AA2" w:rsidRDefault="00B91D09">
      <w:pPr>
        <w:spacing w:after="120"/>
        <w:rPr>
          <w:rFonts w:ascii="Times New Roman" w:eastAsia="Times New Roman" w:hAnsi="Times New Roman" w:cs="Times New Roman"/>
          <w:b/>
          <w:noProof/>
          <w:sz w:val="24"/>
          <w:szCs w:val="24"/>
        </w:rPr>
      </w:pPr>
      <w:r>
        <w:rPr>
          <w:rFonts w:ascii="Times New Roman" w:hAnsi="Times New Roman"/>
          <w:b/>
          <w:noProof/>
          <w:sz w:val="24"/>
        </w:rPr>
        <w:t>Principes</w:t>
      </w:r>
    </w:p>
    <w:p w:rsidR="00D63AA2" w:rsidRDefault="00B91D09">
      <w:pPr>
        <w:spacing w:after="120" w:line="240" w:lineRule="auto"/>
        <w:jc w:val="both"/>
        <w:rPr>
          <w:rFonts w:ascii="Times New Roman" w:eastAsia="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Pensez-vous qu’une éventuelle initiative de l’Union doive poursuivre les principes de politique générale suivants?</w:t>
      </w:r>
      <w:r>
        <w:rPr>
          <w:rFonts w:ascii="Times New Roman" w:hAnsi="Times New Roman"/>
          <w:noProof/>
          <w:sz w:val="24"/>
        </w:rPr>
        <w:t>»</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grande majorité des répondants conviennent largement qu’une éventuelle initiative de l’Union devrait poursuivre les principes mentionnés, dont la fourniture d’une protection sociale adéquate à tous les travailleurs quelle que soit leur relation de trava</w:t>
      </w:r>
      <w:r>
        <w:rPr>
          <w:rFonts w:ascii="Times New Roman" w:hAnsi="Times New Roman"/>
          <w:noProof/>
          <w:sz w:val="24"/>
        </w:rPr>
        <w:t>il, le fait de lier les droits aux individus lorsqu’ils travaillent et de rendre les droits transférables, la transparence des droits et des informations, et la simplification des exigences administratives. Seuls 14 répondants étaient d’accord avec l’optio</w:t>
      </w:r>
      <w:r>
        <w:rPr>
          <w:rFonts w:ascii="Times New Roman" w:hAnsi="Times New Roman"/>
          <w:noProof/>
          <w:sz w:val="24"/>
        </w:rPr>
        <w:t xml:space="preserve">n «aucune mesure ne doit être prise». </w:t>
      </w:r>
    </w:p>
    <w:p w:rsidR="00D63AA2" w:rsidRDefault="00D63AA2">
      <w:pPr>
        <w:spacing w:after="120" w:line="240" w:lineRule="auto"/>
        <w:jc w:val="both"/>
        <w:rPr>
          <w:rFonts w:ascii="Times New Roman" w:eastAsia="Times New Roman" w:hAnsi="Times New Roman" w:cs="Times New Roman"/>
          <w:noProof/>
          <w:sz w:val="24"/>
          <w:szCs w:val="24"/>
        </w:rPr>
      </w:pPr>
    </w:p>
    <w:tbl>
      <w:tblPr>
        <w:tblStyle w:val="TableGrid1"/>
        <w:tblW w:w="0" w:type="auto"/>
        <w:tblLayout w:type="fixed"/>
        <w:tblLook w:val="04A0" w:firstRow="1" w:lastRow="0" w:firstColumn="1" w:lastColumn="0" w:noHBand="0" w:noVBand="1"/>
      </w:tblPr>
      <w:tblGrid>
        <w:gridCol w:w="7052"/>
        <w:gridCol w:w="2234"/>
      </w:tblGrid>
      <w:tr w:rsidR="00D63AA2">
        <w:tc>
          <w:tcPr>
            <w:tcW w:w="7052" w:type="dxa"/>
          </w:tcPr>
          <w:p w:rsidR="00D63AA2" w:rsidRDefault="00D63AA2">
            <w:pPr>
              <w:spacing w:after="120"/>
              <w:jc w:val="both"/>
              <w:rPr>
                <w:rFonts w:ascii="Times New Roman" w:eastAsia="Times New Roman" w:hAnsi="Times New Roman"/>
                <w:noProof/>
                <w:sz w:val="24"/>
                <w:szCs w:val="24"/>
              </w:rPr>
            </w:pPr>
          </w:p>
        </w:tc>
        <w:tc>
          <w:tcPr>
            <w:tcW w:w="2234"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Je suis d’accord (réponses sur 119 réponses)</w:t>
            </w:r>
          </w:p>
        </w:tc>
      </w:tr>
      <w:tr w:rsidR="00D63AA2">
        <w:tc>
          <w:tcPr>
            <w:tcW w:w="7052"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Les travailleurs salariés et, dans des conditions comparables, les travailleurs non salariés, ont droit à une protection sociale adéquate, quels que soient le type et la</w:t>
            </w:r>
            <w:r>
              <w:rPr>
                <w:rFonts w:ascii="Times New Roman" w:hAnsi="Times New Roman"/>
                <w:noProof/>
                <w:sz w:val="24"/>
              </w:rPr>
              <w:t xml:space="preserve"> durée de la relation de travail</w:t>
            </w:r>
          </w:p>
        </w:tc>
        <w:tc>
          <w:tcPr>
            <w:tcW w:w="2234"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85</w:t>
            </w:r>
          </w:p>
        </w:tc>
      </w:tr>
      <w:tr w:rsidR="00D63AA2">
        <w:tc>
          <w:tcPr>
            <w:tcW w:w="7052"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Lier les droits aux individus lorsqu’ils travaillent (et non pas au type de contrat) et rendre les droits transférables</w:t>
            </w:r>
          </w:p>
        </w:tc>
        <w:tc>
          <w:tcPr>
            <w:tcW w:w="2234"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72</w:t>
            </w:r>
          </w:p>
        </w:tc>
      </w:tr>
      <w:tr w:rsidR="00D63AA2">
        <w:tc>
          <w:tcPr>
            <w:tcW w:w="7052"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Assurer la transparence des droits et des informations y afférentes</w:t>
            </w:r>
          </w:p>
        </w:tc>
        <w:tc>
          <w:tcPr>
            <w:tcW w:w="2234"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86</w:t>
            </w:r>
          </w:p>
        </w:tc>
      </w:tr>
      <w:tr w:rsidR="00D63AA2">
        <w:tc>
          <w:tcPr>
            <w:tcW w:w="7052"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Simplifier les exigence</w:t>
            </w:r>
            <w:r>
              <w:rPr>
                <w:rFonts w:ascii="Times New Roman" w:hAnsi="Times New Roman"/>
                <w:noProof/>
                <w:sz w:val="24"/>
              </w:rPr>
              <w:t>s administratives</w:t>
            </w:r>
          </w:p>
        </w:tc>
        <w:tc>
          <w:tcPr>
            <w:tcW w:w="2234"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82</w:t>
            </w:r>
          </w:p>
        </w:tc>
      </w:tr>
      <w:tr w:rsidR="00D63AA2">
        <w:tc>
          <w:tcPr>
            <w:tcW w:w="7052"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Aucune mesure ne doit être prise</w:t>
            </w:r>
          </w:p>
        </w:tc>
        <w:tc>
          <w:tcPr>
            <w:tcW w:w="2234"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14</w:t>
            </w:r>
          </w:p>
        </w:tc>
      </w:tr>
    </w:tbl>
    <w:p w:rsidR="00D63AA2" w:rsidRDefault="00D63AA2">
      <w:pPr>
        <w:spacing w:after="120"/>
        <w:rPr>
          <w:rFonts w:ascii="Times New Roman" w:eastAsia="Times New Roman" w:hAnsi="Times New Roman" w:cs="Times New Roman"/>
          <w:b/>
          <w:noProof/>
          <w:sz w:val="24"/>
          <w:szCs w:val="24"/>
        </w:rPr>
      </w:pPr>
    </w:p>
    <w:p w:rsidR="00D63AA2" w:rsidRDefault="00B91D09">
      <w:pPr>
        <w:spacing w:after="120"/>
        <w:rPr>
          <w:rFonts w:ascii="Times New Roman" w:eastAsia="Times New Roman" w:hAnsi="Times New Roman" w:cs="Times New Roman"/>
          <w:b/>
          <w:noProof/>
          <w:sz w:val="24"/>
          <w:szCs w:val="24"/>
        </w:rPr>
      </w:pPr>
      <w:r>
        <w:rPr>
          <w:rFonts w:ascii="Times New Roman" w:hAnsi="Times New Roman"/>
          <w:b/>
          <w:noProof/>
          <w:sz w:val="24"/>
        </w:rPr>
        <w:t>Options</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ce qui concerne les options énumérées, 69,7 % des répondants déclarent que les droits et obligations en matière de protection sociale devraient l’être de manière obligatoire pour tout t</w:t>
      </w:r>
      <w:r>
        <w:rPr>
          <w:rFonts w:ascii="Times New Roman" w:hAnsi="Times New Roman"/>
          <w:noProof/>
          <w:sz w:val="24"/>
        </w:rPr>
        <w:t>ype d’emploi, quel que soit le type de contrat, et 56,3 % des répondants estiment que la protection et les cotisations obligatoires des travailleurs occupant des emplois atypiques devraient être alignées sur le niveau des travailleurs occupant un emploi cl</w:t>
      </w:r>
      <w:r>
        <w:rPr>
          <w:rFonts w:ascii="Times New Roman" w:hAnsi="Times New Roman"/>
          <w:noProof/>
          <w:sz w:val="24"/>
        </w:rPr>
        <w:t>assique.</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64,7 % des répondants estiment que les droits et obligations en matière de protection sociale devraient être obligatoires pour tous les travailleurs indépendants, et 47,1 % des répondants pensent que la protection et les contributions obligatoires</w:t>
      </w:r>
      <w:r>
        <w:rPr>
          <w:rFonts w:ascii="Times New Roman" w:hAnsi="Times New Roman"/>
          <w:noProof/>
          <w:sz w:val="24"/>
        </w:rPr>
        <w:t xml:space="preserve"> des travailleurs indépendants devraient être alignées sur le niveau des travailleurs occupant un emploi classique.</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Enfin, 52,94 % des répondants pensent qu’un régime unique de protection sociale couvrant toutes les personnes occupant un emploi serait la m</w:t>
      </w:r>
      <w:r>
        <w:rPr>
          <w:rFonts w:ascii="Times New Roman" w:hAnsi="Times New Roman"/>
          <w:noProof/>
          <w:sz w:val="24"/>
        </w:rPr>
        <w:t>eilleure manière de garantir une couverture effective. De même, 54,6 % des répondants jugent qu’un régime unique de protection sociale conviendrait aux travailleurs indépendants.</w:t>
      </w:r>
    </w:p>
    <w:p w:rsidR="00D63AA2" w:rsidRDefault="00D63AA2">
      <w:pPr>
        <w:spacing w:after="120" w:line="240" w:lineRule="auto"/>
        <w:rPr>
          <w:rFonts w:ascii="Times New Roman" w:eastAsia="Times New Roman" w:hAnsi="Times New Roman" w:cs="Times New Roman"/>
          <w:b/>
          <w:noProof/>
          <w:sz w:val="24"/>
          <w:szCs w:val="24"/>
        </w:rPr>
      </w:pPr>
    </w:p>
    <w:p w:rsidR="00D63AA2" w:rsidRDefault="00B91D09">
      <w:pPr>
        <w:spacing w:after="120" w:line="240" w:lineRule="auto"/>
        <w:rPr>
          <w:rFonts w:ascii="Times New Roman" w:eastAsia="Times New Roman" w:hAnsi="Times New Roman" w:cs="Times New Roman"/>
          <w:b/>
          <w:noProof/>
          <w:sz w:val="24"/>
          <w:szCs w:val="24"/>
        </w:rPr>
      </w:pPr>
      <w:r>
        <w:rPr>
          <w:rFonts w:ascii="Times New Roman" w:hAnsi="Times New Roman"/>
          <w:b/>
          <w:noProof/>
          <w:sz w:val="24"/>
        </w:rPr>
        <w:t>Instruments</w:t>
      </w: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Près des trois quarts des répondants (72,3 %) mettent en avant </w:t>
      </w:r>
      <w:r>
        <w:rPr>
          <w:rFonts w:ascii="Times New Roman" w:hAnsi="Times New Roman"/>
          <w:noProof/>
          <w:sz w:val="24"/>
        </w:rPr>
        <w:t>la nécessité d’une action au niveau de l’Union; 54,6 % d’entre eux jugent que l’introduction d’une nouvelle législation de l’Union (telle qu’une directive) aurait une efficacité élevée. Seuls 4,2 % des répondants estiment que le recours à une législation d</w:t>
      </w:r>
      <w:r>
        <w:rPr>
          <w:rFonts w:ascii="Times New Roman" w:hAnsi="Times New Roman"/>
          <w:noProof/>
          <w:sz w:val="24"/>
        </w:rPr>
        <w:t>e l’Union non contraignante (telle qu’une recommandation du Conseil) aurait une efficacité élevée.</w:t>
      </w:r>
    </w:p>
    <w:p w:rsidR="00D63AA2" w:rsidRDefault="00D63AA2">
      <w:pPr>
        <w:spacing w:after="120"/>
        <w:rPr>
          <w:rFonts w:ascii="Times New Roman" w:eastAsia="Times New Roman" w:hAnsi="Times New Roman" w:cs="Times New Roman"/>
          <w:b/>
          <w:noProof/>
          <w:sz w:val="24"/>
          <w:szCs w:val="24"/>
        </w:rPr>
      </w:pPr>
    </w:p>
    <w:p w:rsidR="00D63AA2" w:rsidRDefault="00B91D09">
      <w:pPr>
        <w:spacing w:after="120"/>
        <w:rPr>
          <w:rFonts w:ascii="Times New Roman" w:eastAsia="Times New Roman" w:hAnsi="Times New Roman" w:cs="Times New Roman"/>
          <w:b/>
          <w:noProof/>
          <w:sz w:val="24"/>
          <w:szCs w:val="24"/>
        </w:rPr>
      </w:pPr>
      <w:r>
        <w:rPr>
          <w:rFonts w:ascii="Times New Roman" w:hAnsi="Times New Roman"/>
          <w:b/>
          <w:noProof/>
          <w:sz w:val="24"/>
        </w:rPr>
        <w:t>Effets</w:t>
      </w:r>
    </w:p>
    <w:p w:rsidR="00D63AA2" w:rsidRDefault="00B91D09">
      <w:pPr>
        <w:spacing w:after="120" w:line="240" w:lineRule="auto"/>
        <w:rPr>
          <w:rFonts w:ascii="Times New Roman" w:eastAsia="Times New Roman" w:hAnsi="Times New Roman" w:cs="Times New Roman"/>
          <w:noProof/>
          <w:sz w:val="24"/>
          <w:szCs w:val="24"/>
        </w:rPr>
      </w:pPr>
      <w:r>
        <w:rPr>
          <w:rFonts w:ascii="Times New Roman" w:hAnsi="Times New Roman"/>
          <w:noProof/>
          <w:sz w:val="24"/>
        </w:rPr>
        <w:t xml:space="preserve">Selon la grande majorité des répondants, le fait de rendre </w:t>
      </w:r>
      <w:r>
        <w:rPr>
          <w:rFonts w:ascii="Times New Roman" w:hAnsi="Times New Roman"/>
          <w:b/>
          <w:noProof/>
          <w:sz w:val="24"/>
        </w:rPr>
        <w:t>obligatoires</w:t>
      </w:r>
      <w:r>
        <w:rPr>
          <w:rFonts w:ascii="Times New Roman" w:hAnsi="Times New Roman"/>
          <w:noProof/>
          <w:sz w:val="24"/>
        </w:rPr>
        <w:t xml:space="preserve"> les droits en matière de protection sociale pour toutes les formes de travail</w:t>
      </w:r>
      <w:r>
        <w:rPr>
          <w:rFonts w:ascii="Times New Roman" w:hAnsi="Times New Roman"/>
          <w:noProof/>
          <w:sz w:val="24"/>
        </w:rPr>
        <w:t xml:space="preserve"> aurait un effet positif sur la société européenne, le marché du travail, les travailleurs, les finances publiques et l’économie.</w:t>
      </w:r>
    </w:p>
    <w:p w:rsidR="00D63AA2" w:rsidRDefault="00D63AA2">
      <w:pPr>
        <w:spacing w:after="120" w:line="240" w:lineRule="auto"/>
        <w:rPr>
          <w:rFonts w:ascii="Times New Roman" w:eastAsia="Times New Roman" w:hAnsi="Times New Roman" w:cs="Times New Roman"/>
          <w:noProof/>
          <w:sz w:val="24"/>
          <w:szCs w:val="24"/>
        </w:rPr>
      </w:pPr>
    </w:p>
    <w:p w:rsidR="00D63AA2" w:rsidRDefault="00B91D09">
      <w:pPr>
        <w:spacing w:after="120" w:line="240" w:lineRule="auto"/>
        <w:rPr>
          <w:rFonts w:ascii="Times New Roman" w:eastAsia="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Selon vous, l’effet de rendre obligatoires les droits de protection sociale, quelle que soit la forme d’emploi, serait posit</w:t>
      </w:r>
      <w:r>
        <w:rPr>
          <w:rFonts w:ascii="Times New Roman" w:hAnsi="Times New Roman"/>
          <w:i/>
          <w:noProof/>
          <w:sz w:val="24"/>
        </w:rPr>
        <w:t>if, neutre ou négatif pour: L’économie</w:t>
      </w:r>
      <w:r>
        <w:rPr>
          <w:rFonts w:ascii="Times New Roman" w:hAnsi="Times New Roman"/>
          <w:noProof/>
          <w:sz w:val="24"/>
        </w:rPr>
        <w:t>»</w:t>
      </w:r>
    </w:p>
    <w:tbl>
      <w:tblPr>
        <w:tblStyle w:val="TableGrid1"/>
        <w:tblW w:w="0" w:type="auto"/>
        <w:tblLayout w:type="fixed"/>
        <w:tblLook w:val="04A0" w:firstRow="1" w:lastRow="0" w:firstColumn="1" w:lastColumn="0" w:noHBand="0" w:noVBand="1"/>
      </w:tblPr>
      <w:tblGrid>
        <w:gridCol w:w="4643"/>
        <w:gridCol w:w="4643"/>
      </w:tblGrid>
      <w:tr w:rsidR="00D63AA2">
        <w:tc>
          <w:tcPr>
            <w:tcW w:w="4643" w:type="dxa"/>
          </w:tcPr>
          <w:p w:rsidR="00D63AA2" w:rsidRDefault="00D63AA2">
            <w:pPr>
              <w:spacing w:after="120"/>
              <w:rPr>
                <w:rFonts w:ascii="Times New Roman" w:eastAsia="Times New Roman" w:hAnsi="Times New Roman"/>
                <w:noProof/>
                <w:sz w:val="24"/>
                <w:szCs w:val="24"/>
              </w:rPr>
            </w:pPr>
          </w:p>
        </w:tc>
        <w:tc>
          <w:tcPr>
            <w:tcW w:w="4643"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Positif (réponses sur 119 réponses)</w:t>
            </w:r>
          </w:p>
        </w:tc>
      </w:tr>
      <w:tr w:rsidR="00D63AA2">
        <w:tc>
          <w:tcPr>
            <w:tcW w:w="4643"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Compétitivité</w:t>
            </w:r>
          </w:p>
        </w:tc>
        <w:tc>
          <w:tcPr>
            <w:tcW w:w="4643"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73</w:t>
            </w:r>
          </w:p>
        </w:tc>
      </w:tr>
      <w:tr w:rsidR="00D63AA2">
        <w:tc>
          <w:tcPr>
            <w:tcW w:w="4643"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Résilience et adaptabilité</w:t>
            </w:r>
          </w:p>
        </w:tc>
        <w:tc>
          <w:tcPr>
            <w:tcW w:w="4643"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72</w:t>
            </w:r>
          </w:p>
        </w:tc>
      </w:tr>
      <w:tr w:rsidR="00D63AA2">
        <w:tc>
          <w:tcPr>
            <w:tcW w:w="4643"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Croissance économique</w:t>
            </w:r>
          </w:p>
        </w:tc>
        <w:tc>
          <w:tcPr>
            <w:tcW w:w="4643"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72</w:t>
            </w:r>
          </w:p>
        </w:tc>
      </w:tr>
    </w:tbl>
    <w:p w:rsidR="00D63AA2" w:rsidRDefault="00D63AA2">
      <w:pPr>
        <w:spacing w:after="120" w:line="240" w:lineRule="auto"/>
        <w:jc w:val="both"/>
        <w:rPr>
          <w:rFonts w:ascii="Times New Roman" w:eastAsia="Times New Roman" w:hAnsi="Times New Roman" w:cs="Times New Roman"/>
          <w:noProof/>
          <w:sz w:val="24"/>
          <w:szCs w:val="24"/>
        </w:rPr>
      </w:pP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mais plutôt neutre pour les petites et moyennes entreprises (PME).</w:t>
      </w:r>
    </w:p>
    <w:p w:rsidR="00D63AA2" w:rsidRDefault="00B91D09">
      <w:pPr>
        <w:spacing w:after="120" w:line="240" w:lineRule="auto"/>
        <w:jc w:val="both"/>
        <w:rPr>
          <w:rFonts w:ascii="Times New Roman" w:eastAsia="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 xml:space="preserve">Selon vous, l’effet de rendre </w:t>
      </w:r>
      <w:r>
        <w:rPr>
          <w:rFonts w:ascii="Times New Roman" w:hAnsi="Times New Roman"/>
          <w:i/>
          <w:noProof/>
          <w:sz w:val="24"/>
        </w:rPr>
        <w:t>obligatoires les droits de protection sociale, quelle que soit la forme d’emploi, serait positif, neutre ou négatif pour: Petites et moyennes entreprises</w:t>
      </w:r>
      <w:r>
        <w:rPr>
          <w:rFonts w:ascii="Times New Roman" w:hAnsi="Times New Roman"/>
          <w:noProof/>
          <w:sz w:val="24"/>
        </w:rPr>
        <w:t>»</w:t>
      </w:r>
    </w:p>
    <w:tbl>
      <w:tblPr>
        <w:tblStyle w:val="TableGrid1"/>
        <w:tblW w:w="0" w:type="auto"/>
        <w:tblLayout w:type="fixed"/>
        <w:tblLook w:val="04A0" w:firstRow="1" w:lastRow="0" w:firstColumn="1" w:lastColumn="0" w:noHBand="0" w:noVBand="1"/>
      </w:tblPr>
      <w:tblGrid>
        <w:gridCol w:w="4643"/>
        <w:gridCol w:w="4643"/>
      </w:tblGrid>
      <w:tr w:rsidR="00D63AA2">
        <w:tc>
          <w:tcPr>
            <w:tcW w:w="4643" w:type="dxa"/>
          </w:tcPr>
          <w:p w:rsidR="00D63AA2" w:rsidRDefault="00D63AA2">
            <w:pPr>
              <w:spacing w:after="120"/>
              <w:jc w:val="both"/>
              <w:rPr>
                <w:rFonts w:ascii="Times New Roman" w:eastAsia="Times New Roman" w:hAnsi="Times New Roman"/>
                <w:noProof/>
                <w:sz w:val="24"/>
                <w:szCs w:val="24"/>
              </w:rPr>
            </w:pPr>
          </w:p>
        </w:tc>
        <w:tc>
          <w:tcPr>
            <w:tcW w:w="4643"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Neutre (réponses sur 119 réponses)</w:t>
            </w:r>
          </w:p>
        </w:tc>
      </w:tr>
      <w:tr w:rsidR="00D63AA2">
        <w:tc>
          <w:tcPr>
            <w:tcW w:w="4643"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Coût</w:t>
            </w:r>
          </w:p>
        </w:tc>
        <w:tc>
          <w:tcPr>
            <w:tcW w:w="4643"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51</w:t>
            </w:r>
          </w:p>
        </w:tc>
      </w:tr>
      <w:tr w:rsidR="00D63AA2">
        <w:tc>
          <w:tcPr>
            <w:tcW w:w="4643"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Compétitivité</w:t>
            </w:r>
          </w:p>
        </w:tc>
        <w:tc>
          <w:tcPr>
            <w:tcW w:w="4643"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45</w:t>
            </w:r>
          </w:p>
        </w:tc>
      </w:tr>
    </w:tbl>
    <w:p w:rsidR="00D63AA2" w:rsidRDefault="00D63AA2">
      <w:pPr>
        <w:spacing w:after="120" w:line="240" w:lineRule="auto"/>
        <w:jc w:val="both"/>
        <w:rPr>
          <w:rFonts w:ascii="Times New Roman" w:eastAsia="Times New Roman" w:hAnsi="Times New Roman" w:cs="Times New Roman"/>
          <w:noProof/>
          <w:sz w:val="24"/>
          <w:szCs w:val="24"/>
        </w:rPr>
      </w:pP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D’autre part, le fait de donner un c</w:t>
      </w:r>
      <w:r>
        <w:rPr>
          <w:rFonts w:ascii="Times New Roman" w:hAnsi="Times New Roman"/>
          <w:noProof/>
          <w:sz w:val="24"/>
        </w:rPr>
        <w:t xml:space="preserve">aractère </w:t>
      </w:r>
      <w:r>
        <w:rPr>
          <w:rFonts w:ascii="Times New Roman" w:hAnsi="Times New Roman"/>
          <w:b/>
          <w:noProof/>
          <w:sz w:val="24"/>
        </w:rPr>
        <w:t>volontaire</w:t>
      </w:r>
      <w:r>
        <w:rPr>
          <w:rFonts w:ascii="Times New Roman" w:hAnsi="Times New Roman"/>
          <w:noProof/>
          <w:sz w:val="24"/>
        </w:rPr>
        <w:t xml:space="preserve"> aux droits en matière de protection sociale lorsque des disparités existent aurait un effet neutre ou négatif sur la société européenne, le marché du travail, les travailleurs, les finances publiques et l’économie.</w:t>
      </w:r>
    </w:p>
    <w:p w:rsidR="00D63AA2" w:rsidRDefault="00D63AA2">
      <w:pPr>
        <w:spacing w:after="120" w:line="240" w:lineRule="auto"/>
        <w:jc w:val="both"/>
        <w:rPr>
          <w:rFonts w:ascii="Times New Roman" w:eastAsia="Times New Roman" w:hAnsi="Times New Roman" w:cs="Times New Roman"/>
          <w:noProof/>
          <w:sz w:val="24"/>
          <w:szCs w:val="24"/>
        </w:rPr>
      </w:pPr>
    </w:p>
    <w:p w:rsidR="00D63AA2" w:rsidRDefault="00B91D09">
      <w:pPr>
        <w:spacing w:after="120" w:line="240" w:lineRule="auto"/>
        <w:jc w:val="both"/>
        <w:rPr>
          <w:rFonts w:ascii="Times New Roman" w:eastAsia="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Selon vous, l’effet</w:t>
      </w:r>
      <w:r>
        <w:rPr>
          <w:rFonts w:ascii="Times New Roman" w:hAnsi="Times New Roman"/>
          <w:i/>
          <w:noProof/>
          <w:sz w:val="24"/>
        </w:rPr>
        <w:t xml:space="preserve"> de donner un caractère volontaire aux droits et obligations de protection sociale lorsque des disparités existent, serait positif, neutre ou négatif pour: L’économie</w:t>
      </w:r>
      <w:r>
        <w:rPr>
          <w:rFonts w:ascii="Times New Roman" w:hAnsi="Times New Roman"/>
          <w:noProof/>
          <w:sz w:val="24"/>
        </w:rPr>
        <w:t>»</w:t>
      </w:r>
    </w:p>
    <w:tbl>
      <w:tblPr>
        <w:tblStyle w:val="TableGrid1"/>
        <w:tblW w:w="0" w:type="auto"/>
        <w:tblLayout w:type="fixed"/>
        <w:tblLook w:val="04A0" w:firstRow="1" w:lastRow="0" w:firstColumn="1" w:lastColumn="0" w:noHBand="0" w:noVBand="1"/>
      </w:tblPr>
      <w:tblGrid>
        <w:gridCol w:w="3439"/>
        <w:gridCol w:w="2760"/>
        <w:gridCol w:w="3087"/>
      </w:tblGrid>
      <w:tr w:rsidR="00D63AA2">
        <w:tc>
          <w:tcPr>
            <w:tcW w:w="3439" w:type="dxa"/>
          </w:tcPr>
          <w:p w:rsidR="00D63AA2" w:rsidRDefault="00D63AA2">
            <w:pPr>
              <w:spacing w:after="120"/>
              <w:rPr>
                <w:rFonts w:ascii="Times New Roman" w:eastAsia="Times New Roman" w:hAnsi="Times New Roman"/>
                <w:noProof/>
                <w:sz w:val="24"/>
                <w:szCs w:val="24"/>
              </w:rPr>
            </w:pPr>
          </w:p>
        </w:tc>
        <w:tc>
          <w:tcPr>
            <w:tcW w:w="2760"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Négatif (réponses sur 119 réponses)</w:t>
            </w:r>
          </w:p>
        </w:tc>
        <w:tc>
          <w:tcPr>
            <w:tcW w:w="3087"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Neutre (réponses sur 119 réponses)</w:t>
            </w:r>
          </w:p>
        </w:tc>
      </w:tr>
      <w:tr w:rsidR="00D63AA2">
        <w:tc>
          <w:tcPr>
            <w:tcW w:w="3439"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Compétitivité</w:t>
            </w:r>
          </w:p>
        </w:tc>
        <w:tc>
          <w:tcPr>
            <w:tcW w:w="2760"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45</w:t>
            </w:r>
          </w:p>
        </w:tc>
        <w:tc>
          <w:tcPr>
            <w:tcW w:w="3087"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 xml:space="preserve">43 </w:t>
            </w:r>
          </w:p>
        </w:tc>
      </w:tr>
      <w:tr w:rsidR="00D63AA2">
        <w:tc>
          <w:tcPr>
            <w:tcW w:w="3439"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Résilience et adaptabilité</w:t>
            </w:r>
          </w:p>
        </w:tc>
        <w:tc>
          <w:tcPr>
            <w:tcW w:w="2760"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49</w:t>
            </w:r>
          </w:p>
        </w:tc>
        <w:tc>
          <w:tcPr>
            <w:tcW w:w="3087"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40</w:t>
            </w:r>
          </w:p>
        </w:tc>
      </w:tr>
      <w:tr w:rsidR="00D63AA2">
        <w:tc>
          <w:tcPr>
            <w:tcW w:w="3439"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Croissance économique</w:t>
            </w:r>
          </w:p>
        </w:tc>
        <w:tc>
          <w:tcPr>
            <w:tcW w:w="2760"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49</w:t>
            </w:r>
          </w:p>
        </w:tc>
        <w:tc>
          <w:tcPr>
            <w:tcW w:w="3087" w:type="dxa"/>
          </w:tcPr>
          <w:p w:rsidR="00D63AA2" w:rsidRDefault="00B91D09">
            <w:pPr>
              <w:spacing w:after="120"/>
              <w:rPr>
                <w:rFonts w:ascii="Times New Roman" w:eastAsia="Times New Roman" w:hAnsi="Times New Roman"/>
                <w:noProof/>
                <w:sz w:val="24"/>
                <w:szCs w:val="24"/>
              </w:rPr>
            </w:pPr>
            <w:r>
              <w:rPr>
                <w:rFonts w:ascii="Times New Roman" w:hAnsi="Times New Roman"/>
                <w:noProof/>
                <w:sz w:val="24"/>
              </w:rPr>
              <w:t>41</w:t>
            </w:r>
          </w:p>
        </w:tc>
      </w:tr>
    </w:tbl>
    <w:p w:rsidR="00D63AA2" w:rsidRDefault="00D63AA2">
      <w:pPr>
        <w:spacing w:after="120" w:line="240" w:lineRule="auto"/>
        <w:jc w:val="both"/>
        <w:rPr>
          <w:rFonts w:ascii="Times New Roman" w:eastAsia="Times New Roman" w:hAnsi="Times New Roman" w:cs="Times New Roman"/>
          <w:noProof/>
          <w:sz w:val="24"/>
          <w:szCs w:val="24"/>
        </w:rPr>
      </w:pPr>
    </w:p>
    <w:p w:rsidR="00D63AA2" w:rsidRDefault="00B91D09">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mais plutôt neutre pour les petites et moyennes entreprises (PME).</w:t>
      </w:r>
    </w:p>
    <w:p w:rsidR="00D63AA2" w:rsidRDefault="00B91D09">
      <w:pPr>
        <w:spacing w:after="120"/>
        <w:rPr>
          <w:rFonts w:ascii="Times New Roman" w:eastAsia="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 xml:space="preserve">Selon vous, l’effet de donner un caractère volontaire aux droits et obligations de protection sociale lorsque des </w:t>
      </w:r>
      <w:r>
        <w:rPr>
          <w:rFonts w:ascii="Times New Roman" w:hAnsi="Times New Roman"/>
          <w:i/>
          <w:noProof/>
          <w:sz w:val="24"/>
        </w:rPr>
        <w:t>disparités existent, serait positif, neutre ou négatif pour: Petites et moyennes entreprises</w:t>
      </w:r>
      <w:r>
        <w:rPr>
          <w:rFonts w:ascii="Times New Roman" w:hAnsi="Times New Roman"/>
          <w:noProof/>
          <w:sz w:val="24"/>
        </w:rPr>
        <w:t>»</w:t>
      </w:r>
    </w:p>
    <w:tbl>
      <w:tblPr>
        <w:tblStyle w:val="TableGrid1"/>
        <w:tblW w:w="0" w:type="auto"/>
        <w:tblLayout w:type="fixed"/>
        <w:tblLook w:val="04A0" w:firstRow="1" w:lastRow="0" w:firstColumn="1" w:lastColumn="0" w:noHBand="0" w:noVBand="1"/>
      </w:tblPr>
      <w:tblGrid>
        <w:gridCol w:w="4643"/>
        <w:gridCol w:w="4643"/>
      </w:tblGrid>
      <w:tr w:rsidR="00D63AA2">
        <w:tc>
          <w:tcPr>
            <w:tcW w:w="4643" w:type="dxa"/>
          </w:tcPr>
          <w:p w:rsidR="00D63AA2" w:rsidRDefault="00D63AA2">
            <w:pPr>
              <w:spacing w:after="120"/>
              <w:jc w:val="both"/>
              <w:rPr>
                <w:rFonts w:ascii="Times New Roman" w:eastAsia="Times New Roman" w:hAnsi="Times New Roman"/>
                <w:noProof/>
                <w:sz w:val="24"/>
                <w:szCs w:val="24"/>
              </w:rPr>
            </w:pPr>
          </w:p>
        </w:tc>
        <w:tc>
          <w:tcPr>
            <w:tcW w:w="4643"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Neutre (réponses sur 119 réponses)</w:t>
            </w:r>
          </w:p>
        </w:tc>
      </w:tr>
      <w:tr w:rsidR="00D63AA2">
        <w:tc>
          <w:tcPr>
            <w:tcW w:w="4643"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Coût</w:t>
            </w:r>
          </w:p>
        </w:tc>
        <w:tc>
          <w:tcPr>
            <w:tcW w:w="4643"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55</w:t>
            </w:r>
          </w:p>
        </w:tc>
      </w:tr>
      <w:tr w:rsidR="00D63AA2">
        <w:tc>
          <w:tcPr>
            <w:tcW w:w="4643"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Compétitivité</w:t>
            </w:r>
          </w:p>
        </w:tc>
        <w:tc>
          <w:tcPr>
            <w:tcW w:w="4643" w:type="dxa"/>
          </w:tcPr>
          <w:p w:rsidR="00D63AA2" w:rsidRDefault="00B91D09">
            <w:pPr>
              <w:spacing w:after="120"/>
              <w:jc w:val="both"/>
              <w:rPr>
                <w:rFonts w:ascii="Times New Roman" w:eastAsia="Times New Roman" w:hAnsi="Times New Roman"/>
                <w:noProof/>
                <w:sz w:val="24"/>
                <w:szCs w:val="24"/>
              </w:rPr>
            </w:pPr>
            <w:r>
              <w:rPr>
                <w:rFonts w:ascii="Times New Roman" w:hAnsi="Times New Roman"/>
                <w:noProof/>
                <w:sz w:val="24"/>
              </w:rPr>
              <w:t>62</w:t>
            </w:r>
          </w:p>
        </w:tc>
      </w:tr>
    </w:tbl>
    <w:p w:rsidR="00D63AA2" w:rsidRDefault="00D63AA2">
      <w:pPr>
        <w:spacing w:after="120"/>
        <w:rPr>
          <w:rFonts w:ascii="Times New Roman" w:eastAsia="Times New Roman" w:hAnsi="Times New Roman" w:cs="Times New Roman"/>
          <w:b/>
          <w:noProof/>
          <w:sz w:val="24"/>
          <w:szCs w:val="24"/>
        </w:rPr>
      </w:pPr>
    </w:p>
    <w:p w:rsidR="00D63AA2" w:rsidRDefault="00D63AA2">
      <w:pPr>
        <w:rPr>
          <w:noProof/>
        </w:rPr>
      </w:pPr>
    </w:p>
    <w:sectPr w:rsidR="00D63AA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A2" w:rsidRDefault="00B91D09">
      <w:pPr>
        <w:spacing w:after="0" w:line="240" w:lineRule="auto"/>
      </w:pPr>
      <w:r>
        <w:separator/>
      </w:r>
    </w:p>
  </w:endnote>
  <w:endnote w:type="continuationSeparator" w:id="0">
    <w:p w:rsidR="00D63AA2" w:rsidRDefault="00B9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09" w:rsidRPr="00B91D09" w:rsidRDefault="00B91D09" w:rsidP="00B91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09" w:rsidRPr="00B91D09" w:rsidRDefault="00B91D09" w:rsidP="00B91D09">
    <w:pPr>
      <w:pStyle w:val="FooterCoverPage"/>
      <w:rPr>
        <w:rFonts w:ascii="Arial" w:hAnsi="Arial" w:cs="Arial"/>
        <w:b/>
        <w:sz w:val="48"/>
      </w:rPr>
    </w:pPr>
    <w:r w:rsidRPr="00B91D09">
      <w:rPr>
        <w:rFonts w:ascii="Arial" w:hAnsi="Arial" w:cs="Arial"/>
        <w:b/>
        <w:sz w:val="48"/>
      </w:rPr>
      <w:t>FR</w:t>
    </w:r>
    <w:r w:rsidRPr="00B91D09">
      <w:rPr>
        <w:rFonts w:ascii="Arial" w:hAnsi="Arial" w:cs="Arial"/>
        <w:b/>
        <w:sz w:val="48"/>
      </w:rPr>
      <w:tab/>
    </w:r>
    <w:r w:rsidRPr="00B91D09">
      <w:rPr>
        <w:rFonts w:ascii="Arial" w:hAnsi="Arial" w:cs="Arial"/>
        <w:b/>
        <w:sz w:val="48"/>
      </w:rPr>
      <w:tab/>
    </w:r>
    <w:r w:rsidRPr="00B91D09">
      <w:tab/>
    </w:r>
    <w:proofErr w:type="spellStart"/>
    <w:r w:rsidRPr="00B91D09">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09" w:rsidRPr="00B91D09" w:rsidRDefault="00B91D09" w:rsidP="00B91D0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A2" w:rsidRDefault="00D63A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885487"/>
      <w:docPartObj>
        <w:docPartGallery w:val="Page Numbers (Bottom of Page)"/>
        <w:docPartUnique/>
      </w:docPartObj>
    </w:sdtPr>
    <w:sdtEndPr>
      <w:rPr>
        <w:noProof/>
      </w:rPr>
    </w:sdtEndPr>
    <w:sdtContent>
      <w:p w:rsidR="00D63AA2" w:rsidRDefault="00B91D0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63AA2" w:rsidRDefault="00D63A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A2" w:rsidRDefault="00D63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A2" w:rsidRDefault="00B91D09">
      <w:pPr>
        <w:spacing w:after="0" w:line="240" w:lineRule="auto"/>
      </w:pPr>
      <w:r>
        <w:separator/>
      </w:r>
    </w:p>
  </w:footnote>
  <w:footnote w:type="continuationSeparator" w:id="0">
    <w:p w:rsidR="00D63AA2" w:rsidRDefault="00B91D09">
      <w:pPr>
        <w:spacing w:after="0" w:line="240" w:lineRule="auto"/>
      </w:pPr>
      <w:r>
        <w:continuationSeparator/>
      </w:r>
    </w:p>
  </w:footnote>
  <w:footnote w:id="1">
    <w:p w:rsidR="00D63AA2" w:rsidRDefault="00B91D09">
      <w:pPr>
        <w:pStyle w:val="FootnoteText"/>
        <w:jc w:val="both"/>
        <w:rPr>
          <w:rFonts w:ascii="Times New Roman" w:hAnsi="Times New Roman" w:cs="Times New Roman"/>
          <w:sz w:val="16"/>
          <w:szCs w:val="16"/>
          <w:lang w:val="fr-BE"/>
        </w:rPr>
      </w:pPr>
      <w:r>
        <w:rPr>
          <w:rStyle w:val="FootnoteReference"/>
          <w:rFonts w:ascii="Times New Roman" w:hAnsi="Times New Roman"/>
          <w:sz w:val="16"/>
        </w:rPr>
        <w:footnoteRef/>
      </w:r>
      <w:r>
        <w:rPr>
          <w:rFonts w:ascii="Times New Roman" w:hAnsi="Times New Roman"/>
          <w:sz w:val="16"/>
        </w:rPr>
        <w:t xml:space="preserve"> COM(2016) 127 final.</w:t>
      </w:r>
    </w:p>
  </w:footnote>
  <w:footnote w:id="2">
    <w:p w:rsidR="00D63AA2" w:rsidRDefault="00B91D09">
      <w:pPr>
        <w:pStyle w:val="Default"/>
        <w:jc w:val="both"/>
        <w:rPr>
          <w:rFonts w:ascii="Times New Roman" w:eastAsia="Times New Roman" w:hAnsi="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 xml:space="preserve">Elle est accompagnée de deux </w:t>
      </w:r>
      <w:r>
        <w:rPr>
          <w:rFonts w:ascii="Times New Roman" w:hAnsi="Times New Roman"/>
          <w:sz w:val="16"/>
        </w:rPr>
        <w:t>documents de travail des services de la Commission: le premier décrit les tendances essentielles de l’économie, de la société et du marché du travail sur lesquelles le socle s’appuie et que ce dernier devra contribuer à redresser, et le second rappelle les</w:t>
      </w:r>
      <w:r>
        <w:rPr>
          <w:rFonts w:ascii="Times New Roman" w:hAnsi="Times New Roman"/>
          <w:sz w:val="16"/>
        </w:rPr>
        <w:t xml:space="preserve"> acquis juridiques les plus pertinents à l’échelle de l’Union. Documents de travail des services de la Commission intitulés «Key </w:t>
      </w:r>
      <w:proofErr w:type="spellStart"/>
      <w:r>
        <w:rPr>
          <w:rFonts w:ascii="Times New Roman" w:hAnsi="Times New Roman"/>
          <w:sz w:val="16"/>
        </w:rPr>
        <w:t>economic</w:t>
      </w:r>
      <w:proofErr w:type="spellEnd"/>
      <w:r>
        <w:rPr>
          <w:rFonts w:ascii="Times New Roman" w:hAnsi="Times New Roman"/>
          <w:sz w:val="16"/>
        </w:rPr>
        <w:t xml:space="preserve">, </w:t>
      </w:r>
      <w:proofErr w:type="spellStart"/>
      <w:r>
        <w:rPr>
          <w:rFonts w:ascii="Times New Roman" w:hAnsi="Times New Roman"/>
          <w:sz w:val="16"/>
        </w:rPr>
        <w:t>employment</w:t>
      </w:r>
      <w:proofErr w:type="spellEnd"/>
      <w:r>
        <w:rPr>
          <w:rFonts w:ascii="Times New Roman" w:hAnsi="Times New Roman"/>
          <w:sz w:val="16"/>
        </w:rPr>
        <w:t xml:space="preserve"> and social trends </w:t>
      </w:r>
      <w:proofErr w:type="spellStart"/>
      <w:r>
        <w:rPr>
          <w:rFonts w:ascii="Times New Roman" w:hAnsi="Times New Roman"/>
          <w:sz w:val="16"/>
        </w:rPr>
        <w:t>behind</w:t>
      </w:r>
      <w:proofErr w:type="spellEnd"/>
      <w:r>
        <w:rPr>
          <w:rFonts w:ascii="Times New Roman" w:hAnsi="Times New Roman"/>
          <w:sz w:val="16"/>
        </w:rPr>
        <w:t xml:space="preserve"> the European </w:t>
      </w:r>
      <w:proofErr w:type="spellStart"/>
      <w:r>
        <w:rPr>
          <w:rFonts w:ascii="Times New Roman" w:hAnsi="Times New Roman"/>
          <w:sz w:val="16"/>
        </w:rPr>
        <w:t>Pillar</w:t>
      </w:r>
      <w:proofErr w:type="spellEnd"/>
      <w:r>
        <w:rPr>
          <w:rFonts w:ascii="Times New Roman" w:hAnsi="Times New Roman"/>
          <w:sz w:val="16"/>
        </w:rPr>
        <w:t xml:space="preserve"> of Social </w:t>
      </w:r>
      <w:proofErr w:type="spellStart"/>
      <w:r>
        <w:rPr>
          <w:rFonts w:ascii="Times New Roman" w:hAnsi="Times New Roman"/>
          <w:sz w:val="16"/>
        </w:rPr>
        <w:t>Rights</w:t>
      </w:r>
      <w:proofErr w:type="spellEnd"/>
      <w:r>
        <w:rPr>
          <w:rFonts w:ascii="Times New Roman" w:hAnsi="Times New Roman"/>
          <w:sz w:val="16"/>
        </w:rPr>
        <w:t>» [SWD(2016) 51] et «The EU social acquis» [S</w:t>
      </w:r>
      <w:r>
        <w:rPr>
          <w:rFonts w:ascii="Times New Roman" w:hAnsi="Times New Roman"/>
          <w:sz w:val="16"/>
        </w:rPr>
        <w:t>WD(2016) 50] du 8 mars 2016.</w:t>
      </w:r>
    </w:p>
  </w:footnote>
  <w:footnote w:id="3">
    <w:p w:rsidR="00D63AA2" w:rsidRDefault="00B91D09">
      <w:pPr>
        <w:pStyle w:val="FootnoteText"/>
        <w:jc w:val="both"/>
        <w:rPr>
          <w:rFonts w:ascii="Times New Roman" w:hAnsi="Times New Roman" w:cs="Times New Roman"/>
          <w:sz w:val="16"/>
          <w:szCs w:val="16"/>
          <w:lang w:val="fr-BE"/>
        </w:rPr>
      </w:pPr>
      <w:r>
        <w:rPr>
          <w:rStyle w:val="FootnoteReference"/>
          <w:rFonts w:ascii="Times New Roman" w:hAnsi="Times New Roman"/>
          <w:sz w:val="16"/>
        </w:rPr>
        <w:footnoteRef/>
      </w:r>
      <w:r>
        <w:rPr>
          <w:rFonts w:ascii="Times New Roman" w:hAnsi="Times New Roman"/>
          <w:sz w:val="16"/>
        </w:rPr>
        <w:t xml:space="preserve"> </w:t>
      </w:r>
      <w:hyperlink r:id="rId1">
        <w:r>
          <w:rPr>
            <w:rStyle w:val="Hyperlink"/>
            <w:rFonts w:ascii="Times New Roman" w:hAnsi="Times New Roman"/>
            <w:sz w:val="16"/>
          </w:rPr>
          <w:t>Site web de la conférence</w:t>
        </w:r>
      </w:hyperlink>
      <w:r>
        <w:rPr>
          <w:rFonts w:ascii="Times New Roman" w:hAnsi="Times New Roman"/>
          <w:sz w:val="16"/>
        </w:rPr>
        <w:t>.</w:t>
      </w:r>
    </w:p>
  </w:footnote>
  <w:footnote w:id="4">
    <w:p w:rsidR="00D63AA2" w:rsidRDefault="00B91D09">
      <w:pPr>
        <w:pStyle w:val="FootnoteText"/>
        <w:rPr>
          <w:rFonts w:ascii="Times New Roman" w:hAnsi="Times New Roman" w:cs="Times New Roman"/>
          <w:sz w:val="16"/>
          <w:szCs w:val="16"/>
          <w:lang w:val="fr-BE"/>
        </w:rPr>
      </w:pPr>
      <w:r>
        <w:rPr>
          <w:rStyle w:val="FootnoteReference"/>
          <w:rFonts w:ascii="Times New Roman" w:hAnsi="Times New Roman"/>
          <w:sz w:val="16"/>
        </w:rPr>
        <w:footnoteRef/>
      </w:r>
      <w:r>
        <w:rPr>
          <w:rFonts w:ascii="Times New Roman" w:hAnsi="Times New Roman"/>
          <w:sz w:val="16"/>
        </w:rPr>
        <w:t xml:space="preserve"> SWD(2017) 206 final</w:t>
      </w:r>
      <w:r>
        <w:t xml:space="preserve">, </w:t>
      </w:r>
      <w:hyperlink r:id="rId2">
        <w:r>
          <w:rPr>
            <w:rStyle w:val="Hyperlink"/>
            <w:rFonts w:ascii="Times New Roman" w:hAnsi="Times New Roman"/>
            <w:sz w:val="16"/>
          </w:rPr>
          <w:t>accessible en ligne</w:t>
        </w:r>
      </w:hyperlink>
      <w:r>
        <w:rPr>
          <w:rFonts w:ascii="Times New Roman" w:hAnsi="Times New Roman"/>
          <w:sz w:val="16"/>
        </w:rPr>
        <w:t>.</w:t>
      </w:r>
    </w:p>
  </w:footnote>
  <w:footnote w:id="5">
    <w:p w:rsidR="00D63AA2" w:rsidRDefault="00B91D09">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CESE SOC/542</w:t>
      </w:r>
      <w:r>
        <w:t xml:space="preserve">, </w:t>
      </w:r>
      <w:hyperlink r:id="rId3">
        <w:r>
          <w:rPr>
            <w:rStyle w:val="Hyperlink"/>
            <w:rFonts w:ascii="Times New Roman" w:hAnsi="Times New Roman"/>
            <w:sz w:val="16"/>
          </w:rPr>
          <w:t>disponible en ligne</w:t>
        </w:r>
      </w:hyperlink>
      <w:r>
        <w:t>.</w:t>
      </w:r>
    </w:p>
  </w:footnote>
  <w:footnote w:id="6">
    <w:p w:rsidR="00D63AA2" w:rsidRDefault="00B91D09">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Avis nº 2868/2016 du Comité des régions</w:t>
      </w:r>
      <w:r>
        <w:t xml:space="preserve">, </w:t>
      </w:r>
      <w:hyperlink r:id="rId4">
        <w:r>
          <w:rPr>
            <w:rStyle w:val="Hyperlink"/>
            <w:rFonts w:ascii="Times New Roman" w:hAnsi="Times New Roman"/>
            <w:sz w:val="16"/>
          </w:rPr>
          <w:t>disponible en ligne</w:t>
        </w:r>
      </w:hyperlink>
      <w:r>
        <w:rPr>
          <w:rFonts w:ascii="Times New Roman" w:hAnsi="Times New Roman"/>
          <w:sz w:val="16"/>
        </w:rPr>
        <w:t>.</w:t>
      </w:r>
    </w:p>
  </w:footnote>
  <w:footnote w:id="7">
    <w:p w:rsidR="00D63AA2" w:rsidRDefault="00B91D09">
      <w:pPr>
        <w:pStyle w:val="FootnoteText"/>
      </w:pPr>
      <w:r>
        <w:rPr>
          <w:rStyle w:val="FootnoteReference"/>
          <w:rFonts w:ascii="Times New Roman" w:hAnsi="Times New Roman"/>
          <w:sz w:val="16"/>
        </w:rPr>
        <w:footnoteRef/>
      </w:r>
      <w:r>
        <w:rPr>
          <w:rFonts w:ascii="Times New Roman" w:hAnsi="Times New Roman"/>
          <w:sz w:val="16"/>
        </w:rPr>
        <w:t xml:space="preserve"> Résolution 2016/2095(INI) du </w:t>
      </w:r>
      <w:r>
        <w:rPr>
          <w:rFonts w:ascii="Times New Roman" w:hAnsi="Times New Roman"/>
          <w:sz w:val="16"/>
        </w:rPr>
        <w:t>Parlement européen</w:t>
      </w:r>
      <w:r>
        <w:t xml:space="preserve">, </w:t>
      </w:r>
      <w:hyperlink r:id="rId5">
        <w:r>
          <w:rPr>
            <w:rStyle w:val="Hyperlink"/>
            <w:rFonts w:ascii="Times New Roman" w:hAnsi="Times New Roman"/>
            <w:sz w:val="16"/>
          </w:rPr>
          <w:t>disponible en ligne</w:t>
        </w:r>
      </w:hyperlink>
      <w:r>
        <w:rPr>
          <w:rFonts w:ascii="Times New Roman" w:hAnsi="Times New Roman"/>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09" w:rsidRPr="00B91D09" w:rsidRDefault="00B91D09" w:rsidP="00B91D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09" w:rsidRPr="00B91D09" w:rsidRDefault="00B91D09" w:rsidP="00B91D0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09" w:rsidRPr="00B91D09" w:rsidRDefault="00B91D09" w:rsidP="00B91D0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A2" w:rsidRDefault="00D63A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A2" w:rsidRDefault="00D63AA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A2" w:rsidRDefault="00D63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91A453D3-4623-4442-BF63-5FE249AEA632"/>
    <w:docVar w:name="LW_COVERPAGE_TYPE" w:val="1"/>
    <w:docVar w:name="LW_CROSSREFERENCE" w:val="{COM(2018) 132 final}_x000d_"/>
    <w:docVar w:name="LW_DocType" w:val="NORMAL"/>
    <w:docVar w:name="LW_EMISSION" w:val="13.3.2018"/>
    <w:docVar w:name="LW_EMISSION_ISODATE" w:val="2018-03-13"/>
    <w:docVar w:name="LW_EMISSION_LOCATION" w:val="BRX"/>
    <w:docVar w:name="LW_EMISSION_PREFIX" w:val="Strasbourg, le"/>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relative à l\u8217?accès des travailleurs salariés et non salariés à la protection sociale"/>
    <w:docVar w:name="LW_PART_NBR" w:val="1"/>
    <w:docVar w:name="LW_PART_NBR_TOTAL" w:val="1"/>
    <w:docVar w:name="LW_REF.INST.NEW" w:val="SWD"/>
    <w:docVar w:name="LW_REF.INST.NEW_ADOPTED" w:val="final"/>
    <w:docVar w:name="LW_REF.INST.NEW_TEXT" w:val="(2018) 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NSULTATION DES PARTIES PRENANTES - RAPPORT DE SYNTHÈSE&lt;/FMT&gt;"/>
    <w:docVar w:name="LW_TYPE.DOC.CP" w:val="DOCUMENT DE TRAVAIL DES SERVICES DE LA COMMISSION"/>
    <w:docVar w:name="LW_TYPEACTEPRINCIPAL.CP" w:val="Proposition de recommandation du Conseil"/>
  </w:docVars>
  <w:rsids>
    <w:rsidRoot w:val="00D63AA2"/>
    <w:rsid w:val="00B91D09"/>
    <w:rsid w:val="00D63AA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nhideWhenUsed/>
    <w:rPr>
      <w:color w:val="0000FF" w:themeColor="hyperlink"/>
      <w:w w:val="100"/>
      <w:sz w:val="20"/>
      <w:szCs w:val="20"/>
      <w:u w:val="single"/>
      <w:shd w:val="clear" w:color="auto" w:fill="auto"/>
    </w:rPr>
  </w:style>
  <w:style w:type="character" w:styleId="FootnoteReference">
    <w:name w:val="footnote reference"/>
    <w:link w:val="BVIfnr"/>
    <w:uiPriority w:val="99"/>
    <w:unhideWhenUsed/>
    <w:qFormat/>
    <w:rPr>
      <w:sz w:val="20"/>
      <w:szCs w:val="20"/>
      <w:vertAlign w:val="superscript"/>
    </w:rPr>
  </w:style>
  <w:style w:type="paragraph" w:customStyle="1" w:styleId="BVIfnr">
    <w:name w:val="BVI fnr Знак Знак"/>
    <w:basedOn w:val="Normal"/>
    <w:link w:val="FootnoteReference"/>
    <w:uiPriority w:val="99"/>
    <w:pPr>
      <w:spacing w:after="0" w:line="240" w:lineRule="auto"/>
    </w:pPr>
    <w:rPr>
      <w:sz w:val="20"/>
      <w:szCs w:val="20"/>
      <w:vertAlign w:val="superscript"/>
    </w:rPr>
  </w:style>
  <w:style w:type="paragraph" w:customStyle="1" w:styleId="Default">
    <w:name w:val="Default"/>
    <w:pPr>
      <w:autoSpaceDE w:val="0"/>
      <w:autoSpaceDN w:val="0"/>
      <w:spacing w:after="0" w:line="240" w:lineRule="auto"/>
    </w:pPr>
    <w:rPr>
      <w:rFonts w:ascii="Verdana" w:eastAsia="Verdana" w:hAnsi="Verdana" w:cs="Times New Roman"/>
      <w:color w:val="000000"/>
      <w:sz w:val="24"/>
      <w:szCs w:val="24"/>
    </w:rPr>
  </w:style>
  <w:style w:type="table" w:customStyle="1" w:styleId="TableGrid1">
    <w:name w:val="Table Grid1"/>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nhideWhenUsed/>
    <w:rPr>
      <w:color w:val="0000FF" w:themeColor="hyperlink"/>
      <w:w w:val="100"/>
      <w:sz w:val="20"/>
      <w:szCs w:val="20"/>
      <w:u w:val="single"/>
      <w:shd w:val="clear" w:color="auto" w:fill="auto"/>
    </w:rPr>
  </w:style>
  <w:style w:type="character" w:styleId="FootnoteReference">
    <w:name w:val="footnote reference"/>
    <w:link w:val="BVIfnr"/>
    <w:uiPriority w:val="99"/>
    <w:unhideWhenUsed/>
    <w:qFormat/>
    <w:rPr>
      <w:sz w:val="20"/>
      <w:szCs w:val="20"/>
      <w:vertAlign w:val="superscript"/>
    </w:rPr>
  </w:style>
  <w:style w:type="paragraph" w:customStyle="1" w:styleId="BVIfnr">
    <w:name w:val="BVI fnr Знак Знак"/>
    <w:basedOn w:val="Normal"/>
    <w:link w:val="FootnoteReference"/>
    <w:uiPriority w:val="99"/>
    <w:pPr>
      <w:spacing w:after="0" w:line="240" w:lineRule="auto"/>
    </w:pPr>
    <w:rPr>
      <w:sz w:val="20"/>
      <w:szCs w:val="20"/>
      <w:vertAlign w:val="superscript"/>
    </w:rPr>
  </w:style>
  <w:style w:type="paragraph" w:customStyle="1" w:styleId="Default">
    <w:name w:val="Default"/>
    <w:pPr>
      <w:autoSpaceDE w:val="0"/>
      <w:autoSpaceDN w:val="0"/>
      <w:spacing w:after="0" w:line="240" w:lineRule="auto"/>
    </w:pPr>
    <w:rPr>
      <w:rFonts w:ascii="Verdana" w:eastAsia="Verdana" w:hAnsi="Verdana" w:cs="Times New Roman"/>
      <w:color w:val="000000"/>
      <w:sz w:val="24"/>
      <w:szCs w:val="24"/>
    </w:rPr>
  </w:style>
  <w:style w:type="table" w:customStyle="1" w:styleId="TableGrid1">
    <w:name w:val="Table Grid1"/>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eesc.europa.eu/fr/our-work/opinions-information-reports/opinions/un-socle-europeen-des-droits-sociaux" TargetMode="External"/><Relationship Id="rId2" Type="http://schemas.openxmlformats.org/officeDocument/2006/relationships/hyperlink" Target="http://eur-lex.europa.eu/legal-content/EN/TXT/?qid=1494929508490&amp;uri=CELEX:52017SC0206" TargetMode="External"/><Relationship Id="rId1" Type="http://schemas.openxmlformats.org/officeDocument/2006/relationships/hyperlink" Target="http://ec.europa.eu/social/main.jsp?langId=fr&amp;catId=1226&amp;eventsId=1187&amp;furtherEvents=yes" TargetMode="External"/><Relationship Id="rId5" Type="http://schemas.openxmlformats.org/officeDocument/2006/relationships/hyperlink" Target="http://www.europarl.europa.eu/sides/getDoc.do?pubRef=-//EP//TEXT+REPORT+A8-2016-0391+0+DOC+XML+V0//FR" TargetMode="External"/><Relationship Id="rId4" Type="http://schemas.openxmlformats.org/officeDocument/2006/relationships/hyperlink" Target="http://cor.europa.eu/fr/activities/opinions/pages/opinion-factsheet.aspx?OpinionNumber=CDR%202868/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4008</Words>
  <Characters>23599</Characters>
  <Application>Microsoft Office Word</Application>
  <DocSecurity>0</DocSecurity>
  <Lines>413</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2015-08-28T07:32:00Z</cp:lastPrinted>
  <dcterms:created xsi:type="dcterms:W3CDTF">2018-03-08T10:32:00Z</dcterms:created>
  <dcterms:modified xsi:type="dcterms:W3CDTF">2018-04-05T12:07:00Z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