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C138CF8-EE2A-41CE-B50E-59F85548BB29"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rPr>
          <w:noProof/>
        </w:rPr>
      </w:pPr>
      <w:r>
        <w:rPr>
          <w:noProof/>
        </w:rPr>
        <w:t>Приложимите разпоредби за предоставяне на финансово участие от Европейския фонд за приспособяване към глобализацията (ЕФПГ) са определени в Регламент (ЕС) № 1309/2013 на Европейския парламент и на Съвета от 17 декември 2013 г. относно Европейския фонд за приспособяване към глобализацията (2014 — 2020 г.) и за отмяна на Регламент (ЕО) № 1927/2006</w:t>
      </w:r>
      <w:r>
        <w:rPr>
          <w:rStyle w:val="FootnoteReference"/>
          <w:noProof/>
        </w:rPr>
        <w:footnoteReference w:id="1"/>
      </w:r>
      <w:r>
        <w:rPr>
          <w:noProof/>
        </w:rPr>
        <w:t xml:space="preserve"> (наричан по-нататък „Регламентът за ЕФПГ“).</w:t>
      </w:r>
    </w:p>
    <w:p>
      <w:pPr>
        <w:rPr>
          <w:b/>
          <w:noProof/>
        </w:rPr>
      </w:pPr>
      <w:r>
        <w:rPr>
          <w:b/>
          <w:noProof/>
        </w:rPr>
        <w:t>ОБОБЩЕНИ ДАННИ ЗА ЗАЯВЛЕНИЕТО И АНАЛИЗ</w:t>
      </w:r>
    </w:p>
    <w:p>
      <w:pPr>
        <w:pBdr>
          <w:top w:val="single" w:sz="4" w:space="1" w:color="auto"/>
          <w:left w:val="single" w:sz="4" w:space="4" w:color="auto"/>
          <w:bottom w:val="single" w:sz="4" w:space="1" w:color="auto"/>
          <w:right w:val="single" w:sz="4" w:space="4" w:color="auto"/>
          <w:between w:val="dotted" w:sz="4" w:space="1" w:color="auto"/>
        </w:pBdr>
        <w:rPr>
          <w:b/>
          <w:noProof/>
        </w:rPr>
      </w:pPr>
      <w:r>
        <w:rPr>
          <w:b/>
          <w:noProof/>
        </w:rPr>
        <w:t>Основни данни:</w:t>
      </w:r>
    </w:p>
    <w:p>
      <w:pPr>
        <w:pBdr>
          <w:top w:val="single" w:sz="4" w:space="1" w:color="auto"/>
          <w:left w:val="single" w:sz="4" w:space="4" w:color="auto"/>
          <w:bottom w:val="single" w:sz="4" w:space="1" w:color="auto"/>
          <w:right w:val="single" w:sz="4" w:space="4" w:color="auto"/>
          <w:between w:val="dotted" w:sz="4" w:space="1" w:color="auto"/>
        </w:pBdr>
        <w:tabs>
          <w:tab w:val="right" w:pos="8880"/>
        </w:tabs>
        <w:spacing w:before="0" w:after="0"/>
        <w:rPr>
          <w:noProof/>
        </w:rPr>
      </w:pPr>
      <w:r>
        <w:rPr>
          <w:noProof/>
        </w:rPr>
        <w:t>Референтен номер по ЕФПГ</w:t>
      </w:r>
      <w:r>
        <w:rPr>
          <w:noProof/>
        </w:rPr>
        <w:tab/>
        <w:t>EGF/2018/000</w:t>
      </w:r>
    </w:p>
    <w:p>
      <w:pPr>
        <w:pBdr>
          <w:top w:val="single" w:sz="4" w:space="1" w:color="auto"/>
          <w:left w:val="single" w:sz="4" w:space="4" w:color="auto"/>
          <w:bottom w:val="single" w:sz="4" w:space="1" w:color="auto"/>
          <w:right w:val="single" w:sz="4" w:space="4" w:color="auto"/>
          <w:between w:val="dotted" w:sz="4" w:space="1" w:color="auto"/>
        </w:pBdr>
        <w:tabs>
          <w:tab w:val="right" w:pos="8880"/>
        </w:tabs>
        <w:spacing w:before="0" w:after="0"/>
        <w:rPr>
          <w:noProof/>
        </w:rPr>
      </w:pPr>
      <w:r>
        <w:rPr>
          <w:noProof/>
        </w:rPr>
        <w:t>Европейска комисия</w:t>
      </w:r>
      <w:r>
        <w:rPr>
          <w:noProof/>
        </w:rPr>
        <w:tab/>
        <w:t>Техническа помощ</w:t>
      </w:r>
    </w:p>
    <w:p>
      <w:pPr>
        <w:pBdr>
          <w:top w:val="single" w:sz="4" w:space="1" w:color="auto"/>
          <w:left w:val="single" w:sz="4" w:space="4" w:color="auto"/>
          <w:bottom w:val="single" w:sz="4" w:space="1" w:color="auto"/>
          <w:right w:val="single" w:sz="4" w:space="4" w:color="auto"/>
          <w:between w:val="dotted" w:sz="4" w:space="1" w:color="auto"/>
        </w:pBdr>
        <w:tabs>
          <w:tab w:val="right" w:pos="8880"/>
        </w:tabs>
        <w:spacing w:before="0" w:after="0"/>
        <w:rPr>
          <w:noProof/>
        </w:rPr>
      </w:pPr>
      <w:r>
        <w:rPr>
          <w:noProof/>
        </w:rPr>
        <w:t>Административни разходи: бюджет в евро</w:t>
      </w:r>
      <w:r>
        <w:rPr>
          <w:noProof/>
        </w:rPr>
        <w:tab/>
        <w:t>345 000</w:t>
      </w:r>
    </w:p>
    <w:p>
      <w:pPr>
        <w:pBdr>
          <w:top w:val="single" w:sz="4" w:space="1" w:color="auto"/>
          <w:left w:val="single" w:sz="4" w:space="4" w:color="auto"/>
          <w:bottom w:val="single" w:sz="4" w:space="1" w:color="auto"/>
          <w:right w:val="single" w:sz="4" w:space="4" w:color="auto"/>
          <w:between w:val="dotted" w:sz="4" w:space="1" w:color="auto"/>
        </w:pBdr>
        <w:tabs>
          <w:tab w:val="right" w:pos="8880"/>
        </w:tabs>
        <w:spacing w:before="0" w:after="0"/>
        <w:rPr>
          <w:noProof/>
        </w:rPr>
      </w:pPr>
      <w:r>
        <w:rPr>
          <w:noProof/>
        </w:rPr>
        <w:t>Процент на административните разходи: (таван: 0,5 %)</w:t>
      </w:r>
      <w:r>
        <w:rPr>
          <w:noProof/>
        </w:rPr>
        <w:tab/>
        <w:t>0,2 %</w:t>
      </w:r>
    </w:p>
    <w:p>
      <w:pPr>
        <w:rPr>
          <w:noProof/>
        </w:rPr>
      </w:pPr>
      <w:r>
        <w:rPr>
          <w:noProof/>
        </w:rPr>
        <w:t>Съгласно член 11, параграф 1 от Регламента за ЕФПГ по инициатива на Комисията всяка година за техническа помощ могат да бъдат предоставени най-много 0,5 % от максималния годишен размер на средствата от ЕФПГ.</w:t>
      </w:r>
    </w:p>
    <w:p>
      <w:pPr>
        <w:rPr>
          <w:b/>
          <w:noProof/>
          <w:u w:val="single"/>
        </w:rPr>
      </w:pPr>
      <w:r>
        <w:rPr>
          <w:b/>
          <w:noProof/>
          <w:u w:val="single"/>
        </w:rPr>
        <w:t>Техническа помощ, която ще се финансира, и разбивка на свързаните с нея прогнозни разходи</w:t>
      </w:r>
    </w:p>
    <w:p>
      <w:pPr>
        <w:pStyle w:val="ManualNumPar1"/>
        <w:rPr>
          <w:noProof/>
        </w:rPr>
      </w:pPr>
      <w:r>
        <w:rPr>
          <w:noProof/>
        </w:rPr>
        <w:t>1.</w:t>
      </w:r>
      <w:r>
        <w:rPr>
          <w:noProof/>
        </w:rPr>
        <w:tab/>
        <w:t>Финансовото участие ще бъде използвано за покриване на разходите, посочени в член 11, параграфи 1 и 4 и член 12, параграфи 2 — 4 от Регламента за ЕФПГ. Подробна информация е представена по-долу.</w:t>
      </w:r>
    </w:p>
    <w:p>
      <w:pPr>
        <w:pStyle w:val="ManualNumPar1"/>
        <w:rPr>
          <w:noProof/>
        </w:rPr>
      </w:pPr>
      <w:r>
        <w:rPr>
          <w:noProof/>
        </w:rPr>
        <w:t>2.</w:t>
      </w:r>
      <w:r>
        <w:rPr>
          <w:noProof/>
        </w:rPr>
        <w:tab/>
      </w:r>
      <w:r>
        <w:rPr>
          <w:noProof/>
          <w:u w:val="single"/>
        </w:rPr>
        <w:t>Мониторинг и събиране на данни</w:t>
      </w:r>
      <w:r>
        <w:rPr>
          <w:noProof/>
        </w:rPr>
        <w:t>: Комисията ще събере данни за постъпилите, изплатените и приключените заявления, както и за предложените и предприетите мерки. Тези данни ще бъдат публикувани на уебсайта и ще бъдат представени в съответния формат, необходим за включването им в двугодишните доклади за 2019 г. и 2021 г. Като се имат предвид резултатите, постигнати през последните години, разходите за тази дейност ще бъдат в размер на 20 000 EUR.</w:t>
      </w:r>
    </w:p>
    <w:p>
      <w:pPr>
        <w:pStyle w:val="ManualNumPar1"/>
        <w:rPr>
          <w:noProof/>
          <w:spacing w:val="2"/>
        </w:rPr>
      </w:pPr>
      <w:r>
        <w:rPr>
          <w:noProof/>
        </w:rPr>
        <w:t>3.</w:t>
      </w:r>
      <w:r>
        <w:rPr>
          <w:noProof/>
        </w:rPr>
        <w:tab/>
      </w:r>
      <w:r>
        <w:rPr>
          <w:noProof/>
          <w:spacing w:val="2"/>
          <w:u w:val="single"/>
        </w:rPr>
        <w:t>Информация</w:t>
      </w:r>
      <w:r>
        <w:rPr>
          <w:noProof/>
          <w:spacing w:val="2"/>
        </w:rPr>
        <w:t>: Уебсайтът на ЕФПГ</w:t>
      </w:r>
      <w:r>
        <w:rPr>
          <w:rStyle w:val="FootnoteReference"/>
          <w:noProof/>
          <w:spacing w:val="2"/>
        </w:rPr>
        <w:footnoteReference w:id="2"/>
      </w:r>
      <w:r>
        <w:rPr>
          <w:noProof/>
          <w:spacing w:val="2"/>
        </w:rPr>
        <w:t>, който Комисията създаде като част от интернет страницата, посветена на заетостта, социалните въпроси и приобщаването, и който поддържа в съответствие с изискванията по член 12, параграф 2 от Регламента за ЕФПГ, ще бъде осъвременяван редовно, като ще се добавя и нова информация, преведена на всички езици на ЕС. Широката общественост ще бъде по-добре информирана за ЕФПГ и дейността му ще се популяризира. Междинната оценка на ЕФПГ ще бъде отпечатана като издание с малък тираж и ще бъде публикувана също онлайн. Информация за ЕФПГ ще бъде включена в различни публикации и аудио-визуални дейности на Комисията, както е предвидено в член 11, параграф 4 от Регламента за ЕФПГ. Прогнозните разходи за тези дейности за 2018 г. са в размер на 20 000 EUR.</w:t>
      </w:r>
    </w:p>
    <w:p>
      <w:pPr>
        <w:pStyle w:val="ManualNumPar1"/>
        <w:rPr>
          <w:noProof/>
        </w:rPr>
      </w:pPr>
      <w:r>
        <w:rPr>
          <w:noProof/>
        </w:rPr>
        <w:t>4.</w:t>
      </w:r>
      <w:r>
        <w:rPr>
          <w:noProof/>
        </w:rPr>
        <w:tab/>
      </w:r>
      <w:r>
        <w:rPr>
          <w:noProof/>
          <w:u w:val="single"/>
        </w:rPr>
        <w:t>Създаване на база от знания/интерфейс за заявления</w:t>
      </w:r>
      <w:r>
        <w:rPr>
          <w:noProof/>
        </w:rPr>
        <w:t xml:space="preserve">: Комисията продължава работата по въвеждането на стандартизирани процедури за управление на ЕФПГ и за обработване на заявленията по ЕФПГ, като ги интегрира в рамките </w:t>
      </w:r>
      <w:r>
        <w:rPr>
          <w:noProof/>
        </w:rPr>
        <w:lastRenderedPageBreak/>
        <w:t>на системата за структурните фондове SFC 2014 въз основа на нейните функционални възможности. Това дава възможност за опростяване на заявленията съгласно Регламента за ЕФПГ, за по-бързото им обработване и за по-лесното генериране на различни видове отчети. Процедурите за отчитане също са интегрирани. С помощта на бекофис модул, който действа като интерфейс между SFC и системата ABAC на Комисията за счетоводно отчитане и финансова информация, се улесняват финансовите операции по ЕФПГ. Тъй като по-голямата част от програмирането бе направено през изминалите години, е необходимо само допълнително прецизиране и адаптиране към евентуалните промени. Поради по-ниските разходи за програмиране и непроменените разходи за поддръжка, необходимите средства са в по-нисък размер в сравнение с минали години. Прогнозните разходи за тези дейности са в размер на 80 000 EUR като финансово участие от ЕФПГ за по-нататъшното разработване и актуализиране на системата SFC и за редовната ѝ поддръжка.</w:t>
      </w:r>
    </w:p>
    <w:p>
      <w:pPr>
        <w:pStyle w:val="ManualNumPar1"/>
        <w:rPr>
          <w:noProof/>
        </w:rPr>
      </w:pPr>
      <w:r>
        <w:rPr>
          <w:noProof/>
        </w:rPr>
        <w:t>5.</w:t>
      </w:r>
      <w:r>
        <w:rPr>
          <w:noProof/>
        </w:rPr>
        <w:tab/>
      </w:r>
      <w:r>
        <w:rPr>
          <w:noProof/>
          <w:u w:val="single"/>
        </w:rPr>
        <w:t>Административна и техническа подкрепа</w:t>
      </w:r>
      <w:r>
        <w:rPr>
          <w:noProof/>
        </w:rPr>
        <w:t>: Експертната група на лицата за контакт за ЕФПГ, в която участва по един член от всяка държава членка, ще проведе три заседания (в края на 2018 г. / първата половина на 2019 г.). Прогнозните разходи за тези три заседания са в размер на 105 000 EUR.</w:t>
      </w:r>
    </w:p>
    <w:p>
      <w:pPr>
        <w:pStyle w:val="ManualNumPar1"/>
        <w:spacing w:after="240"/>
        <w:ind w:left="851" w:hanging="851"/>
        <w:rPr>
          <w:noProof/>
        </w:rPr>
      </w:pPr>
      <w:r>
        <w:rPr>
          <w:noProof/>
        </w:rPr>
        <w:t>6.</w:t>
      </w:r>
      <w:r>
        <w:rPr>
          <w:noProof/>
        </w:rPr>
        <w:tab/>
        <w:t>Освен това, за да насърчи работата в мрежа между държавите членки, Комисията ще организира два семинара с участието на изпълнителните органи по ЕФПГ и социалните партньори. Доколкото е възможно, семинарите ще бъдат насрочени за същите дати като две от трите заседания на експертната група, като ще се наблегне на въпроси, свързани с практическото прилагане на Регламента за ЕФПГ на местно равнище. Прогнозните разходи за тези дейности възлизат на 120 000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1560"/>
        <w:gridCol w:w="1800"/>
        <w:gridCol w:w="1621"/>
      </w:tblGrid>
      <w:tr>
        <w:tc>
          <w:tcPr>
            <w:tcW w:w="4308" w:type="dxa"/>
            <w:shd w:val="clear" w:color="auto" w:fill="auto"/>
          </w:tcPr>
          <w:p>
            <w:pPr>
              <w:pStyle w:val="Text1"/>
              <w:ind w:left="0"/>
              <w:rPr>
                <w:b/>
                <w:noProof/>
              </w:rPr>
            </w:pPr>
            <w:r>
              <w:rPr>
                <w:b/>
                <w:noProof/>
              </w:rPr>
              <w:t>Дейности</w:t>
            </w:r>
          </w:p>
        </w:tc>
        <w:tc>
          <w:tcPr>
            <w:tcW w:w="1560" w:type="dxa"/>
            <w:shd w:val="clear" w:color="auto" w:fill="auto"/>
          </w:tcPr>
          <w:p>
            <w:pPr>
              <w:pStyle w:val="Text1"/>
              <w:ind w:left="0"/>
              <w:jc w:val="center"/>
              <w:rPr>
                <w:b/>
                <w:noProof/>
              </w:rPr>
            </w:pPr>
            <w:r>
              <w:rPr>
                <w:b/>
                <w:noProof/>
              </w:rPr>
              <w:t>Прогнозен брой</w:t>
            </w:r>
          </w:p>
        </w:tc>
        <w:tc>
          <w:tcPr>
            <w:tcW w:w="1800" w:type="dxa"/>
            <w:shd w:val="clear" w:color="auto" w:fill="auto"/>
          </w:tcPr>
          <w:p>
            <w:pPr>
              <w:pStyle w:val="Text1"/>
              <w:ind w:left="0"/>
              <w:jc w:val="center"/>
              <w:rPr>
                <w:b/>
                <w:noProof/>
              </w:rPr>
            </w:pPr>
            <w:r>
              <w:rPr>
                <w:b/>
                <w:noProof/>
              </w:rPr>
              <w:t>Прогнозни разходи по дейност</w:t>
            </w:r>
            <w:r>
              <w:rPr>
                <w:b/>
                <w:noProof/>
              </w:rPr>
              <w:br/>
              <w:t>(в евро)</w:t>
            </w:r>
          </w:p>
        </w:tc>
        <w:tc>
          <w:tcPr>
            <w:tcW w:w="1621" w:type="dxa"/>
            <w:shd w:val="clear" w:color="auto" w:fill="auto"/>
          </w:tcPr>
          <w:p>
            <w:pPr>
              <w:pStyle w:val="Text1"/>
              <w:ind w:left="0"/>
              <w:jc w:val="center"/>
              <w:rPr>
                <w:b/>
                <w:noProof/>
              </w:rPr>
            </w:pPr>
            <w:r>
              <w:rPr>
                <w:b/>
                <w:noProof/>
              </w:rPr>
              <w:t>Общи разходи</w:t>
            </w:r>
            <w:r>
              <w:rPr>
                <w:b/>
                <w:noProof/>
              </w:rPr>
              <w:br/>
              <w:t>(в евро)</w:t>
            </w:r>
          </w:p>
        </w:tc>
      </w:tr>
      <w:tr>
        <w:tc>
          <w:tcPr>
            <w:tcW w:w="4308" w:type="dxa"/>
            <w:shd w:val="clear" w:color="auto" w:fill="auto"/>
          </w:tcPr>
          <w:p>
            <w:pPr>
              <w:pStyle w:val="Text1"/>
              <w:ind w:left="0"/>
              <w:jc w:val="left"/>
              <w:rPr>
                <w:noProof/>
              </w:rPr>
            </w:pPr>
            <w:r>
              <w:rPr>
                <w:noProof/>
              </w:rPr>
              <w:t>Мониторинг и събиране на данни</w:t>
            </w:r>
          </w:p>
        </w:tc>
        <w:tc>
          <w:tcPr>
            <w:tcW w:w="1560" w:type="dxa"/>
            <w:shd w:val="clear" w:color="auto" w:fill="auto"/>
          </w:tcPr>
          <w:p>
            <w:pPr>
              <w:pStyle w:val="Text1"/>
              <w:ind w:left="0"/>
              <w:jc w:val="right"/>
              <w:rPr>
                <w:noProof/>
              </w:rPr>
            </w:pPr>
            <w:r>
              <w:rPr>
                <w:noProof/>
              </w:rPr>
              <w:t>Разни</w:t>
            </w:r>
          </w:p>
        </w:tc>
        <w:tc>
          <w:tcPr>
            <w:tcW w:w="1800" w:type="dxa"/>
            <w:shd w:val="clear" w:color="auto" w:fill="auto"/>
          </w:tcPr>
          <w:p>
            <w:pPr>
              <w:pStyle w:val="Text1"/>
              <w:ind w:left="0"/>
              <w:jc w:val="right"/>
              <w:rPr>
                <w:noProof/>
              </w:rPr>
            </w:pPr>
            <w:r>
              <w:rPr>
                <w:noProof/>
              </w:rPr>
              <w:t>Разни</w:t>
            </w:r>
          </w:p>
        </w:tc>
        <w:tc>
          <w:tcPr>
            <w:tcW w:w="1621" w:type="dxa"/>
            <w:shd w:val="clear" w:color="auto" w:fill="auto"/>
          </w:tcPr>
          <w:p>
            <w:pPr>
              <w:pStyle w:val="Text1"/>
              <w:ind w:left="0"/>
              <w:jc w:val="right"/>
              <w:rPr>
                <w:noProof/>
              </w:rPr>
            </w:pPr>
            <w:r>
              <w:rPr>
                <w:noProof/>
              </w:rPr>
              <w:t>20 000</w:t>
            </w:r>
          </w:p>
        </w:tc>
      </w:tr>
      <w:tr>
        <w:tc>
          <w:tcPr>
            <w:tcW w:w="4308" w:type="dxa"/>
            <w:shd w:val="clear" w:color="auto" w:fill="auto"/>
          </w:tcPr>
          <w:p>
            <w:pPr>
              <w:pStyle w:val="Text1"/>
              <w:ind w:left="0"/>
              <w:jc w:val="left"/>
              <w:rPr>
                <w:noProof/>
              </w:rPr>
            </w:pPr>
            <w:r>
              <w:rPr>
                <w:noProof/>
              </w:rPr>
              <w:t>Информационни дейности</w:t>
            </w:r>
          </w:p>
        </w:tc>
        <w:tc>
          <w:tcPr>
            <w:tcW w:w="1560" w:type="dxa"/>
            <w:shd w:val="clear" w:color="auto" w:fill="auto"/>
          </w:tcPr>
          <w:p>
            <w:pPr>
              <w:pStyle w:val="Text1"/>
              <w:ind w:left="0"/>
              <w:jc w:val="right"/>
              <w:rPr>
                <w:noProof/>
              </w:rPr>
            </w:pPr>
            <w:r>
              <w:rPr>
                <w:noProof/>
              </w:rPr>
              <w:t>Разни</w:t>
            </w:r>
          </w:p>
        </w:tc>
        <w:tc>
          <w:tcPr>
            <w:tcW w:w="1800" w:type="dxa"/>
            <w:shd w:val="clear" w:color="auto" w:fill="auto"/>
          </w:tcPr>
          <w:p>
            <w:pPr>
              <w:pStyle w:val="Text1"/>
              <w:ind w:left="0"/>
              <w:jc w:val="right"/>
              <w:rPr>
                <w:noProof/>
              </w:rPr>
            </w:pPr>
            <w:r>
              <w:rPr>
                <w:noProof/>
              </w:rPr>
              <w:t>Разни</w:t>
            </w:r>
          </w:p>
        </w:tc>
        <w:tc>
          <w:tcPr>
            <w:tcW w:w="1621" w:type="dxa"/>
            <w:shd w:val="clear" w:color="auto" w:fill="auto"/>
          </w:tcPr>
          <w:p>
            <w:pPr>
              <w:pStyle w:val="Text1"/>
              <w:ind w:left="0"/>
              <w:jc w:val="right"/>
              <w:rPr>
                <w:noProof/>
              </w:rPr>
            </w:pPr>
            <w:r>
              <w:rPr>
                <w:noProof/>
              </w:rPr>
              <w:t>20 000</w:t>
            </w:r>
          </w:p>
        </w:tc>
      </w:tr>
      <w:tr>
        <w:tc>
          <w:tcPr>
            <w:tcW w:w="4308" w:type="dxa"/>
            <w:shd w:val="clear" w:color="auto" w:fill="auto"/>
          </w:tcPr>
          <w:p>
            <w:pPr>
              <w:pStyle w:val="Text1"/>
              <w:ind w:left="0"/>
              <w:jc w:val="left"/>
              <w:rPr>
                <w:noProof/>
              </w:rPr>
            </w:pPr>
            <w:r>
              <w:rPr>
                <w:noProof/>
              </w:rPr>
              <w:t>Създаване, актуализиране и поддръжка на база от знания/интерфейс за заявления в системата SFC</w:t>
            </w:r>
          </w:p>
        </w:tc>
        <w:tc>
          <w:tcPr>
            <w:tcW w:w="1560" w:type="dxa"/>
            <w:shd w:val="clear" w:color="auto" w:fill="auto"/>
          </w:tcPr>
          <w:p>
            <w:pPr>
              <w:pStyle w:val="Text1"/>
              <w:ind w:left="0"/>
              <w:jc w:val="right"/>
              <w:rPr>
                <w:noProof/>
              </w:rPr>
            </w:pPr>
            <w:r>
              <w:rPr>
                <w:noProof/>
              </w:rPr>
              <w:t>Разни</w:t>
            </w:r>
          </w:p>
        </w:tc>
        <w:tc>
          <w:tcPr>
            <w:tcW w:w="1800" w:type="dxa"/>
            <w:shd w:val="clear" w:color="auto" w:fill="auto"/>
          </w:tcPr>
          <w:p>
            <w:pPr>
              <w:pStyle w:val="Text1"/>
              <w:ind w:left="0"/>
              <w:jc w:val="right"/>
              <w:rPr>
                <w:noProof/>
              </w:rPr>
            </w:pPr>
            <w:r>
              <w:rPr>
                <w:noProof/>
              </w:rPr>
              <w:t>Разни</w:t>
            </w:r>
          </w:p>
        </w:tc>
        <w:tc>
          <w:tcPr>
            <w:tcW w:w="1621" w:type="dxa"/>
            <w:shd w:val="clear" w:color="auto" w:fill="auto"/>
          </w:tcPr>
          <w:p>
            <w:pPr>
              <w:pStyle w:val="Text1"/>
              <w:ind w:left="0"/>
              <w:jc w:val="right"/>
              <w:rPr>
                <w:noProof/>
              </w:rPr>
            </w:pPr>
            <w:r>
              <w:rPr>
                <w:noProof/>
              </w:rPr>
              <w:t>80 000</w:t>
            </w:r>
          </w:p>
        </w:tc>
      </w:tr>
      <w:tr>
        <w:tc>
          <w:tcPr>
            <w:tcW w:w="4308" w:type="dxa"/>
            <w:shd w:val="clear" w:color="auto" w:fill="auto"/>
          </w:tcPr>
          <w:p>
            <w:pPr>
              <w:pStyle w:val="Text1"/>
              <w:ind w:left="0"/>
              <w:jc w:val="left"/>
              <w:rPr>
                <w:noProof/>
              </w:rPr>
            </w:pPr>
            <w:r>
              <w:rPr>
                <w:noProof/>
              </w:rPr>
              <w:t>Административна и техническа подкрепа: заседания на експертната група на лицата за контакт за ЕФПГ</w:t>
            </w:r>
          </w:p>
        </w:tc>
        <w:tc>
          <w:tcPr>
            <w:tcW w:w="1560" w:type="dxa"/>
            <w:shd w:val="clear" w:color="auto" w:fill="auto"/>
          </w:tcPr>
          <w:p>
            <w:pPr>
              <w:pStyle w:val="Text1"/>
              <w:ind w:left="0"/>
              <w:jc w:val="right"/>
              <w:rPr>
                <w:noProof/>
              </w:rPr>
            </w:pPr>
            <w:r>
              <w:rPr>
                <w:noProof/>
              </w:rPr>
              <w:t xml:space="preserve">3 </w:t>
            </w:r>
          </w:p>
        </w:tc>
        <w:tc>
          <w:tcPr>
            <w:tcW w:w="1800" w:type="dxa"/>
            <w:shd w:val="clear" w:color="auto" w:fill="auto"/>
          </w:tcPr>
          <w:p>
            <w:pPr>
              <w:pStyle w:val="Text1"/>
              <w:ind w:left="0"/>
              <w:jc w:val="right"/>
              <w:rPr>
                <w:noProof/>
              </w:rPr>
            </w:pPr>
            <w:r>
              <w:rPr>
                <w:noProof/>
              </w:rPr>
              <w:t>35 000</w:t>
            </w:r>
          </w:p>
        </w:tc>
        <w:tc>
          <w:tcPr>
            <w:tcW w:w="1621" w:type="dxa"/>
            <w:shd w:val="clear" w:color="auto" w:fill="auto"/>
          </w:tcPr>
          <w:p>
            <w:pPr>
              <w:pStyle w:val="Text1"/>
              <w:ind w:left="0"/>
              <w:jc w:val="right"/>
              <w:rPr>
                <w:noProof/>
              </w:rPr>
            </w:pPr>
            <w:r>
              <w:rPr>
                <w:noProof/>
              </w:rPr>
              <w:t>105 000</w:t>
            </w:r>
          </w:p>
        </w:tc>
      </w:tr>
      <w:tr>
        <w:tc>
          <w:tcPr>
            <w:tcW w:w="4308" w:type="dxa"/>
            <w:shd w:val="clear" w:color="auto" w:fill="auto"/>
          </w:tcPr>
          <w:p>
            <w:pPr>
              <w:pStyle w:val="Text1"/>
              <w:ind w:left="0"/>
              <w:jc w:val="left"/>
              <w:rPr>
                <w:noProof/>
              </w:rPr>
            </w:pPr>
            <w:r>
              <w:rPr>
                <w:noProof/>
              </w:rPr>
              <w:t>Административна и техническа подкрепа: семинари за работа в мрежа за изпълнението на ЕФПГ</w:t>
            </w:r>
          </w:p>
        </w:tc>
        <w:tc>
          <w:tcPr>
            <w:tcW w:w="1560" w:type="dxa"/>
            <w:shd w:val="clear" w:color="auto" w:fill="auto"/>
          </w:tcPr>
          <w:p>
            <w:pPr>
              <w:pStyle w:val="Text1"/>
              <w:ind w:left="0"/>
              <w:jc w:val="right"/>
              <w:rPr>
                <w:noProof/>
              </w:rPr>
            </w:pPr>
            <w:r>
              <w:rPr>
                <w:noProof/>
              </w:rPr>
              <w:t>2</w:t>
            </w:r>
          </w:p>
        </w:tc>
        <w:tc>
          <w:tcPr>
            <w:tcW w:w="1800" w:type="dxa"/>
            <w:shd w:val="clear" w:color="auto" w:fill="auto"/>
          </w:tcPr>
          <w:p>
            <w:pPr>
              <w:pStyle w:val="Text1"/>
              <w:ind w:left="0"/>
              <w:jc w:val="right"/>
              <w:rPr>
                <w:noProof/>
              </w:rPr>
            </w:pPr>
            <w:r>
              <w:rPr>
                <w:noProof/>
              </w:rPr>
              <w:t>60 000</w:t>
            </w:r>
          </w:p>
        </w:tc>
        <w:tc>
          <w:tcPr>
            <w:tcW w:w="1621" w:type="dxa"/>
            <w:shd w:val="clear" w:color="auto" w:fill="auto"/>
          </w:tcPr>
          <w:p>
            <w:pPr>
              <w:pStyle w:val="Text1"/>
              <w:ind w:left="0"/>
              <w:jc w:val="right"/>
              <w:rPr>
                <w:noProof/>
              </w:rPr>
            </w:pPr>
            <w:r>
              <w:rPr>
                <w:noProof/>
              </w:rPr>
              <w:t>120 000</w:t>
            </w:r>
          </w:p>
        </w:tc>
      </w:tr>
      <w:tr>
        <w:tc>
          <w:tcPr>
            <w:tcW w:w="4308" w:type="dxa"/>
            <w:shd w:val="clear" w:color="auto" w:fill="auto"/>
          </w:tcPr>
          <w:p>
            <w:pPr>
              <w:pStyle w:val="Text1"/>
              <w:ind w:left="0"/>
              <w:jc w:val="left"/>
              <w:rPr>
                <w:b/>
                <w:noProof/>
              </w:rPr>
            </w:pPr>
            <w:r>
              <w:rPr>
                <w:b/>
                <w:noProof/>
              </w:rPr>
              <w:t>Общи прогнозни разходи</w:t>
            </w:r>
          </w:p>
        </w:tc>
        <w:tc>
          <w:tcPr>
            <w:tcW w:w="3360" w:type="dxa"/>
            <w:gridSpan w:val="2"/>
            <w:shd w:val="clear" w:color="auto" w:fill="E0E0E0"/>
          </w:tcPr>
          <w:p>
            <w:pPr>
              <w:pStyle w:val="Text1"/>
              <w:ind w:left="0"/>
              <w:rPr>
                <w:b/>
                <w:noProof/>
              </w:rPr>
            </w:pPr>
          </w:p>
        </w:tc>
        <w:tc>
          <w:tcPr>
            <w:tcW w:w="1621" w:type="dxa"/>
            <w:shd w:val="clear" w:color="auto" w:fill="auto"/>
          </w:tcPr>
          <w:p>
            <w:pPr>
              <w:pStyle w:val="Text1"/>
              <w:ind w:left="0"/>
              <w:jc w:val="right"/>
              <w:rPr>
                <w:b/>
                <w:noProof/>
              </w:rPr>
            </w:pPr>
            <w:r>
              <w:rPr>
                <w:b/>
                <w:noProof/>
              </w:rPr>
              <w:t>345 000</w:t>
            </w:r>
          </w:p>
        </w:tc>
      </w:tr>
    </w:tbl>
    <w:p>
      <w:pPr>
        <w:spacing w:before="240"/>
        <w:rPr>
          <w:b/>
          <w:noProof/>
          <w:u w:val="single"/>
        </w:rPr>
      </w:pPr>
      <w:r>
        <w:rPr>
          <w:b/>
          <w:noProof/>
          <w:u w:val="single"/>
        </w:rPr>
        <w:lastRenderedPageBreak/>
        <w:t>Финансиране</w:t>
      </w:r>
    </w:p>
    <w:p>
      <w:pPr>
        <w:pStyle w:val="ManualNumPar1"/>
        <w:rPr>
          <w:noProof/>
        </w:rPr>
      </w:pPr>
      <w:r>
        <w:rPr>
          <w:noProof/>
        </w:rPr>
        <w:t>7.</w:t>
      </w:r>
      <w:r>
        <w:rPr>
          <w:noProof/>
        </w:rPr>
        <w:tab/>
        <w:t>В съответствие с предвиденото в член 12 от Регламент (ЕС, Евратом) № 1311/2013 на Съвета от 2 декември 2013 г. за определяне на многогодишната финансова рамка за годините 2014 — 2020</w:t>
      </w:r>
      <w:r>
        <w:rPr>
          <w:rStyle w:val="FootnoteReference"/>
          <w:noProof/>
        </w:rPr>
        <w:footnoteReference w:id="3"/>
      </w:r>
      <w:r>
        <w:rPr>
          <w:noProof/>
        </w:rPr>
        <w:t xml:space="preserve"> максималният годишен бюджет за ЕФПГ за 2018 г. е 150 милиона евро по цени от 2011 г. (172 303 000 EUR по цени от 2018 г.).</w:t>
      </w:r>
    </w:p>
    <w:p>
      <w:pPr>
        <w:pStyle w:val="ManualNumPar1"/>
        <w:rPr>
          <w:noProof/>
        </w:rPr>
      </w:pPr>
      <w:r>
        <w:rPr>
          <w:noProof/>
        </w:rPr>
        <w:t>8.</w:t>
      </w:r>
      <w:r>
        <w:rPr>
          <w:noProof/>
        </w:rPr>
        <w:tab/>
        <w:t>Съгласно член 11, параграф 1 от Регламента за ЕФПГ 0,5 % от тази сума (т.е. 861 515 EUR през 2018 г.) могат да бъдат предоставени за техническа помощ по инициатива на Комисията. В момента на разположение е пълният размер на средствата за 2018 г.; все още не са разпределени суми за техническа помощ. Предложената сума представлява около 0,2 % от максималния годишен бюджет, предвиден за ЕФПГ за 2018 г.</w:t>
      </w:r>
    </w:p>
    <w:p>
      <w:pPr>
        <w:pStyle w:val="ManualNumPar1"/>
        <w:rPr>
          <w:noProof/>
        </w:rPr>
      </w:pPr>
      <w:r>
        <w:rPr>
          <w:noProof/>
        </w:rPr>
        <w:t>9.</w:t>
      </w:r>
      <w:r>
        <w:rPr>
          <w:noProof/>
        </w:rPr>
        <w:tab/>
        <w:t>Предложеното решение за мобилизиране на средства от ЕФПГ ще бъде взето съвместно от Европейския парламент и Съвета в съответствие с предвиденото в точка 13 от Междуинституционалното споразумение от 2 декември 2013 г. между Европейския парламент, Съвета и Комисията относно бюджетната дисциплина, сътрудничеството по бюджетни въпроси и доброто финансово управление</w:t>
      </w:r>
      <w:r>
        <w:rPr>
          <w:rStyle w:val="FootnoteReference"/>
          <w:noProof/>
        </w:rPr>
        <w:footnoteReference w:id="4"/>
      </w:r>
      <w:r>
        <w:rPr>
          <w:noProof/>
        </w:rPr>
        <w:t>.</w:t>
      </w:r>
    </w:p>
    <w:p>
      <w:pPr>
        <w:rPr>
          <w:b/>
          <w:noProof/>
          <w:u w:val="single"/>
        </w:rPr>
      </w:pPr>
      <w:r>
        <w:rPr>
          <w:b/>
          <w:noProof/>
          <w:u w:val="single"/>
        </w:rPr>
        <w:t>Свързани актове</w:t>
      </w:r>
    </w:p>
    <w:p>
      <w:pPr>
        <w:pStyle w:val="ManualNumPar1"/>
        <w:rPr>
          <w:noProof/>
        </w:rPr>
      </w:pPr>
      <w:r>
        <w:rPr>
          <w:noProof/>
        </w:rPr>
        <w:t>10.</w:t>
      </w:r>
      <w:r>
        <w:rPr>
          <w:noProof/>
        </w:rPr>
        <w:tab/>
        <w:t>Едновременно с предложението за решение за мобилизиране на средства от ЕФПГ Комисията ще представи на Европейския парламент и на Съвета предложение за прехвърляне на сумата от 345 000 EUR към съответния бюджетен ред.</w:t>
      </w:r>
    </w:p>
    <w:p>
      <w:pPr>
        <w:rPr>
          <w:noProof/>
        </w:rPr>
      </w:pPr>
      <w:r>
        <w:rPr>
          <w:b/>
          <w:noProof/>
          <w:u w:val="single"/>
        </w:rPr>
        <w:t>Източник на бюджетните кредити за плащания</w:t>
      </w:r>
    </w:p>
    <w:p>
      <w:pPr>
        <w:pStyle w:val="ManualNumPar1"/>
        <w:rPr>
          <w:noProof/>
        </w:rPr>
      </w:pPr>
      <w:r>
        <w:rPr>
          <w:noProof/>
        </w:rPr>
        <w:t>11.</w:t>
      </w:r>
      <w:r>
        <w:rPr>
          <w:noProof/>
        </w:rPr>
        <w:tab/>
        <w:t>За осигуряване на сумата от 345 000 EUR, необходима за техническа помощ, ще се използват бюджетни кредити от бюджетния ред за ЕФПГ.</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Statut"/>
        <w:rPr>
          <w:noProof/>
        </w:rPr>
      </w:pPr>
      <w:r>
        <w:rPr>
          <w:noProof/>
        </w:rPr>
        <w:lastRenderedPageBreak/>
        <w:t>Предложение за</w:t>
      </w:r>
    </w:p>
    <w:p>
      <w:pPr>
        <w:pStyle w:val="Typedudocument"/>
        <w:rPr>
          <w:noProof/>
        </w:rPr>
      </w:pPr>
      <w:r>
        <w:rPr>
          <w:noProof/>
        </w:rPr>
        <w:t>РЕШЕНИЕ НА ЕВРОПЕЙСКИЯ ПАРЛАМЕНТ И НА СЪВЕТА</w:t>
      </w:r>
    </w:p>
    <w:p>
      <w:pPr>
        <w:pStyle w:val="Titreobjet"/>
        <w:rPr>
          <w:noProof/>
        </w:rPr>
      </w:pPr>
      <w:r>
        <w:rPr>
          <w:noProof/>
        </w:rPr>
        <w:t>за мобилизиране на средства от Европейския фонд за приспособяване към глобализацията (EGF/2018/000 TA 2018 — Техническа помощ по инициатива на Комисията)</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w:t>
      </w:r>
    </w:p>
    <w:p>
      <w:pPr>
        <w:rPr>
          <w:noProof/>
        </w:rPr>
      </w:pPr>
      <w:r>
        <w:rPr>
          <w:noProof/>
        </w:rPr>
        <w:t>като взеха предвид Регламент (EС) № 1309/2013 на Европейския парламент и на Съвета от 17 декември 2013 г. относно Европейския фонд за приспособяване към глобализацията (2014 — 2020 г.) и за отмяна на Регламент (ЕО) № 1927/2006</w:t>
      </w:r>
      <w:r>
        <w:rPr>
          <w:rStyle w:val="FootnoteReference"/>
          <w:noProof/>
        </w:rPr>
        <w:footnoteReference w:id="5"/>
      </w:r>
      <w:r>
        <w:rPr>
          <w:noProof/>
        </w:rPr>
        <w:t>, и по-специално член 11, параграф 2 от него,</w:t>
      </w:r>
    </w:p>
    <w:p>
      <w:pPr>
        <w:rPr>
          <w:noProof/>
        </w:rPr>
      </w:pPr>
      <w:r>
        <w:rPr>
          <w:noProof/>
        </w:rPr>
        <w:t>като взеха предвид Междуинституционалното споразумение от 2 декември 2013 г. между Европейския парламент, Съвета и Комисията относно бюджетната дисциплина, сътрудничеството по бюджетни въпроси и доброто финансово управление</w:t>
      </w:r>
      <w:r>
        <w:rPr>
          <w:rStyle w:val="FootnoteReference"/>
          <w:noProof/>
        </w:rPr>
        <w:footnoteReference w:id="6"/>
      </w:r>
      <w:r>
        <w:rPr>
          <w:noProof/>
        </w:rPr>
        <w:t>, и по-специално точка 13 от него,</w:t>
      </w:r>
    </w:p>
    <w:p>
      <w:pPr>
        <w:rPr>
          <w:noProof/>
        </w:rPr>
      </w:pPr>
      <w:r>
        <w:rPr>
          <w:noProof/>
        </w:rPr>
        <w:t>като взеха предвид предложението на Европейската комисия,</w:t>
      </w:r>
    </w:p>
    <w:p>
      <w:pPr>
        <w:rPr>
          <w:noProof/>
        </w:rPr>
      </w:pPr>
      <w:r>
        <w:rPr>
          <w:noProof/>
        </w:rPr>
        <w:t>като имат предвид, че:</w:t>
      </w:r>
    </w:p>
    <w:p>
      <w:pPr>
        <w:pStyle w:val="ManualConsidrant"/>
        <w:rPr>
          <w:noProof/>
        </w:rPr>
      </w:pPr>
      <w:r>
        <w:rPr>
          <w:noProof/>
        </w:rPr>
        <w:t>(1)</w:t>
      </w:r>
      <w:r>
        <w:rPr>
          <w:noProof/>
        </w:rPr>
        <w:tab/>
        <w:t>Европейският фонд за приспособяване към глобализацията (ЕФПГ) цели оказване на подкрепа на съкратени работници и самостоятелно заети лица, чиято дейност е била прекратена в резултат на големи структурни промени в моделите на световната търговия, произтичащи от глобализацията, в резултат на продължаване на световната финансова и икономическа криза, или в резултат на нова световна финансова и икономическа криза, както и подпомагане на повторната им интеграция на пазара на труда.</w:t>
      </w:r>
    </w:p>
    <w:p>
      <w:pPr>
        <w:pStyle w:val="ManualConsidrant"/>
        <w:rPr>
          <w:noProof/>
        </w:rPr>
      </w:pPr>
      <w:r>
        <w:rPr>
          <w:noProof/>
        </w:rPr>
        <w:t>(2)</w:t>
      </w:r>
      <w:r>
        <w:rPr>
          <w:noProof/>
        </w:rPr>
        <w:tab/>
        <w:t>В съответствие с предвиденото в член 12 от Регламент (ЕС, Евратом) № 1311/2013 на Съвета</w:t>
      </w:r>
      <w:r>
        <w:rPr>
          <w:rStyle w:val="FootnoteReference"/>
          <w:noProof/>
        </w:rPr>
        <w:footnoteReference w:id="7"/>
      </w:r>
      <w:r>
        <w:rPr>
          <w:noProof/>
        </w:rPr>
        <w:t xml:space="preserve"> ЕФПГ не може да надхвърля максимален годишен размер от 150 милиона евро (по цени от 2011 г.).</w:t>
      </w:r>
    </w:p>
    <w:p>
      <w:pPr>
        <w:pStyle w:val="ManualConsidrant"/>
        <w:rPr>
          <w:noProof/>
        </w:rPr>
      </w:pPr>
      <w:r>
        <w:rPr>
          <w:noProof/>
        </w:rPr>
        <w:t>(3)</w:t>
      </w:r>
      <w:r>
        <w:rPr>
          <w:noProof/>
        </w:rPr>
        <w:tab/>
        <w:t>В Регламент (ЕС) № 1309/2013 е посочено, че по инициатива на Комисията всяка година за техническа помощ могат да бъдат използвани най-много 0,5 % от максималния годишен размер на средствата от ЕФПГ.</w:t>
      </w:r>
    </w:p>
    <w:p>
      <w:pPr>
        <w:pStyle w:val="ManualConsidrant"/>
        <w:rPr>
          <w:noProof/>
        </w:rPr>
      </w:pPr>
      <w:r>
        <w:rPr>
          <w:noProof/>
        </w:rPr>
        <w:t>(4)</w:t>
      </w:r>
      <w:r>
        <w:rPr>
          <w:noProof/>
        </w:rPr>
        <w:tab/>
        <w:t>Поради това следва да бъдат мобилизирани средства от ЕФПГ за предоставяне на сума в размер на 345 000 EUR за техническа помощ по инициатива на Комисията,</w:t>
      </w:r>
    </w:p>
    <w:p>
      <w:pPr>
        <w:pStyle w:val="Formuledadoption"/>
        <w:rPr>
          <w:noProof/>
        </w:rPr>
      </w:pPr>
      <w:r>
        <w:rPr>
          <w:noProof/>
        </w:rPr>
        <w:lastRenderedPageBreak/>
        <w:t>ПРИЕХА НАСТОЯЩОТО РЕШЕНИЕ:</w:t>
      </w:r>
    </w:p>
    <w:p>
      <w:pPr>
        <w:pStyle w:val="Titrearticle"/>
        <w:rPr>
          <w:noProof/>
        </w:rPr>
      </w:pPr>
      <w:r>
        <w:rPr>
          <w:noProof/>
        </w:rPr>
        <w:t>Член 1</w:t>
      </w:r>
    </w:p>
    <w:p>
      <w:pPr>
        <w:rPr>
          <w:noProof/>
        </w:rPr>
      </w:pPr>
      <w:r>
        <w:rPr>
          <w:noProof/>
        </w:rPr>
        <w:t>В рамките на общия бюджет на Европейския съюз за финансовата 2018 година от Европейския фонд за приспособяване към глобализацията се мобилизират средства за предоставяне на сумата от 345 000 EUR под формата на бюджетни кредити за поети задължения и бюджетни кредити за плащания.</w:t>
      </w:r>
    </w:p>
    <w:p>
      <w:pPr>
        <w:pStyle w:val="Titrearticle"/>
        <w:rPr>
          <w:noProof/>
        </w:rPr>
      </w:pPr>
      <w:r>
        <w:rPr>
          <w:noProof/>
        </w:rPr>
        <w:t>Член 2</w:t>
      </w:r>
    </w:p>
    <w:p>
      <w:pPr>
        <w:rPr>
          <w:noProof/>
        </w:rPr>
      </w:pPr>
      <w:r>
        <w:rPr>
          <w:noProof/>
        </w:rPr>
        <w:t xml:space="preserve">Настоящото решение влиза в сила на третия ден след деня на публикуването му в </w:t>
      </w:r>
      <w:r>
        <w:rPr>
          <w:i/>
          <w:noProof/>
        </w:rPr>
        <w:t>Официален вестник на Европейския съюз</w:t>
      </w:r>
      <w:r>
        <w:rPr>
          <w:noProof/>
        </w:rPr>
        <w:t>.</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ОВ L 347, 20.12.2013 г., стр. 855.</w:t>
      </w:r>
    </w:p>
  </w:footnote>
  <w:footnote w:id="2">
    <w:p>
      <w:pPr>
        <w:pStyle w:val="FootnoteText"/>
        <w:rPr>
          <w:lang w:val="pl-PL"/>
        </w:rPr>
      </w:pPr>
      <w:r>
        <w:rPr>
          <w:rStyle w:val="FootnoteReference"/>
        </w:rPr>
        <w:footnoteRef/>
      </w:r>
      <w:r>
        <w:tab/>
      </w:r>
      <w:hyperlink r:id="rId1">
        <w:r>
          <w:rPr>
            <w:rStyle w:val="Hyperlink"/>
          </w:rPr>
          <w:t>http://ec.europa.eu/egf</w:t>
        </w:r>
      </w:hyperlink>
      <w:r>
        <w:t xml:space="preserve"> </w:t>
      </w:r>
    </w:p>
  </w:footnote>
  <w:footnote w:id="3">
    <w:p>
      <w:pPr>
        <w:pStyle w:val="FootnoteText"/>
        <w:rPr>
          <w:lang w:val="pl-PL"/>
        </w:rPr>
      </w:pPr>
      <w:r>
        <w:rPr>
          <w:rStyle w:val="FootnoteReference"/>
        </w:rPr>
        <w:footnoteRef/>
      </w:r>
      <w:r>
        <w:tab/>
        <w:t>ОВ L 347, 20.12.2013 г., стр. 884.</w:t>
      </w:r>
    </w:p>
  </w:footnote>
  <w:footnote w:id="4">
    <w:p>
      <w:pPr>
        <w:pStyle w:val="FootnoteText"/>
        <w:rPr>
          <w:lang w:val="pl-PL"/>
        </w:rPr>
      </w:pPr>
      <w:r>
        <w:rPr>
          <w:rStyle w:val="FootnoteReference"/>
        </w:rPr>
        <w:footnoteRef/>
      </w:r>
      <w:r>
        <w:tab/>
        <w:t>ОВ С 373, 20.12.2013 г., стр. 1.</w:t>
      </w:r>
    </w:p>
  </w:footnote>
  <w:footnote w:id="5">
    <w:p>
      <w:pPr>
        <w:pStyle w:val="FootnoteText"/>
        <w:rPr>
          <w:lang w:val="pl-PL"/>
        </w:rPr>
      </w:pPr>
      <w:r>
        <w:rPr>
          <w:rStyle w:val="FootnoteReference"/>
        </w:rPr>
        <w:footnoteRef/>
      </w:r>
      <w:r>
        <w:tab/>
        <w:t>ОВ L 347, 20.12.2013 г., стр. 855.</w:t>
      </w:r>
    </w:p>
  </w:footnote>
  <w:footnote w:id="6">
    <w:p>
      <w:pPr>
        <w:pStyle w:val="FootnoteText"/>
      </w:pPr>
      <w:r>
        <w:rPr>
          <w:rStyle w:val="FootnoteReference"/>
        </w:rPr>
        <w:footnoteRef/>
      </w:r>
      <w:r>
        <w:tab/>
        <w:t>ОВ С 373, 20.12.2013 г., стр. 1.</w:t>
      </w:r>
    </w:p>
  </w:footnote>
  <w:footnote w:id="7">
    <w:p>
      <w:pPr>
        <w:pStyle w:val="FootnoteText"/>
      </w:pPr>
      <w:r>
        <w:rPr>
          <w:rStyle w:val="FootnoteReference"/>
        </w:rPr>
        <w:footnoteRef/>
      </w:r>
      <w:r>
        <w:tab/>
        <w:t>Регламент (EC, Евратом) № 1311/2013 на Съвета от 2 декември 2013 г. за определяне на многогодишната финансова рамка за годините 2014—2020 (ОВ L 347, 20.12.2013 г., стр. 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9AE56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E70BC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8FEC6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AB22D1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FC245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94C923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C545B90"/>
    <w:lvl w:ilvl="0">
      <w:start w:val="1"/>
      <w:numFmt w:val="decimal"/>
      <w:pStyle w:val="ListNumber"/>
      <w:lvlText w:val="%1."/>
      <w:lvlJc w:val="left"/>
      <w:pPr>
        <w:tabs>
          <w:tab w:val="num" w:pos="360"/>
        </w:tabs>
        <w:ind w:left="360" w:hanging="360"/>
      </w:pPr>
    </w:lvl>
  </w:abstractNum>
  <w:abstractNum w:abstractNumId="7">
    <w:nsid w:val="FFFFFF89"/>
    <w:multiLevelType w:val="singleLevel"/>
    <w:tmpl w:val="FA4251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04 14:42:2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C138CF8-EE2A-41CE-B50E-59F85548BB29"/>
    <w:docVar w:name="LW_COVERPAGE_TYPE" w:val="1"/>
    <w:docVar w:name="LW_CROSSREFERENCE" w:val="&lt;UNUSED&gt;"/>
    <w:docVar w:name="LW_DocType" w:val="COM"/>
    <w:docVar w:name="LW_EMISSION" w:val="9.4.2018"/>
    <w:docVar w:name="LW_EMISSION_ISODATE" w:val="2018-04-09"/>
    <w:docVar w:name="LW_EMISSION_LOCATION" w:val="BRX"/>
    <w:docVar w:name="LW_EMISSION_PREFIX" w:val="Брюксел, "/>
    <w:docVar w:name="LW_EMISSION_SUFFIX" w:val="&lt;EMPTY&gt;"/>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1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79?\u1072? \u1084?\u1086?\u1073?\u1080?\u1083?\u1080?\u1079?\u1080?\u1088?\u1072?\u1085?\u1077? \u1085?\u1072? \u1089?\u1088?\u1077?\u1076?\u1089?\u1090?\u1074?\u1072? \u1086?\u1090? \u1045?\u1074?\u1088?\u1086?\u1087?\u1077?\u1081?\u1089?\u1082?\u1080?\u1103? \u1092?\u1086?\u1085?\u1076? \u1079?\u1072? \u1087?\u1088?\u1080?\u1089?\u1087?\u1086?\u1089?\u1086?\u1073?\u1103?\u1074?\u1072?\u1085?\u1077? \u1082?\u1098?\u1084? \u1075?\u1083?\u1086?\u1073?\u1072?\u1083?\u1080?\u1079?\u1072?\u1094?\u1080?\u1103?\u1090?\u1072? (EGF/2018/000 TA 2018 \u8212? \u1058?\u1077?\u1093?\u1085?\u1080?\u1095?\u1077?\u1089?\u1082?\u1072? \u1087?\u1086?\u1084?\u1086?\u1097? \u1087?\u1086? \u1080?\u1085?\u1080?\u1094?\u1080?\u1072?\u1090?\u1080?\u1074?\u1072? \u1085?\u1072? \u1050?\u1086?\u1084?\u1080?\u1089?\u1080?\u1103?\u1090?\u1072?)"/>
    <w:docVar w:name="LW_TYPE.DOC.CP" w:val="\u1056?\u1045?\u1064?\u1045?\u1053?\u1048?\u1045?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Number4">
    <w:name w:val="List Number 4"/>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Number4">
    <w:name w:val="List Number 4"/>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g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1915-3A7A-4D5C-8419-B8179DB9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1379</Words>
  <Characters>7548</Characters>
  <Application>Microsoft Office Word</Application>
  <DocSecurity>0</DocSecurity>
  <Lines>184</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2018-01-18T15:45:00Z</cp:lastPrinted>
  <dcterms:created xsi:type="dcterms:W3CDTF">2018-04-04T08:48:00Z</dcterms:created>
  <dcterms:modified xsi:type="dcterms:W3CDTF">2018-04-04T12:42:00Z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ies>
</file>