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75A834-6D39-4E42-9C36-D8C88A9D87EC"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1"/>
      </w:r>
      <w:r>
        <w:rPr>
          <w:noProof/>
        </w:rPr>
        <w:t xml:space="preserve"> (ci-après la «modification du code frontières Schengen») a modifié la convention d’application de l’accord de Schengen</w:t>
      </w:r>
      <w:r>
        <w:rPr>
          <w:rStyle w:val="FootnoteReference"/>
          <w:noProof/>
        </w:rPr>
        <w:footnoteReference w:id="2"/>
      </w:r>
      <w:r>
        <w:rPr>
          <w:noProof/>
        </w:rPr>
        <w:t xml:space="preserve"> (CAAS), le </w:t>
      </w:r>
      <w:r>
        <w:rPr>
          <w:rStyle w:val="Strong"/>
          <w:noProof/>
        </w:rPr>
        <w:t>règlement (CE) nº 562/2006</w:t>
      </w:r>
      <w:r>
        <w:rPr>
          <w:rStyle w:val="FootnoteReference"/>
          <w:noProof/>
        </w:rPr>
        <w:footnoteReference w:id="3"/>
      </w:r>
      <w:r>
        <w:rPr>
          <w:noProof/>
        </w:rPr>
        <w:t xml:space="preserve"> (code frontières Schengen) et le règlement (CE) nº 810/2009</w:t>
      </w:r>
      <w:r>
        <w:rPr>
          <w:rStyle w:val="FootnoteReference"/>
          <w:noProof/>
        </w:rPr>
        <w:footnoteReference w:id="4"/>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i/>
          <w:noProof/>
        </w:rPr>
        <w:t xml:space="preserve"> </w:t>
      </w:r>
      <w:r>
        <w:rPr>
          <w:noProof/>
        </w:rPr>
        <w:t>La nouvelle notion est plus précise qu’avec la définition en vigueur jusqu’au 18 octobre 2013 (trois mois au cours d’une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5"/>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6"/>
      </w:r>
      <w:r>
        <w:rPr>
          <w:noProof/>
        </w:rPr>
        <w:t>, les Bahamas</w:t>
      </w:r>
      <w:r>
        <w:rPr>
          <w:rStyle w:val="FootnoteReference"/>
          <w:noProof/>
        </w:rPr>
        <w:footnoteReference w:id="7"/>
      </w:r>
      <w:r>
        <w:rPr>
          <w:noProof/>
        </w:rPr>
        <w:t>, la Barbade</w:t>
      </w:r>
      <w:r>
        <w:rPr>
          <w:rStyle w:val="FootnoteReference"/>
          <w:noProof/>
        </w:rPr>
        <w:footnoteReference w:id="8"/>
      </w:r>
      <w:r>
        <w:rPr>
          <w:noProof/>
        </w:rPr>
        <w:t>, le Brésil</w:t>
      </w:r>
      <w:r>
        <w:rPr>
          <w:rStyle w:val="FootnoteReference"/>
          <w:noProof/>
        </w:rPr>
        <w:footnoteReference w:id="9"/>
      </w:r>
      <w:r>
        <w:rPr>
          <w:noProof/>
        </w:rPr>
        <w:t>, Maurice</w:t>
      </w:r>
      <w:r>
        <w:rPr>
          <w:rStyle w:val="FootnoteReference"/>
          <w:noProof/>
        </w:rPr>
        <w:footnoteReference w:id="10"/>
      </w:r>
      <w:r>
        <w:rPr>
          <w:noProof/>
        </w:rPr>
        <w:t>, Saint-Christophe-et-Niévès</w:t>
      </w:r>
      <w:r>
        <w:rPr>
          <w:rStyle w:val="FootnoteReference"/>
          <w:noProof/>
        </w:rPr>
        <w:footnoteReference w:id="11"/>
      </w:r>
      <w:r>
        <w:rPr>
          <w:noProof/>
        </w:rPr>
        <w:t xml:space="preserve"> et les Seychelles</w:t>
      </w:r>
      <w:r>
        <w:rPr>
          <w:rStyle w:val="FootnoteReference"/>
          <w:noProof/>
        </w:rPr>
        <w:footnoteReference w:id="12"/>
      </w:r>
      <w:r>
        <w:rPr>
          <w:noProof/>
        </w:rPr>
        <w:t xml:space="preserve"> se réfèrent toujours à l’ancienne définition («trois mois au cours d’une période de six mois à compter de la date de la première entrée»</w:t>
      </w:r>
      <w:r>
        <w:rPr>
          <w:rStyle w:val="FootnoteReference"/>
          <w:noProof/>
        </w:rPr>
        <w:footnoteReference w:id="13"/>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4"/>
      </w:r>
      <w:r>
        <w:rPr>
          <w:noProof/>
        </w:rPr>
        <w:t>, que le Conseil a adoptée le 9 octobre 2014</w:t>
      </w:r>
      <w:r>
        <w:rPr>
          <w:rStyle w:val="FootnoteReference"/>
          <w:noProof/>
        </w:rPr>
        <w:footnoteReference w:id="15"/>
      </w:r>
      <w:r>
        <w:rPr>
          <w:noProof/>
        </w:rPr>
        <w:t xml:space="preserve">. Il s’agissait de mettre en œuvre vis-à-vis de ces 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d’entrée/de sortie proposé (EES)</w:t>
      </w:r>
      <w:r>
        <w:rPr>
          <w:rStyle w:val="FootnoteReference"/>
          <w:noProof/>
        </w:rPr>
        <w:footnoteReference w:id="16"/>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le Brésil se sont conclues avec succès le 31 octobre 2017 par le paraphe des accords modifiant les deux accords entre l’Union européenne et la République fédérative du Brésil visant à exempter les titulaires d’un passeport diplomatique ou de service/officiel et les titulaires d’un passeport ordinaire de l’obligation de visa pour les séjours de courte durée. Les deux parties sont convenues d'adopter la nouvelle définition du «séjour de courte durée» parmi d’autres détails d’ordre technique (voir ci-dessous), mais toutes les modifications sont négligeables du point de vue du voyageur.</w:t>
      </w:r>
    </w:p>
    <w:p>
      <w:pPr>
        <w:spacing w:before="0" w:after="240"/>
        <w:rPr>
          <w:noProof/>
        </w:rPr>
      </w:pPr>
      <w:r>
        <w:rPr>
          <w:noProof/>
        </w:rPr>
        <w:t>Il est tenu compte de la situation particulière du Royaume-Uni et de l’Irlande dans le préambule des accords.</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pStyle w:val="Text1"/>
        <w:ind w:left="0"/>
        <w:rPr>
          <w:noProof/>
        </w:rPr>
      </w:pPr>
      <w:r>
        <w:rPr>
          <w:noProof/>
        </w:rPr>
        <w:t>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 (ci-après 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La présente proposition est présentée au Conseil afin qu’il autorise la signature de l’accord.</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dont la politique commune de visas. Afin d’assurer une approche et une mise en œuvre harmonisées des dispositions relatives à la durée du séjour autorisé dans l’espace Schengen, une déclaration commune est jointe à l’accord et indique qu’il est souhaitable que le Brésil, d’une part, et l’Islande, le Liechtenstein, la Norvège et la Suisse, d’autre part, modifient en conséquence leurs accords bilatéraux d’exemption de visa en vigueur.</w:t>
      </w:r>
    </w:p>
    <w:p>
      <w:pPr>
        <w:pStyle w:val="ManualHeading2"/>
        <w:rPr>
          <w:rFonts w:eastAsia="Arial Unicode MS"/>
          <w:noProof/>
          <w:bdr w:val="none" w:sz="0" w:space="0" w:color="auto" w:frame="1"/>
        </w:rPr>
      </w:pPr>
      <w:r>
        <w:rPr>
          <w:noProof/>
        </w:rPr>
        <w:t>•</w:t>
      </w:r>
      <w:r>
        <w:rPr>
          <w:noProof/>
        </w:rPr>
        <w:tab/>
        <w:t>Subsidiarité (en cas de compétence non exclusive)</w:t>
      </w:r>
    </w:p>
    <w:p>
      <w:pPr>
        <w:rPr>
          <w:noProof/>
        </w:rPr>
      </w:pPr>
      <w:r>
        <w:rPr>
          <w:noProof/>
        </w:rPr>
        <w:t>En vertu de l’article 77, paragraphe 2, point a), du TFUE, la négociation des accords d’exemption de visa relève de la compétence exclusive de l’Union.</w:t>
      </w:r>
    </w:p>
    <w:p>
      <w:pPr>
        <w:rPr>
          <w:noProof/>
          <w:bdr w:val="none" w:sz="0" w:space="0" w:color="auto" w:frame="1"/>
        </w:rPr>
      </w:pPr>
      <w:r>
        <w:rPr>
          <w:noProof/>
        </w:rPr>
        <w:t>Qui plus est, si l’une des parties contractantes à un accord international est l’Union européenne, les modifications d’un tel accord ne sauraient être juridiquement mises en œuvre par les États membres eux-mêmes. En conséquence, une action au niveau de l’Union est nécessaire.</w:t>
      </w:r>
    </w:p>
    <w:p>
      <w:pPr>
        <w:pStyle w:val="ManualHeading2"/>
        <w:rPr>
          <w:rFonts w:eastAsia="Arial Unicode MS"/>
          <w:noProof/>
          <w:bdr w:val="none" w:sz="0" w:space="0" w:color="auto" w:frame="1"/>
        </w:rPr>
      </w:pPr>
      <w:r>
        <w:rPr>
          <w:noProof/>
        </w:rPr>
        <w:t>•</w:t>
      </w:r>
      <w:r>
        <w:rPr>
          <w:noProof/>
        </w:rPr>
        <w:tab/>
        <w:t>Proportionnalité</w:t>
      </w:r>
    </w:p>
    <w:p>
      <w:pPr>
        <w:pStyle w:val="Text1"/>
        <w:ind w:left="0"/>
        <w:rPr>
          <w:noProof/>
          <w:bdr w:val="none" w:sz="0" w:space="0" w:color="auto" w:frame="1"/>
        </w:rPr>
      </w:pPr>
      <w:r>
        <w:rPr>
          <w:noProof/>
        </w:rPr>
        <w:t>La présente proposition ne va pas au-delà de ce qui est nécessaire pour atteindre l’objectif poursuivi, à savoir la modification de l’accord en vigueur entre la République fédérative du Brésil et l’Union européenne visant à exempter les titulaires d’un passeport diplomatique ou de service/officiel de l’obligation de visa pour les séjours de courte durée.</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 xml:space="preserve">4. </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le Brésil afin de modifier l’accord entre les deux parties visant à exempter les titulaires d’un passeport diplomatique ou de service/officiel de l’obligation de visa pour les séjours de courte durée.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Résultat des négociations</w:t>
      </w:r>
    </w:p>
    <w:p>
      <w:pPr>
        <w:spacing w:before="0" w:after="240"/>
        <w:rPr>
          <w:noProof/>
        </w:rPr>
      </w:pPr>
      <w:r>
        <w:rPr>
          <w:noProof/>
        </w:rPr>
        <w:t>La Commission considère que les objectifs fixés par le Conseil dans ses directives de négociation ont été atteints et que le projet d’accord est acceptable pour l’Union.</w:t>
      </w:r>
    </w:p>
    <w:p>
      <w:pPr>
        <w:spacing w:before="0" w:after="240"/>
        <w:rPr>
          <w:noProof/>
        </w:rPr>
      </w:pPr>
      <w:r>
        <w:rPr>
          <w:noProof/>
        </w:rPr>
        <w:t>Le contenu final de cet accord peut se résumer comme suit.</w:t>
      </w:r>
    </w:p>
    <w:p>
      <w:pPr>
        <w:spacing w:before="0" w:after="240"/>
        <w:rPr>
          <w:noProof/>
        </w:rPr>
      </w:pPr>
      <w:r>
        <w:rPr>
          <w:noProof/>
        </w:rPr>
        <w:t>a. Durée du séjour</w:t>
      </w:r>
    </w:p>
    <w:p>
      <w:pPr>
        <w:spacing w:before="0" w:after="240"/>
        <w:rPr>
          <w:noProof/>
        </w:rPr>
      </w:pPr>
      <w:r>
        <w:rPr>
          <w:noProof/>
        </w:rPr>
        <w:t>L’accord prévoit un régime de déplacement sans obligation de visa pour les citoyens de l’Union européenne titulaires d’un passeport diplomatique ou de service/officiel en cours de validité et pour les ressortissants du Brésil titulaires d’un passeport diplomatique ou de service/officiel en cours de validité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w:t>
      </w:r>
    </w:p>
    <w:p>
      <w:pP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qu’une suspension de l’exemption de visa doit être effectivement levée si la suspension n’a plus lieu d’être. Sur ce point, la modification aligne la formulation de l’accord avec la République fédérative du Brésil visant à exempter les titulaires d’un passeport diplomatique ou de service/officiel de l’obligation de visa pour les séjours de courte durée sur celle de tous les autres accords d’exemption de visa signés par l’Union en 2015 et 2016. Le 14 juin 2016, le groupe «Visas» a été consulté sur cette modification et aucun État membre n’a émis d’objection quelconque.</w:t>
      </w:r>
    </w:p>
    <w:p>
      <w:pPr>
        <w:spacing w:before="0" w:after="240"/>
        <w:rPr>
          <w:noProof/>
        </w:rPr>
      </w:pPr>
      <w:r>
        <w:rPr>
          <w:noProof/>
        </w:rPr>
        <w:t>c. Déclarations communes</w:t>
      </w:r>
    </w:p>
    <w:p>
      <w:pPr>
        <w:spacing w:before="0" w:after="240"/>
        <w:rPr>
          <w:noProof/>
        </w:rPr>
      </w:pPr>
      <w:r>
        <w:rPr>
          <w:noProof/>
        </w:rPr>
        <w:t>Deux déclarations communes sont jointes à l’accord, en ce qui concerne:</w:t>
      </w:r>
    </w:p>
    <w:p>
      <w:pPr>
        <w:spacing w:before="0" w:after="240"/>
        <w:ind w:firstLine="720"/>
        <w:rPr>
          <w:noProof/>
        </w:rPr>
      </w:pPr>
      <w:r>
        <w:rPr>
          <w:noProof/>
        </w:rPr>
        <w:t>- l’interprétation de la durée de 90 jours sur toute période de 180 jours, et</w:t>
      </w:r>
    </w:p>
    <w:p>
      <w:pPr>
        <w:spacing w:before="0" w:after="240"/>
        <w:ind w:firstLine="720"/>
        <w:rPr>
          <w:noProof/>
        </w:rPr>
      </w:pPr>
      <w:r>
        <w:rPr>
          <w:noProof/>
        </w:rPr>
        <w:t>- l’Islande, la Norvège, la Suisse et le Liechtenstein.</w:t>
      </w:r>
    </w:p>
    <w:p>
      <w:pPr>
        <w:spacing w:before="0" w:after="240"/>
        <w:rPr>
          <w:noProof/>
        </w:rPr>
      </w:pPr>
      <w:r>
        <w:rPr>
          <w:noProof/>
        </w:rPr>
        <w:t>e. Entrée en vigueur</w:t>
      </w:r>
    </w:p>
    <w:p>
      <w:pP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spacing w:before="0" w:after="240"/>
        <w:rPr>
          <w:noProof/>
        </w:rPr>
      </w:pPr>
      <w:r>
        <w:rPr>
          <w:noProof/>
        </w:rPr>
        <w:t>Aucune des autres dispositions de l’accord en vigueur entre l’Union européenne et la République fédérative du Brésil visant à exempter les titulaires d’un passeport diplomatique ou de service/officiel de l’obligation de visa pour les séjours de courte durée n’est remise en cause par l’accord, y compris le champ d’application territorial.</w:t>
      </w:r>
    </w:p>
    <w:p>
      <w:pPr>
        <w:pStyle w:val="ManualHeading1"/>
        <w:rPr>
          <w:noProof/>
        </w:rPr>
      </w:pPr>
      <w:r>
        <w:rPr>
          <w:noProof/>
        </w:rPr>
        <w:t>6.</w:t>
      </w:r>
      <w:r>
        <w:rPr>
          <w:noProof/>
        </w:rPr>
        <w:tab/>
        <w:t>CONCLUSION</w:t>
      </w:r>
    </w:p>
    <w:p>
      <w:pPr>
        <w:pStyle w:val="Text1"/>
        <w:ind w:left="0"/>
        <w:rPr>
          <w:noProof/>
        </w:rPr>
      </w:pPr>
      <w:r>
        <w:rPr>
          <w:noProof/>
        </w:rPr>
        <w:t>Compte tenu de ce qui précède, la Commission propose que le Conseil décide de la signature de l’accord au nom de l’Union et qu’il autorise son président à nommer la ou les personnes dûment habilitées à signer cet accord au nom de l’Union.</w:t>
      </w:r>
    </w:p>
    <w:p>
      <w:pPr>
        <w:spacing w:before="0" w:after="0"/>
        <w:jc w:val="left"/>
        <w:rPr>
          <w:noProof/>
        </w:rPr>
        <w:sectPr>
          <w:footerReference w:type="default" r:id="rId15"/>
          <w:footerReference w:type="first" r:id="rId16"/>
          <w:pgSz w:w="11907" w:h="16839"/>
          <w:pgMar w:top="1134" w:right="1417" w:bottom="1134" w:left="1417" w:header="709" w:footer="709" w:gutter="0"/>
          <w:cols w:space="720"/>
          <w:docGrid w:linePitch="326"/>
        </w:sectPr>
      </w:pPr>
    </w:p>
    <w:p>
      <w:pPr>
        <w:pStyle w:val="Rfrenceinterinstitutionnelle"/>
        <w:rPr>
          <w:noProof/>
        </w:rPr>
      </w:pPr>
      <w:r>
        <w:rPr>
          <w:noProof/>
        </w:rPr>
        <w:t>2018/0085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nº 610/2013 du Parlement européen et du Conseil</w:t>
      </w:r>
      <w:r>
        <w:rPr>
          <w:rStyle w:val="FootnoteReference"/>
          <w:noProof/>
        </w:rPr>
        <w:footnoteReference w:id="17"/>
      </w:r>
      <w:r>
        <w:rPr>
          <w:noProof/>
        </w:rPr>
        <w:t xml:space="preserve"> a introduit des modifications horizontales dans l’acquis de l’Union en matière de visas et de frontières et il a défini le séjour de courte durée comme ayant une durée maximale de 90 jours sur toute période de 180 jours.</w:t>
      </w:r>
    </w:p>
    <w:p>
      <w:pPr>
        <w:pStyle w:val="ManualConsidrant"/>
        <w:rPr>
          <w:noProof/>
        </w:rPr>
      </w:pPr>
      <w:r>
        <w:t>(2)</w:t>
      </w:r>
      <w:r>
        <w:tab/>
      </w:r>
      <w:r>
        <w:rPr>
          <w:noProof/>
        </w:rPr>
        <w:t>Il convient que l’accord entre l’Union européenne et la République fédérative du Brésil visant à exempter les titulaires d’un passeport diplomatique ou de service/officiel de l’obligation de visa pour les séjours de courte durée incorpore cette nouvelle définition au regard de l’harmonisation du régime de l’Union en matière de séjours de courte durée</w:t>
      </w:r>
    </w:p>
    <w:p>
      <w:pPr>
        <w:pStyle w:val="ManualConsidrant"/>
        <w:rPr>
          <w:noProof/>
        </w:rPr>
      </w:pPr>
      <w:r>
        <w:t>(3)</w:t>
      </w:r>
      <w:r>
        <w:tab/>
      </w:r>
      <w:r>
        <w:rPr>
          <w:noProof/>
        </w:rPr>
        <w:t>Le 9 octobre 2014, le Conseil a autorisé la Commission à ouvrir des négociations sur un 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 (l’«accord»). Les négociations avec le Brésil sur l’accord se sont conclues avec succès par le paraphe de celui-ci le 31 octobre 2017.</w:t>
      </w:r>
    </w:p>
    <w:p>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8"/>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19"/>
      </w:r>
      <w:r>
        <w:rPr>
          <w:noProof/>
        </w:rPr>
        <w:t>; l’Irlande ne participe donc pas à l’adoption de la présente décision et n’est pas liée par celle-ci ni soumise à son application.</w:t>
      </w:r>
    </w:p>
    <w:p>
      <w:pPr>
        <w:pStyle w:val="ManualConsidrant"/>
        <w:rPr>
          <w:noProof/>
        </w:rPr>
      </w:pPr>
      <w:r>
        <w:t>(6)</w:t>
      </w:r>
      <w:r>
        <w:tab/>
      </w:r>
      <w:r>
        <w:rPr>
          <w:noProof/>
        </w:rPr>
        <w:t>Il convient de signer l’accord modificatif, et d’approuver les déclarations jointes à celui-ci,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la République fédérative du Brésil modifiant l’accord entre l’Union européenne et la République fédérative du Brésil visant à exempter les titulaires d’un passeport diplomatique ou de service/officiel de l’obligation de visa pour les séjours de courte durée (l’«accord») est approuvée au nom de l’Union, sous réserve de la conclusion dudit accord.</w:t>
      </w:r>
    </w:p>
    <w:p>
      <w:pPr>
        <w:rPr>
          <w:noProof/>
        </w:rPr>
      </w:pPr>
      <w:r>
        <w:rPr>
          <w:noProof/>
        </w:rPr>
        <w:t>Le texte de l’accord à signer est joint à la présente décision.</w:t>
      </w:r>
    </w:p>
    <w:p>
      <w:pPr>
        <w:pStyle w:val="Titrearticle"/>
        <w:rPr>
          <w:noProof/>
        </w:rPr>
      </w:pPr>
      <w:r>
        <w:rPr>
          <w:noProof/>
        </w:rPr>
        <w:t>Article 2</w:t>
      </w:r>
    </w:p>
    <w:p>
      <w:pPr>
        <w:keepLines/>
        <w:rPr>
          <w:noProof/>
        </w:rPr>
      </w:pPr>
      <w:r>
        <w:rPr>
          <w:noProof/>
        </w:rPr>
        <w:t>Les déclarations jointes à la présente décision sont approuvées au nom de l’Union.</w:t>
      </w:r>
    </w:p>
    <w:p>
      <w:pPr>
        <w:pStyle w:val="Titrearticle"/>
        <w:rPr>
          <w:noProof/>
        </w:rPr>
      </w:pPr>
      <w:r>
        <w:rPr>
          <w:noProof/>
        </w:rPr>
        <w:t>Article 3</w:t>
      </w:r>
    </w:p>
    <w:p>
      <w:pPr>
        <w:keepLines/>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4</w:t>
      </w:r>
    </w:p>
    <w:p>
      <w:pPr>
        <w:keepLines/>
        <w:rPr>
          <w:noProof/>
        </w:rPr>
      </w:pPr>
      <w:r>
        <w:rPr>
          <w:noProof/>
        </w:rPr>
        <w:t>La présente décision entre en vigueur le vingtième jour suivant celui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JO L 182 du 29.6.2013, p. 1.</w:t>
      </w:r>
    </w:p>
  </w:footnote>
  <w:footnote w:id="2">
    <w:p>
      <w:pPr>
        <w:pStyle w:val="FootnoteText"/>
        <w:rPr>
          <w:lang w:val="pl-PL"/>
        </w:rPr>
      </w:pPr>
      <w:r>
        <w:rPr>
          <w:rStyle w:val="FootnoteReference"/>
        </w:rPr>
        <w:footnoteRef/>
      </w:r>
      <w:r>
        <w:tab/>
        <w:t>JO L 239 du 22.9.2000, p. 19.</w:t>
      </w:r>
    </w:p>
  </w:footnote>
  <w:footnote w:id="3">
    <w:p>
      <w:pPr>
        <w:pStyle w:val="FootnoteText"/>
        <w:rPr>
          <w:lang w:val="pl-PL"/>
        </w:rPr>
      </w:pPr>
      <w:r>
        <w:rPr>
          <w:rStyle w:val="FootnoteReference"/>
        </w:rPr>
        <w:footnoteRef/>
      </w:r>
      <w:r>
        <w:tab/>
        <w:t>JO L 105 du 13.4.2006, p. 1.</w:t>
      </w:r>
    </w:p>
  </w:footnote>
  <w:footnote w:id="4">
    <w:p>
      <w:pPr>
        <w:pStyle w:val="FootnoteText"/>
        <w:rPr>
          <w:lang w:val="pl-PL"/>
        </w:rPr>
      </w:pPr>
      <w:r>
        <w:rPr>
          <w:rStyle w:val="FootnoteReference"/>
        </w:rPr>
        <w:footnoteRef/>
      </w:r>
      <w:r>
        <w:tab/>
        <w:t>JO L 243 du 15.9.2009, p. 1.</w:t>
      </w:r>
    </w:p>
  </w:footnote>
  <w:footnote w:id="5">
    <w:p>
      <w:pPr>
        <w:pStyle w:val="FootnoteText"/>
        <w:rPr>
          <w:lang w:val="pl-PL"/>
        </w:rPr>
      </w:pPr>
      <w:r>
        <w:rPr>
          <w:rStyle w:val="FootnoteReference"/>
        </w:rPr>
        <w:footnoteRef/>
      </w:r>
      <w:r>
        <w:tab/>
        <w:t>JO L 81 du 21.3.2001, p. 1.</w:t>
      </w:r>
    </w:p>
  </w:footnote>
  <w:footnote w:id="6">
    <w:p>
      <w:pPr>
        <w:pStyle w:val="FootnoteText"/>
        <w:rPr>
          <w:lang w:val="fr-BE"/>
        </w:rPr>
      </w:pPr>
      <w:r>
        <w:rPr>
          <w:rStyle w:val="FootnoteReference"/>
        </w:rPr>
        <w:footnoteRef/>
      </w:r>
      <w:r>
        <w:tab/>
        <w:t>JO L 169 du 30.6.2009, p. 1.</w:t>
      </w:r>
    </w:p>
  </w:footnote>
  <w:footnote w:id="7">
    <w:p>
      <w:pPr>
        <w:pStyle w:val="FootnoteText"/>
      </w:pPr>
      <w:r>
        <w:rPr>
          <w:rStyle w:val="FootnoteReference"/>
        </w:rPr>
        <w:footnoteRef/>
      </w:r>
      <w:r>
        <w:tab/>
        <w:t>JO L 169 du 30.6.2009, p. 23.</w:t>
      </w:r>
    </w:p>
  </w:footnote>
  <w:footnote w:id="8">
    <w:p>
      <w:pPr>
        <w:pStyle w:val="FootnoteText"/>
      </w:pPr>
      <w:r>
        <w:rPr>
          <w:rStyle w:val="FootnoteReference"/>
        </w:rPr>
        <w:footnoteRef/>
      </w:r>
      <w:r>
        <w:tab/>
        <w:t>JO L 169 du 30.6.2009, p. 9.</w:t>
      </w:r>
    </w:p>
  </w:footnote>
  <w:footnote w:id="9">
    <w:p>
      <w:pPr>
        <w:pStyle w:val="FootnoteText"/>
      </w:pPr>
      <w:r>
        <w:rPr>
          <w:rStyle w:val="FootnoteReference"/>
        </w:rPr>
        <w:footnoteRef/>
      </w:r>
      <w:r>
        <w:tab/>
        <w:t>L’UE a conclu deux accords avec le Brésil: l’un pour les titulaires d’un passeport ordinaire (JO L 255 du 21.9.2012, p. 4) et l’autre pour les titulaires d’un passeport diplomatique ou de service/officiel (JO L 66 du 12.3.2011, p. 2).</w:t>
      </w:r>
    </w:p>
  </w:footnote>
  <w:footnote w:id="10">
    <w:p>
      <w:pPr>
        <w:pStyle w:val="FootnoteText"/>
        <w:rPr>
          <w:lang w:val="fr-BE"/>
        </w:rPr>
      </w:pPr>
      <w:r>
        <w:rPr>
          <w:rStyle w:val="FootnoteReference"/>
        </w:rPr>
        <w:footnoteRef/>
      </w:r>
      <w:r>
        <w:tab/>
        <w:t>JO L 169 du 30.6.2009, p. 16.</w:t>
      </w:r>
    </w:p>
  </w:footnote>
  <w:footnote w:id="11">
    <w:p>
      <w:pPr>
        <w:pStyle w:val="FootnoteText"/>
        <w:rPr>
          <w:lang w:val="fr-BE"/>
        </w:rPr>
      </w:pPr>
      <w:r>
        <w:rPr>
          <w:rStyle w:val="FootnoteReference"/>
        </w:rPr>
        <w:footnoteRef/>
      </w:r>
      <w:r>
        <w:tab/>
        <w:t>JO L 169 du 30.6.2009, p. 37.</w:t>
      </w:r>
    </w:p>
  </w:footnote>
  <w:footnote w:id="12">
    <w:p>
      <w:pPr>
        <w:pStyle w:val="FootnoteText"/>
        <w:rPr>
          <w:lang w:val="fr-BE"/>
        </w:rPr>
      </w:pPr>
      <w:r>
        <w:rPr>
          <w:rStyle w:val="FootnoteReference"/>
        </w:rPr>
        <w:footnoteRef/>
      </w:r>
      <w:r>
        <w:tab/>
        <w:t>JO L 169 du 30.6.2009, p. 30.</w:t>
      </w:r>
    </w:p>
  </w:footnote>
  <w:footnote w:id="13">
    <w:p>
      <w:pPr>
        <w:pStyle w:val="FootnoteText"/>
      </w:pPr>
      <w:r>
        <w:rPr>
          <w:rStyle w:val="FootnoteReference"/>
        </w:rPr>
        <w:footnoteRef/>
      </w:r>
      <w:r>
        <w:tab/>
        <w:t>Voir les articles des accords se rapportant à l’«objet» et à la «durée du séjour».</w:t>
      </w:r>
    </w:p>
  </w:footnote>
  <w:footnote w:id="14">
    <w:p>
      <w:pPr>
        <w:pStyle w:val="FootnoteText"/>
        <w:rPr>
          <w:lang w:val="fr-BE"/>
        </w:rPr>
      </w:pPr>
      <w:r>
        <w:rPr>
          <w:rStyle w:val="FootnoteReference"/>
        </w:rPr>
        <w:footnoteRef/>
      </w:r>
      <w:r>
        <w:tab/>
        <w:t>COM(2014) 468 final.</w:t>
      </w:r>
    </w:p>
  </w:footnote>
  <w:footnote w:id="15">
    <w:p>
      <w:pPr>
        <w:pStyle w:val="FootnoteText"/>
        <w:rPr>
          <w:lang w:val="fr-BE"/>
        </w:rPr>
      </w:pPr>
      <w:r>
        <w:rPr>
          <w:rStyle w:val="FootnoteReference"/>
        </w:rPr>
        <w:footnoteRef/>
      </w:r>
      <w: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6">
    <w:p>
      <w:pPr>
        <w:pStyle w:val="FootnoteText"/>
      </w:pPr>
      <w:r>
        <w:rPr>
          <w:rStyle w:val="FootnoteReference"/>
        </w:rPr>
        <w:footnoteRef/>
      </w:r>
      <w:r>
        <w:tab/>
        <w:t>COM(2016) 194 final.</w:t>
      </w:r>
    </w:p>
  </w:footnote>
  <w:footnote w:id="17">
    <w:p>
      <w:pPr>
        <w:pStyle w:val="FootnoteText"/>
        <w:rPr>
          <w:rStyle w:val="FootnoteReference"/>
          <w:b/>
        </w:rPr>
      </w:pPr>
      <w:r>
        <w:rPr>
          <w:rStyle w:val="FootnoteReference"/>
        </w:rPr>
        <w:footnoteRef/>
      </w:r>
      <w:r>
        <w:tab/>
        <w:t>Règlement (UE) n° 610/2013 du Parlement européen et du Conseil du 26 juin 2013 modifiant le règlement (CE) n° 562/2006 du Parlement européen et du Conseil établissant un code communautaire relatif au régime de franchissement des frontières par les personnes (code frontières Schengen), la convention d’application de l’accord de Schengen, les règlements (CE) n° 1683/95 et (CE) n° 539/2001 du Conseil et les règlements (CE) n° 767/2008 et (CE) n° 810/2009 du Parlement européen et du Conseil (JO L 182 du 29.6.2013, p. 1).</w:t>
      </w:r>
    </w:p>
  </w:footnote>
  <w:footnote w:id="18">
    <w:p>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L 131 du 1.6.2000, p. 43).</w:t>
      </w:r>
    </w:p>
  </w:footnote>
  <w:footnote w:id="19">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E1D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6CAD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C51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67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C6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E26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BC77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20: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D75A834-6D39-4E42-9C36-D8C88A9D87EC"/>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5"/>
    <w:docVar w:name="LW_REF.II.NEW.CP_YEAR" w:val="2018"/>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2198</Words>
  <Characters>11914</Characters>
  <Application>Microsoft Office Word</Application>
  <DocSecurity>0</DocSecurity>
  <Lines>201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2018-03-27T11:58:00Z</dcterms:created>
  <dcterms:modified xsi:type="dcterms:W3CDTF">2018-04-04T10:20:00Z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