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273D52-A99D-4C34-8734-9CF96C179AE5"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1"/>
      </w:r>
      <w:r>
        <w:rPr>
          <w:noProof/>
        </w:rPr>
        <w:t>. (наричан по-нататък „изменението на КШГ“) бяха изменени Конвенцията за прилагане на Споразумението от Шенген</w:t>
      </w:r>
      <w:r>
        <w:rPr>
          <w:rStyle w:val="FootnoteReference"/>
          <w:noProof/>
        </w:rPr>
        <w:footnoteReference w:id="2"/>
      </w:r>
      <w:r>
        <w:rPr>
          <w:noProof/>
        </w:rPr>
        <w:t xml:space="preserve"> (CISA), </w:t>
      </w:r>
      <w:r>
        <w:rPr>
          <w:rStyle w:val="Strong"/>
          <w:noProof/>
        </w:rPr>
        <w:t>Регламент (ЕО) № 562/2006</w:t>
      </w:r>
      <w:r>
        <w:rPr>
          <w:rStyle w:val="FootnoteReference"/>
          <w:noProof/>
        </w:rPr>
        <w:footnoteReference w:id="3"/>
      </w:r>
      <w:r>
        <w:rPr>
          <w:noProof/>
        </w:rPr>
        <w:t xml:space="preserve"> (Кодекс на шенгенските граници [КШГ]) и Регламент (ЕО) № 810/2009</w:t>
      </w:r>
      <w:r>
        <w:rPr>
          <w:rStyle w:val="FootnoteReference"/>
          <w:noProof/>
        </w:rPr>
        <w:footnoteReference w:id="4"/>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i/>
          <w:noProof/>
        </w:rPr>
        <w:t>.</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5"/>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6"/>
      </w:r>
      <w:r>
        <w:rPr>
          <w:noProof/>
        </w:rPr>
        <w:t>, Бахамските острови</w:t>
      </w:r>
      <w:r>
        <w:rPr>
          <w:rStyle w:val="FootnoteReference"/>
          <w:noProof/>
        </w:rPr>
        <w:footnoteReference w:id="7"/>
      </w:r>
      <w:r>
        <w:rPr>
          <w:noProof/>
        </w:rPr>
        <w:t>, Барбадос</w:t>
      </w:r>
      <w:r>
        <w:rPr>
          <w:rStyle w:val="FootnoteReference"/>
          <w:noProof/>
        </w:rPr>
        <w:footnoteReference w:id="8"/>
      </w:r>
      <w:r>
        <w:rPr>
          <w:noProof/>
        </w:rPr>
        <w:t>, Бразилия</w:t>
      </w:r>
      <w:r>
        <w:rPr>
          <w:rStyle w:val="FootnoteReference"/>
          <w:noProof/>
        </w:rPr>
        <w:footnoteReference w:id="9"/>
      </w:r>
      <w:r>
        <w:rPr>
          <w:noProof/>
        </w:rPr>
        <w:t>, Република Мавриций</w:t>
      </w:r>
      <w:r>
        <w:rPr>
          <w:rStyle w:val="FootnoteReference"/>
          <w:noProof/>
        </w:rPr>
        <w:footnoteReference w:id="10"/>
      </w:r>
      <w:r>
        <w:rPr>
          <w:noProof/>
        </w:rPr>
        <w:t>, Сейнт Китс и Невис</w:t>
      </w:r>
      <w:r>
        <w:rPr>
          <w:rStyle w:val="FootnoteReference"/>
          <w:noProof/>
        </w:rPr>
        <w:footnoteReference w:id="11"/>
      </w:r>
      <w:r>
        <w:rPr>
          <w:noProof/>
        </w:rPr>
        <w:t xml:space="preserve"> и Република Сейшели</w:t>
      </w:r>
      <w:r>
        <w:rPr>
          <w:rStyle w:val="FootnoteReference"/>
          <w:noProof/>
        </w:rPr>
        <w:footnoteReference w:id="12"/>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3"/>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споразуменията за отмяна на визовия режим за краткосрочно пребиваване между Европейския съюз и горепосочените държави</w:t>
      </w:r>
      <w:r>
        <w:rPr>
          <w:rStyle w:val="FootnoteReference"/>
          <w:noProof/>
        </w:rPr>
        <w:footnoteReference w:id="14"/>
      </w:r>
      <w:r>
        <w:rPr>
          <w:noProof/>
        </w:rPr>
        <w:t>, което беше прието от Съвета на 9 октомври 2014 г</w:t>
      </w:r>
      <w:r>
        <w:rPr>
          <w:rStyle w:val="FootnoteReference"/>
          <w:noProof/>
        </w:rPr>
        <w:footnoteReference w:id="15"/>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6"/>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На 31 октомври 2017 г. преговорите с Бразилия приключиха успешно с парафирането на споразумения за изменение на две споразумения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и за притежателите на обикновени паспорти. Двете страни се споразумяха да приемат новото определение за „краткосрочно пребиваване“ наред с други технически аспекти (вж. по-долу), но нито едно от измененията не поражда съществени последици за пътуващите лица. </w:t>
      </w:r>
    </w:p>
    <w:p>
      <w:pPr>
        <w:spacing w:before="0" w:after="240"/>
        <w:rPr>
          <w:noProof/>
        </w:rPr>
      </w:pPr>
      <w:r>
        <w:rPr>
          <w:noProof/>
        </w:rPr>
        <w:t xml:space="preserve">Специфичното положение на Обединеното кралство и Ирландия е отразено в преамбюла на споразуменията.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pStyle w:val="Text1"/>
        <w:ind w:left="0"/>
        <w:rPr>
          <w:noProof/>
        </w:rPr>
      </w:pPr>
      <w:r>
        <w:rPr>
          <w:noProof/>
        </w:rPr>
        <w:t>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(наричано по-нататък: „споразумението“)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представя на Съвета, за да разреши Споразумението да бъде подписано.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w:t>
      </w:r>
      <w:r>
        <w:rPr>
          <w:noProof/>
        </w:rPr>
        <w:lastRenderedPageBreak/>
        <w:t>престой в Шенгенското пространство, в споразумението е включена съвместна декларация, в която се посочва, че е желателно Бразилия,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pPr>
        <w:rPr>
          <w:noProof/>
        </w:rPr>
      </w:pPr>
      <w:r>
        <w:rPr>
          <w:noProof/>
        </w:rPr>
        <w:t xml:space="preserve">Съгласно член 77, параграф 2, буква а) от ДФЕС воденето на преговори по споразумения за отмяна на визовия режим е от изключителната компетентност на Съюза. </w:t>
      </w:r>
    </w:p>
    <w:p>
      <w:pPr>
        <w:rPr>
          <w:noProof/>
          <w:bdr w:val="none" w:sz="0" w:space="0" w:color="auto" w:frame="1"/>
        </w:rPr>
      </w:pPr>
      <w:r>
        <w:rPr>
          <w:noProof/>
        </w:rPr>
        <w:t>Осен това, 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Следователно е необходимо действие на равнището на Съюза.</w:t>
      </w:r>
    </w:p>
    <w:p>
      <w:pPr>
        <w:pStyle w:val="ManualHeading2"/>
        <w:rPr>
          <w:rFonts w:eastAsia="Arial Unicode MS"/>
          <w:noProof/>
          <w:bdr w:val="none" w:sz="0" w:space="0" w:color="auto" w:frame="1"/>
        </w:rPr>
      </w:pPr>
      <w:r>
        <w:rPr>
          <w:noProof/>
        </w:rPr>
        <w:t>•</w:t>
      </w:r>
      <w:r>
        <w:rPr>
          <w:noProof/>
        </w:rPr>
        <w:tab/>
        <w:t>Пропорционалност</w:t>
      </w:r>
    </w:p>
    <w:p>
      <w:pPr>
        <w:pStyle w:val="Text1"/>
        <w:ind w:left="0"/>
        <w:rPr>
          <w:noProof/>
          <w:bdr w:val="none" w:sz="0" w:space="0" w:color="auto" w:frame="1"/>
        </w:rPr>
      </w:pPr>
      <w:r>
        <w:rPr>
          <w:noProof/>
        </w:rPr>
        <w:t>Настоящото предложение не надхвърля необходимото за постигането на преследваната цел, а именно за изменение на действащото Споразумение между Федеративна република Бразилия и Европейския съюз относно премахването на визите за краткосрочно пребиваване за притежателите на дипломатически, служебни или официални паспорти.</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bdr w:val="none" w:sz="0" w:space="0" w:color="auto" w:frame="1"/>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Бразилия за изменение на споразумението между двете страни относно премахването на визите за краткосрочно пребиваване за притежателите на дипломатически, служебни или официални паспорти. Държавите членки бяха уведомени за напредъка по преговорите по време на заседанията на работна група „Визи“.</w:t>
      </w:r>
    </w:p>
    <w:p>
      <w:pPr>
        <w:pStyle w:val="ManualHeading1"/>
        <w:rPr>
          <w:noProof/>
        </w:rPr>
      </w:pPr>
      <w:r>
        <w:rPr>
          <w:noProof/>
        </w:rPr>
        <w:t>5.</w:t>
      </w:r>
      <w:r>
        <w:rPr>
          <w:noProof/>
        </w:rPr>
        <w:tab/>
        <w:t xml:space="preserve">ДРУГИ ЕЛЕМЕНТИ </w:t>
      </w:r>
    </w:p>
    <w:p>
      <w:pPr>
        <w:pStyle w:val="ManualHeading2"/>
        <w:rPr>
          <w:rFonts w:eastAsia="Arial Unicode MS"/>
          <w:noProof/>
          <w:bdr w:val="none" w:sz="0" w:space="0" w:color="auto" w:frame="1"/>
        </w:rPr>
      </w:pPr>
      <w:r>
        <w:rPr>
          <w:noProof/>
        </w:rPr>
        <w:t>•</w:t>
      </w:r>
      <w:r>
        <w:rPr>
          <w:noProof/>
        </w:rPr>
        <w:tab/>
        <w:t>Резултати от преговорите</w:t>
      </w:r>
    </w:p>
    <w:p>
      <w:pP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spacing w:before="0" w:after="240"/>
        <w:rPr>
          <w:noProof/>
        </w:rPr>
      </w:pPr>
      <w:r>
        <w:rPr>
          <w:noProof/>
        </w:rPr>
        <w:t>Окончателното му съдържание може да бъде обобщено, както следва:</w:t>
      </w:r>
    </w:p>
    <w:p>
      <w:pPr>
        <w:spacing w:before="0" w:after="240"/>
        <w:rPr>
          <w:noProof/>
        </w:rPr>
      </w:pPr>
      <w:r>
        <w:rPr>
          <w:noProof/>
        </w:rPr>
        <w:t xml:space="preserve">а. Продължителност на пребиваването </w:t>
      </w:r>
    </w:p>
    <w:p>
      <w:pPr>
        <w:spacing w:before="0" w:after="240"/>
        <w:rPr>
          <w:noProof/>
        </w:rPr>
      </w:pPr>
      <w:r>
        <w:rPr>
          <w:noProof/>
        </w:rPr>
        <w:t xml:space="preserve">В Споразумението се предвижда безвизово пътуване за гражданите на Европейския съюз, притежаващи валиден дипломатически, служебен или официален паспорт, и за гражданите на Бразилия, притежаващи валиден дипломатически, служебен или официален паспорт, когато пътуват до територията на другата договаряща се страна за период, не по-дълъг от 90 дни в рамките на всеки 180-дневен период (вместо за </w:t>
      </w:r>
      <w:r>
        <w:rPr>
          <w:noProof/>
        </w:rPr>
        <w:lastRenderedPageBreak/>
        <w:t>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w:t>
      </w:r>
    </w:p>
    <w:p>
      <w:pP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споразумението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spacing w:before="0" w:after="240"/>
        <w:rPr>
          <w:noProof/>
        </w:rPr>
      </w:pPr>
      <w:r>
        <w:rPr>
          <w:noProof/>
        </w:rPr>
        <w:t>в. Съвместни декларации</w:t>
      </w:r>
    </w:p>
    <w:p>
      <w:pPr>
        <w:spacing w:before="0" w:after="240"/>
        <w:rPr>
          <w:noProof/>
        </w:rPr>
      </w:pPr>
      <w:r>
        <w:rPr>
          <w:noProof/>
        </w:rPr>
        <w:t>Към Споразумението са приложени две съвместни декларации:</w:t>
      </w:r>
    </w:p>
    <w:p>
      <w:pPr>
        <w:spacing w:before="0" w:after="240"/>
        <w:ind w:firstLine="720"/>
        <w:rPr>
          <w:noProof/>
        </w:rPr>
      </w:pPr>
      <w:r>
        <w:rPr>
          <w:noProof/>
        </w:rPr>
        <w:t>— относно тълкуването на 90 дни в рамките на всеки 180-дневен период и</w:t>
      </w:r>
    </w:p>
    <w:p>
      <w:pPr>
        <w:spacing w:before="0" w:after="240"/>
        <w:ind w:firstLine="720"/>
        <w:rPr>
          <w:noProof/>
        </w:rPr>
      </w:pPr>
      <w:r>
        <w:rPr>
          <w:noProof/>
        </w:rPr>
        <w:t>— относно Исландия, Норвегия, Швейцария и Лихтенщайн.</w:t>
      </w:r>
    </w:p>
    <w:p>
      <w:pPr>
        <w:spacing w:before="0" w:after="240"/>
        <w:rPr>
          <w:noProof/>
        </w:rPr>
      </w:pPr>
      <w:r>
        <w:rPr>
          <w:noProof/>
        </w:rPr>
        <w:t>д. Влизане в сила</w:t>
      </w:r>
    </w:p>
    <w:p>
      <w:pP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spacing w:before="0" w:after="240"/>
        <w:rPr>
          <w:noProof/>
        </w:rPr>
      </w:pPr>
      <w:r>
        <w:rPr>
          <w:noProof/>
        </w:rPr>
        <w:t xml:space="preserve">Останалите разпоредби на действащото Споразумение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остават незасегнати от споразумението,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2018/0085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 610/2013 на Европейския парламент и на Съвета</w:t>
      </w:r>
      <w:r>
        <w:rPr>
          <w:rStyle w:val="FootnoteReference"/>
          <w:noProof/>
        </w:rPr>
        <w:footnoteReference w:id="17"/>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(2)</w:t>
      </w:r>
      <w:r>
        <w:tab/>
      </w:r>
      <w:r>
        <w:rPr>
          <w:noProof/>
        </w:rPr>
        <w:t>Необходимо е това ново определение да бъде включено в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с цел постигането на пълно хармонизиране на режима на Съюза за краткосрочно пребиваване.</w:t>
      </w:r>
    </w:p>
    <w:p>
      <w:pPr>
        <w:pStyle w:val="ManualConsidrant"/>
        <w:rPr>
          <w:noProof/>
        </w:rPr>
      </w:pPr>
      <w:r>
        <w:t>(3)</w:t>
      </w:r>
      <w:r>
        <w:tab/>
      </w:r>
      <w:r>
        <w:rPr>
          <w:noProof/>
        </w:rPr>
        <w:t>На 9 октомври 2014 г. Съветът упълномощи Комисията да започне преговори по Споразумение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(„Споразумението“). Преговорите с Бразилия по Споразумението приключиха успешно с неговото парафиране на 31 октомври 2017 г.</w:t>
      </w:r>
    </w:p>
    <w:p>
      <w:pPr>
        <w:pStyle w:val="ManualConsidrant"/>
        <w:rPr>
          <w:noProof/>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8"/>
      </w:r>
      <w:r>
        <w:rPr>
          <w:noProof/>
        </w:rPr>
        <w:t xml:space="preserve">; следователно Обединеното кралство не </w:t>
      </w:r>
      <w:r>
        <w:rPr>
          <w:noProof/>
        </w:rPr>
        <w:lastRenderedPageBreak/>
        <w:t>участва в неговото приемане и не е обвързано от него, нито от неговото прилагане.</w:t>
      </w:r>
    </w:p>
    <w:p>
      <w:pPr>
        <w:pStyle w:val="ManualConsidrant"/>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9"/>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 xml:space="preserve">Изменящото споразумение следва да бъде подписано и декларациите, приложени към изменящото споразумение, следва да бъдат одобрени от името на Съюза,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от Съюза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 относно премахването на визите за краткосрочно пребиваване за притежателите на дипломатически, служебни или официални паспорти („Споразумението“) се одобрява от името на Съюза, при условие че посоченото споразумение бъде сключено.</w:t>
      </w:r>
    </w:p>
    <w:p>
      <w:pPr>
        <w:rPr>
          <w:noProof/>
        </w:rPr>
      </w:pPr>
      <w:r>
        <w:rPr>
          <w:noProof/>
        </w:rPr>
        <w:t>Текстът на споразумението, което трябва да се подпише, е приложен към настоящото решение.</w:t>
      </w:r>
    </w:p>
    <w:p>
      <w:pPr>
        <w:pStyle w:val="Titrearticle"/>
        <w:rPr>
          <w:noProo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rPr>
          <w:noProof/>
        </w:rPr>
      </w:pPr>
      <w:r>
        <w:rPr>
          <w:noProof/>
        </w:rPr>
        <w:t>Член 3</w:t>
      </w:r>
    </w:p>
    <w:p>
      <w:pPr>
        <w:keepLines/>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4</w:t>
      </w:r>
    </w:p>
    <w:p>
      <w:pPr>
        <w:keepLines/>
        <w:rPr>
          <w:noProof/>
        </w:rPr>
      </w:pPr>
      <w:r>
        <w:rPr>
          <w:noProof/>
        </w:rPr>
        <w:t>Настоящото решение влиза в сила на двадесетия ден след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ОВ L 182, 29.6.2013 г., стр. 1.</w:t>
      </w:r>
    </w:p>
  </w:footnote>
  <w:footnote w:id="2">
    <w:p>
      <w:pPr>
        <w:pStyle w:val="FootnoteText"/>
        <w:rPr>
          <w:lang w:val="pl-PL"/>
        </w:rPr>
      </w:pPr>
      <w:r>
        <w:rPr>
          <w:rStyle w:val="FootnoteReference"/>
        </w:rPr>
        <w:footnoteRef/>
      </w:r>
      <w:r>
        <w:tab/>
        <w:t>ОВ L 239, 22.9.2000 г., стр. 19.</w:t>
      </w:r>
    </w:p>
  </w:footnote>
  <w:footnote w:id="3">
    <w:p>
      <w:pPr>
        <w:pStyle w:val="FootnoteText"/>
        <w:rPr>
          <w:lang w:val="pl-PL"/>
        </w:rPr>
      </w:pPr>
      <w:r>
        <w:rPr>
          <w:rStyle w:val="FootnoteReference"/>
        </w:rPr>
        <w:footnoteRef/>
      </w:r>
      <w:r>
        <w:rPr>
          <w:lang w:val="pl-PL"/>
        </w:rPr>
        <w:tab/>
      </w:r>
      <w:r>
        <w:t>ОВ</w:t>
      </w:r>
      <w:r>
        <w:rPr>
          <w:lang w:val="pl-PL"/>
        </w:rPr>
        <w:t xml:space="preserve"> L 105, 13.4.2006 </w:t>
      </w:r>
      <w:r>
        <w:t>г</w:t>
      </w:r>
      <w:r>
        <w:rPr>
          <w:lang w:val="pl-PL"/>
        </w:rPr>
        <w:t xml:space="preserve">., </w:t>
      </w:r>
      <w:r>
        <w:t>стр</w:t>
      </w:r>
      <w:r>
        <w:rPr>
          <w:lang w:val="pl-PL"/>
        </w:rPr>
        <w:t>. 1.</w:t>
      </w:r>
    </w:p>
  </w:footnote>
  <w:footnote w:id="4">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081, 21.3.2001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23.</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9.</w:t>
      </w:r>
    </w:p>
  </w:footnote>
  <w:footnote w:id="9">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0">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16.</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37.</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30.</w:t>
      </w:r>
    </w:p>
  </w:footnote>
  <w:footnote w:id="13">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4">
    <w:p>
      <w:pPr>
        <w:pStyle w:val="FootnoteText"/>
        <w:rPr>
          <w:lang w:val="pl-PL"/>
        </w:rPr>
      </w:pPr>
      <w:r>
        <w:rPr>
          <w:rStyle w:val="FootnoteReference"/>
        </w:rPr>
        <w:footnoteRef/>
      </w:r>
      <w:r>
        <w:rPr>
          <w:lang w:val="pl-PL"/>
        </w:rPr>
        <w:tab/>
        <w:t>COM(2014) 468 final.</w:t>
      </w:r>
    </w:p>
  </w:footnote>
  <w:footnote w:id="15">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6">
    <w:p>
      <w:pPr>
        <w:pStyle w:val="FootnoteText"/>
        <w:rPr>
          <w:lang w:val="pl-PL"/>
        </w:rPr>
      </w:pPr>
      <w:r>
        <w:rPr>
          <w:rStyle w:val="FootnoteReference"/>
        </w:rPr>
        <w:footnoteRef/>
      </w:r>
      <w:r>
        <w:rPr>
          <w:lang w:val="pl-PL"/>
        </w:rPr>
        <w:tab/>
        <w:t>COM(2016) 194 final.</w:t>
      </w:r>
    </w:p>
  </w:footnote>
  <w:footnote w:id="17">
    <w:p>
      <w:pPr>
        <w:pStyle w:val="FootnoteText"/>
        <w:rPr>
          <w:rStyle w:val="FootnoteReference"/>
          <w:b/>
          <w:lang w:val="pl-PL"/>
        </w:rPr>
      </w:pPr>
      <w:r>
        <w:rPr>
          <w:rStyle w:val="FootnoteReference"/>
        </w:rPr>
        <w:footnoteRef/>
      </w:r>
      <w:r>
        <w:rPr>
          <w:lang w:val="pl-PL"/>
        </w:rPr>
        <w:tab/>
      </w:r>
      <w:r>
        <w:t>Регламент</w:t>
      </w:r>
      <w:r>
        <w:rPr>
          <w:lang w:val="pl-PL"/>
        </w:rPr>
        <w:t xml:space="preserve"> (</w:t>
      </w:r>
      <w:r>
        <w:t>ЕС</w:t>
      </w:r>
      <w:r>
        <w:rPr>
          <w:lang w:val="pl-PL"/>
        </w:rPr>
        <w:t xml:space="preserve">) № 610/2013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26 </w:t>
      </w:r>
      <w:r>
        <w:t>юни</w:t>
      </w:r>
      <w:r>
        <w:rPr>
          <w:lang w:val="pl-PL"/>
        </w:rPr>
        <w:t xml:space="preserve"> 2013 </w:t>
      </w:r>
      <w:r>
        <w:t>г</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Регламент</w:t>
      </w:r>
      <w:r>
        <w:rPr>
          <w:lang w:val="pl-PL"/>
        </w:rPr>
        <w:t xml:space="preserve"> (</w:t>
      </w:r>
      <w:r>
        <w:t>ЕО</w:t>
      </w:r>
      <w:r>
        <w:rPr>
          <w:lang w:val="pl-PL"/>
        </w:rPr>
        <w:t xml:space="preserve">) № 562/2006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Кодекс</w:t>
      </w:r>
      <w:r>
        <w:rPr>
          <w:lang w:val="pl-PL"/>
        </w:rPr>
        <w:t xml:space="preserve"> </w:t>
      </w:r>
      <w:r>
        <w:t>на</w:t>
      </w:r>
      <w:r>
        <w:rPr>
          <w:lang w:val="pl-PL"/>
        </w:rPr>
        <w:t xml:space="preserve"> </w:t>
      </w:r>
      <w:r>
        <w:t>Общността</w:t>
      </w:r>
      <w:r>
        <w:rPr>
          <w:lang w:val="pl-PL"/>
        </w:rPr>
        <w:t xml:space="preserve"> </w:t>
      </w:r>
      <w:r>
        <w:t>за</w:t>
      </w:r>
      <w:r>
        <w:rPr>
          <w:lang w:val="pl-PL"/>
        </w:rPr>
        <w:t xml:space="preserve"> </w:t>
      </w:r>
      <w:r>
        <w:t>режима</w:t>
      </w:r>
      <w:r>
        <w:rPr>
          <w:lang w:val="pl-PL"/>
        </w:rPr>
        <w:t xml:space="preserve"> </w:t>
      </w:r>
      <w:r>
        <w:t>на</w:t>
      </w:r>
      <w:r>
        <w:rPr>
          <w:lang w:val="pl-PL"/>
        </w:rPr>
        <w:t xml:space="preserve"> </w:t>
      </w:r>
      <w:r>
        <w:t>движение</w:t>
      </w:r>
      <w:r>
        <w:rPr>
          <w:lang w:val="pl-PL"/>
        </w:rPr>
        <w:t xml:space="preserve"> </w:t>
      </w:r>
      <w:r>
        <w:t>на</w:t>
      </w:r>
      <w:r>
        <w:rPr>
          <w:lang w:val="pl-PL"/>
        </w:rPr>
        <w:t xml:space="preserve"> </w:t>
      </w:r>
      <w:r>
        <w:t>лица</w:t>
      </w:r>
      <w:r>
        <w:rPr>
          <w:lang w:val="pl-PL"/>
        </w:rPr>
        <w:t xml:space="preserve"> </w:t>
      </w:r>
      <w:r>
        <w:t>през</w:t>
      </w:r>
      <w:r>
        <w:rPr>
          <w:lang w:val="pl-PL"/>
        </w:rPr>
        <w:t xml:space="preserve"> </w:t>
      </w:r>
      <w:r>
        <w:t>границите</w:t>
      </w:r>
      <w:r>
        <w:rPr>
          <w:lang w:val="pl-PL"/>
        </w:rPr>
        <w:t xml:space="preserve"> (</w:t>
      </w:r>
      <w:r>
        <w:t>Кодекс</w:t>
      </w:r>
      <w:r>
        <w:rPr>
          <w:lang w:val="pl-PL"/>
        </w:rPr>
        <w:t xml:space="preserve"> </w:t>
      </w:r>
      <w:r>
        <w:t>на</w:t>
      </w:r>
      <w:r>
        <w:rPr>
          <w:lang w:val="pl-PL"/>
        </w:rPr>
        <w:t xml:space="preserve"> </w:t>
      </w:r>
      <w:r>
        <w:t>шенгенските</w:t>
      </w:r>
      <w:r>
        <w:rPr>
          <w:lang w:val="pl-PL"/>
        </w:rPr>
        <w:t xml:space="preserve"> </w:t>
      </w:r>
      <w:r>
        <w:t>граници</w:t>
      </w:r>
      <w:r>
        <w:rPr>
          <w:lang w:val="pl-PL"/>
        </w:rPr>
        <w:t xml:space="preserve">), </w:t>
      </w:r>
      <w:r>
        <w:t>Конвенцията</w:t>
      </w:r>
      <w:r>
        <w:rPr>
          <w:lang w:val="pl-PL"/>
        </w:rPr>
        <w:t xml:space="preserve"> </w:t>
      </w:r>
      <w:r>
        <w:t>за</w:t>
      </w:r>
      <w:r>
        <w:rPr>
          <w:lang w:val="pl-PL"/>
        </w:rPr>
        <w:t xml:space="preserve"> </w:t>
      </w:r>
      <w:r>
        <w:t>прилагане</w:t>
      </w:r>
      <w:r>
        <w:rPr>
          <w:lang w:val="pl-PL"/>
        </w:rPr>
        <w:t xml:space="preserve"> </w:t>
      </w:r>
      <w:r>
        <w:t>на</w:t>
      </w:r>
      <w:r>
        <w:rPr>
          <w:lang w:val="pl-PL"/>
        </w:rPr>
        <w:t xml:space="preserve"> </w:t>
      </w:r>
      <w:r>
        <w:t>Споразумението</w:t>
      </w:r>
      <w:r>
        <w:rPr>
          <w:lang w:val="pl-PL"/>
        </w:rPr>
        <w:t xml:space="preserve"> </w:t>
      </w:r>
      <w:r>
        <w:t>от</w:t>
      </w:r>
      <w:r>
        <w:rPr>
          <w:lang w:val="pl-PL"/>
        </w:rPr>
        <w:t xml:space="preserve"> </w:t>
      </w:r>
      <w:r>
        <w:t>Шенген</w:t>
      </w:r>
      <w:r>
        <w:rPr>
          <w:lang w:val="pl-PL"/>
        </w:rPr>
        <w:t xml:space="preserve">, </w:t>
      </w:r>
      <w:r>
        <w:t>регламенти</w:t>
      </w:r>
      <w:r>
        <w:rPr>
          <w:lang w:val="pl-PL"/>
        </w:rPr>
        <w:t xml:space="preserve"> (</w:t>
      </w:r>
      <w:r>
        <w:t>ЕО</w:t>
      </w:r>
      <w:r>
        <w:rPr>
          <w:lang w:val="pl-PL"/>
        </w:rPr>
        <w:t xml:space="preserve">) № 1683/95 </w:t>
      </w:r>
      <w:r>
        <w:t>и</w:t>
      </w:r>
      <w:r>
        <w:rPr>
          <w:lang w:val="pl-PL"/>
        </w:rPr>
        <w:t xml:space="preserve"> (</w:t>
      </w:r>
      <w:r>
        <w:t>ЕО</w:t>
      </w:r>
      <w:r>
        <w:rPr>
          <w:lang w:val="pl-PL"/>
        </w:rPr>
        <w:t xml:space="preserve">) № 539/2001 </w:t>
      </w:r>
      <w:r>
        <w:t>на</w:t>
      </w:r>
      <w:r>
        <w:rPr>
          <w:lang w:val="pl-PL"/>
        </w:rPr>
        <w:t xml:space="preserve"> </w:t>
      </w:r>
      <w:r>
        <w:t>Съвета</w:t>
      </w:r>
      <w:r>
        <w:rPr>
          <w:lang w:val="pl-PL"/>
        </w:rPr>
        <w:t xml:space="preserve"> </w:t>
      </w:r>
      <w:r>
        <w:t>и</w:t>
      </w:r>
      <w:r>
        <w:rPr>
          <w:lang w:val="pl-PL"/>
        </w:rPr>
        <w:t xml:space="preserve"> </w:t>
      </w:r>
      <w:r>
        <w:t>регламенти</w:t>
      </w:r>
      <w:r>
        <w:rPr>
          <w:lang w:val="pl-PL"/>
        </w:rPr>
        <w:t xml:space="preserve"> (</w:t>
      </w:r>
      <w:r>
        <w:t>ЕО</w:t>
      </w:r>
      <w:r>
        <w:rPr>
          <w:lang w:val="pl-PL"/>
        </w:rPr>
        <w:t xml:space="preserve">) № 767/2008 </w:t>
      </w:r>
      <w:r>
        <w:t>и</w:t>
      </w:r>
      <w:r>
        <w:rPr>
          <w:lang w:val="pl-PL"/>
        </w:rPr>
        <w:t xml:space="preserve"> (</w:t>
      </w:r>
      <w:r>
        <w:t>ЕО</w:t>
      </w:r>
      <w:r>
        <w:rPr>
          <w:lang w:val="pl-PL"/>
        </w:rPr>
        <w:t xml:space="preserve">) № 810/2009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ОВ</w:t>
      </w:r>
      <w:r>
        <w:rPr>
          <w:lang w:val="pl-PL"/>
        </w:rPr>
        <w:t xml:space="preserve"> L 182, 29.6.2013 </w:t>
      </w:r>
      <w:r>
        <w:t>г</w:t>
      </w:r>
      <w:r>
        <w:rPr>
          <w:lang w:val="pl-PL"/>
        </w:rPr>
        <w:t xml:space="preserve">., </w:t>
      </w:r>
      <w:r>
        <w:t>стр</w:t>
      </w:r>
      <w:r>
        <w:rPr>
          <w:lang w:val="pl-PL"/>
        </w:rPr>
        <w:t>. 1.</w:t>
      </w:r>
    </w:p>
  </w:footnote>
  <w:footnote w:id="18">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19">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E1D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6CAD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C51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67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C6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E26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BC77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20:2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273D52-A99D-4C34-8734-9CF96C179AE5"/>
    <w:docVar w:name="LW_COVERPAGE_TYPE" w:val="1"/>
    <w:docVar w:name="LW_CROSSREFERENCE" w:val="&lt;UNUSED&gt;"/>
    <w:docVar w:name="LW_DocType" w:val="COM"/>
    <w:docVar w:name="LW_EMISSION" w:val="11.4.2018"/>
    <w:docVar w:name="LW_EMISSION_ISODATE" w:val="2018-04-1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5"/>
    <w:docVar w:name="LW_REF.II.NEW.CP_YEAR" w:val="2018"/>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76?\u1080?\u1087?\u1083?\u1086?\u1084?\u1072?\u1090?\u1080?\u1095?\u1077?\u1089?\u1082?\u1080?, \u1089?\u1083?\u1091?\u1078?\u1077?\u1073?\u1085?\u1080? \u1080?\u1083?\u1080? \u1086?\u1092?\u1080?\u1094?\u1080?\u1072?\u1083?\u1085?\u1080? \u1087?\u1072?\u1089?\u1087?\u1086?\u1088?\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B166-ACE7-4BE4-AD63-4483A2C1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1945</Words>
  <Characters>11870</Characters>
  <Application>Microsoft Office Word</Application>
  <DocSecurity>0</DocSecurity>
  <Lines>219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2018-03-27T08:45:00Z</dcterms:created>
  <dcterms:modified xsi:type="dcterms:W3CDTF">2018-04-04T10:20:00Z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