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D1259BB-9F9F-4685-8541-282D45B43242" style="width:450.25pt;height:43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szCs w:val="24"/>
        </w:rPr>
      </w:pPr>
      <w:r>
        <w:rPr>
          <w:b/>
          <w:noProof/>
        </w:rPr>
        <w:t>СПОРАЗУМЕНИЕ</w:t>
      </w:r>
    </w:p>
    <w:p>
      <w:pPr>
        <w:jc w:val="center"/>
        <w:rPr>
          <w:b/>
          <w:noProof/>
          <w:szCs w:val="24"/>
        </w:rPr>
      </w:pPr>
      <w:r>
        <w:rPr>
          <w:b/>
          <w:noProof/>
        </w:rPr>
        <w:t>между Европейския съюз и Федеративна република Бразилия за изменение на Споразумението между Европейския съюз и Федеративна република Бразилия</w:t>
      </w:r>
      <w:r>
        <w:rPr>
          <w:noProof/>
        </w:rPr>
        <w:t xml:space="preserve"> </w:t>
      </w:r>
      <w:r>
        <w:rPr>
          <w:b/>
          <w:noProof/>
        </w:rPr>
        <w:t>относно премахването на визите за краткосрочно пребиваване за притежателите на дипломатически, служебни или официални паспорти</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ФЕДЕРАТИВНА РЕПУБЛИКА БРАЗИЛИЯ (наричана по-долу „Бразилия“),</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(наричано по-нататък „споразумението“), което влезе в сила на 1 април 2011 г.,</w:t>
      </w:r>
    </w:p>
    <w:p>
      <w:pPr>
        <w:rPr>
          <w:noProof/>
          <w:spacing w:val="-4"/>
          <w:szCs w:val="24"/>
        </w:rPr>
      </w:pPr>
      <w:r>
        <w:rPr>
          <w:noProof/>
          <w:spacing w:val="-4"/>
        </w:rPr>
        <w:t>КАТО ОТБЕЛЯЗВАТ, че споразумението действа в полза на гражданите на договарящите се страни, които притежават дипломатически, служебни или официални паспорти,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pacing w:val="-4"/>
          <w:szCs w:val="24"/>
        </w:rPr>
      </w:pPr>
      <w:r>
        <w:rPr>
          <w:noProof/>
          <w:spacing w:val="-4"/>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pacing w:val="-6"/>
          <w:szCs w:val="24"/>
        </w:rPr>
      </w:pPr>
      <w:r>
        <w:rPr>
          <w:noProof/>
          <w:spacing w:val="-6"/>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spacing w:before="0" w:after="0"/>
        <w:rPr>
          <w:noProof/>
          <w:szCs w:val="24"/>
        </w:rPr>
      </w:pPr>
    </w:p>
    <w:p>
      <w:pPr>
        <w:spacing w:before="0" w:after="0"/>
        <w:rPr>
          <w:noProof/>
          <w:szCs w:val="24"/>
        </w:rPr>
      </w:pPr>
    </w:p>
    <w:p>
      <w:pPr>
        <w:rPr>
          <w:noProof/>
          <w:szCs w:val="24"/>
        </w:rPr>
      </w:pPr>
      <w:r>
        <w:rPr>
          <w:noProof/>
        </w:rPr>
        <w:t>СЕ СПОРАЗУМЯХА ЗА СЛЕДНОТО:</w:t>
      </w:r>
    </w:p>
    <w:p>
      <w:pPr>
        <w:pStyle w:val="Titrearticle"/>
        <w:rPr>
          <w:noProof/>
        </w:rPr>
      </w:pPr>
      <w:r>
        <w:rPr>
          <w:noProof/>
        </w:rPr>
        <w:t>Член 1</w:t>
      </w:r>
    </w:p>
    <w:p>
      <w:pPr>
        <w:spacing w:before="100" w:after="100"/>
        <w:rPr>
          <w:noProof/>
          <w:szCs w:val="24"/>
        </w:rPr>
      </w:pPr>
      <w:r>
        <w:rPr>
          <w:noProof/>
        </w:rPr>
        <w:t>Споразумението се изменя в съответствие с разпоредбите на настоящия член:</w:t>
      </w:r>
    </w:p>
    <w:p>
      <w:pPr>
        <w:pStyle w:val="Point0number"/>
        <w:numPr>
          <w:ilvl w:val="0"/>
          <w:numId w:val="1"/>
        </w:numPr>
        <w:spacing w:before="100" w:after="100"/>
        <w:ind w:left="851" w:hanging="851"/>
        <w:rPr>
          <w:noProof/>
        </w:rPr>
      </w:pPr>
      <w:r>
        <w:rPr>
          <w:noProof/>
        </w:rPr>
        <w:lastRenderedPageBreak/>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1"/>
        </w:numPr>
        <w:spacing w:before="100" w:after="100"/>
        <w:rPr>
          <w:noProof/>
        </w:rPr>
      </w:pPr>
      <w:r>
        <w:rPr>
          <w:noProof/>
        </w:rPr>
        <w:t>Член 4, параграф 1 се заменя със следното:</w:t>
      </w:r>
    </w:p>
    <w:p>
      <w:pPr>
        <w:spacing w:before="100" w:after="100"/>
        <w:ind w:left="850"/>
        <w:rPr>
          <w:noProof/>
          <w:szCs w:val="24"/>
        </w:rPr>
      </w:pPr>
      <w:r>
        <w:rPr>
          <w:noProof/>
        </w:rPr>
        <w:t>„Гражданите на Съюза, които притежават валиден дипломатически, служебен или официален паспорт, могат да пребивават на територията на Бразилия за период до 90 дни в рамките на всеки период от 180 дни.“</w:t>
      </w:r>
    </w:p>
    <w:p>
      <w:pPr>
        <w:pStyle w:val="Point0number"/>
        <w:numPr>
          <w:ilvl w:val="0"/>
          <w:numId w:val="1"/>
        </w:numPr>
        <w:spacing w:before="100" w:after="100"/>
        <w:rPr>
          <w:noProof/>
        </w:rPr>
      </w:pPr>
      <w:r>
        <w:rPr>
          <w:noProof/>
        </w:rPr>
        <w:t>Член 4, параграф 2 се заменя със следното:</w:t>
      </w:r>
    </w:p>
    <w:p>
      <w:pPr>
        <w:spacing w:before="100" w:after="100"/>
        <w:ind w:left="850"/>
        <w:rPr>
          <w:noProof/>
          <w:szCs w:val="24"/>
        </w:rPr>
      </w:pPr>
      <w:r>
        <w:rPr>
          <w:noProof/>
        </w:rPr>
        <w:t>„Гражданите на Бразилия, които притежават валиден дипломатически, служебен или официален паспорт, могат да останат на територията на държавите членки, прилагащи изцяло достиженията на правото от Шенген, за период до 90 дни в рамките на всеки период от 180 дни. Този срок се изчислява независимо от пребиваването в държава членка, която все още не прилага изцяло достиженията на правото от Шенген.</w:t>
      </w:r>
    </w:p>
    <w:p>
      <w:pPr>
        <w:spacing w:before="100" w:after="100"/>
        <w:ind w:left="850"/>
        <w:rPr>
          <w:noProof/>
          <w:szCs w:val="24"/>
        </w:rPr>
      </w:pPr>
      <w:r>
        <w:rPr>
          <w:noProof/>
        </w:rPr>
        <w:t>Гражданите на Бразилия, които притежават валиден дипломатически, служебен или официален паспорт,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numPr>
          <w:ilvl w:val="0"/>
          <w:numId w:val="1"/>
        </w:numPr>
        <w:spacing w:before="100" w:after="100"/>
        <w:ind w:left="851" w:hanging="851"/>
        <w:rPr>
          <w:noProof/>
        </w:rPr>
      </w:pPr>
      <w:r>
        <w:rPr>
          <w:noProof/>
        </w:rPr>
        <w:t>В член 4, параграф 3 думите „три месеца“ се заменят с думите „90 дни“.</w:t>
      </w:r>
    </w:p>
    <w:p>
      <w:pPr>
        <w:pStyle w:val="Point0number"/>
        <w:numPr>
          <w:ilvl w:val="0"/>
          <w:numId w:val="1"/>
        </w:numPr>
        <w:spacing w:before="100" w:after="100"/>
        <w:rPr>
          <w:noProof/>
        </w:rPr>
      </w:pPr>
      <w:r>
        <w:rPr>
          <w:noProof/>
        </w:rPr>
        <w:t>Последното изречение в член 8, параграф 4 се заменя със следното:</w:t>
      </w:r>
    </w:p>
    <w:p>
      <w:pPr>
        <w:pStyle w:val="CM4"/>
        <w:spacing w:before="100" w:after="10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w:t>
      </w:r>
    </w:p>
    <w:p>
      <w:pPr>
        <w:pStyle w:val="Titrearticle"/>
        <w:spacing w:before="100" w:after="100"/>
        <w:rPr>
          <w:noProof/>
        </w:rPr>
      </w:pPr>
      <w:r>
        <w:rPr>
          <w:noProof/>
        </w:rPr>
        <w:t>Член 2</w:t>
      </w:r>
    </w:p>
    <w:p>
      <w:pPr>
        <w:spacing w:before="100" w:after="100"/>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spacing w:before="100" w:after="100"/>
        <w:rPr>
          <w:noProof/>
          <w:szCs w:val="24"/>
        </w:rPr>
      </w:pPr>
    </w:p>
    <w:p>
      <w:pPr>
        <w:spacing w:before="100" w:after="100"/>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spacing w:before="100" w:after="100"/>
        <w:rPr>
          <w:noProof/>
          <w:szCs w:val="24"/>
        </w:rPr>
      </w:pPr>
    </w:p>
    <w:p>
      <w:pPr>
        <w:spacing w:before="100" w:after="100"/>
        <w:rPr>
          <w:noProof/>
          <w:szCs w:val="24"/>
        </w:rPr>
      </w:pPr>
      <w:r>
        <w:rPr>
          <w:noProof/>
        </w:rPr>
        <w:t>За Европейския съюз</w:t>
      </w:r>
    </w:p>
    <w:p>
      <w:pPr>
        <w:spacing w:before="100" w:after="100"/>
        <w:rPr>
          <w:noProof/>
          <w:szCs w:val="24"/>
        </w:rPr>
      </w:pPr>
    </w:p>
    <w:p>
      <w:pPr>
        <w:spacing w:before="100" w:after="100"/>
        <w:rPr>
          <w:noProof/>
          <w:szCs w:val="24"/>
        </w:rPr>
      </w:pPr>
    </w:p>
    <w:p>
      <w:pPr>
        <w:spacing w:before="100" w:after="100"/>
        <w:rPr>
          <w:noProof/>
        </w:rPr>
      </w:pPr>
      <w:r>
        <w:rPr>
          <w:noProof/>
        </w:rPr>
        <w:t>За Федеративна република Бразилия</w:t>
      </w:r>
      <w:r>
        <w:rPr>
          <w:noProof/>
        </w:rPr>
        <w:br w:type="page"/>
      </w:r>
    </w:p>
    <w:p>
      <w:pPr>
        <w:rPr>
          <w:b/>
          <w:noProof/>
          <w:szCs w:val="24"/>
        </w:rPr>
      </w:pPr>
      <w:r>
        <w:rPr>
          <w:b/>
          <w:noProof/>
        </w:rPr>
        <w:lastRenderedPageBreak/>
        <w:t>СЪВМЕСТНА ДЕКЛАРАЦИЯ, ОТНАСЯЩА СЕ ДО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Бразилия, от друга страна, незабавно да изменят съществуващите двустранни споразумения за премахване на визите за краткосрочно пребиваване за притежателите на дипломатически, служебни или официални паспорти в съответствие с условията на настоящото споразумение.</w:t>
      </w:r>
    </w:p>
    <w:p>
      <w:pPr>
        <w:rPr>
          <w:b/>
          <w:noProof/>
        </w:rPr>
      </w:pPr>
      <w:r>
        <w:rPr>
          <w:b/>
          <w:noProof/>
        </w:rPr>
        <w:t>СЪВМЕСТНА ДЕКЛАРАЦИЯ ОТНОСНО ТЪЛКУВАНЕТО НА 90 ДНИ В РАМКИТЕ НА ВСЕКИ 180-ДНЕВЕН ПЕРИОД</w:t>
      </w:r>
    </w:p>
    <w:p>
      <w:pPr>
        <w:rPr>
          <w:rFonts w:cs="EUAlbertina"/>
          <w:noProof/>
          <w:color w:val="000000"/>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19: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D1259BB-9F9F-4685-8541-282D45B43242"/>
    <w:docVar w:name="LW_COVERPAGE_TYPE" w:val="1"/>
    <w:docVar w:name="LW_CROSSREFERENCE" w:val="&lt;UNUSED&gt;"/>
    <w:docVar w:name="LW_DocType" w:val="ANNEX"/>
    <w:docVar w:name="LW_EMISSION" w:val="11.4.2018"/>
    <w:docVar w:name="LW_EMISSION_ISODATE" w:val="2018-04-1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_x000b_"/>
    <w:docVar w:name="LW_OBJETACTEPRINCIPAL.CP"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_x000b_"/>
    <w:docVar w:name="LW_PART_NBR" w:val="1"/>
    <w:docVar w:name="LW_PART_NBR_TOTAL" w:val="1"/>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88?\u1077?\u1096?\u1077?\u1085?\u1080?\u1077? \u1085?\u1072? \u1057?\u1098?\u1074?\u1077?\u1090?\u1072?"/>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45B9-2374-44EF-A57F-AF282048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862</Words>
  <Characters>5142</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2018-04-03T12:25:00Z</dcterms:created>
  <dcterms:modified xsi:type="dcterms:W3CDTF">2018-04-04T10:19:00Z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