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EB154A-480C-42B6-A369-B5417B1A3AE0"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noProof/>
        </w:rPr>
        <w:t xml:space="preserve"> (Кодекс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i/>
          <w:noProof/>
        </w:rPr>
        <w:t>.</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споразуменията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На 31 октомври 2017 г. преговорите с Бразилия приключиха успешно с парафирането на споразуменията за изменение на двете споразумения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и за притежателите на обикновени паспорти. Двете страни се споразумяха да приемат новото определение за „краткосрочно пребиваване“ наред с други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(наричано по-нататък: „споразумението“)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представя на Съвета, за да разреши споразумението да бъде сключено.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w:t>
      </w:r>
      <w:r>
        <w:rPr>
          <w:noProof/>
        </w:rPr>
        <w:lastRenderedPageBreak/>
        <w:t>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Бразилия,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Text1"/>
        <w:ind w:left="0"/>
        <w:rPr>
          <w:noProof/>
        </w:rPr>
      </w:pPr>
      <w:r>
        <w:rPr>
          <w:noProof/>
        </w:rPr>
        <w:t>Настоящото предложение представлява правният инструмент за сключване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получи одобрението на Европейския парламент в съответствие с член 218, параграф 6, втора алинея, буква а) от ДФЕС.</w:t>
      </w:r>
    </w:p>
    <w:p>
      <w:pPr>
        <w:rPr>
          <w:noProof/>
        </w:rPr>
      </w:pP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Съгласно член 77, параграф 2, буква а) от ДФЕС воденето на преговори по споразумения за отмяна на визовия режим е от изключителната компетентност на Съюза. </w:t>
      </w:r>
    </w:p>
    <w:p>
      <w:pPr>
        <w:rPr>
          <w:noProof/>
          <w:u w:color="000000"/>
          <w:bdr w:val="nil"/>
        </w:rPr>
      </w:pPr>
      <w:r>
        <w:rPr>
          <w:noProof/>
        </w:rPr>
        <w:t>Осен това, 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Следователно е необходимо действие на равнище на Съюза.</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постигането на преследваната цел, а именно за изменение на действащото Споразумение между Федеративна република Бразилия и Европейския съюз относно премахването на визите за краткосрочно пребиваване за притежателите на дипломатически, служебни или официални паспорти.</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Бразилия за изменение на споразумението между двете страни относно премахването на визите за краткосрочно пребиваване за притежателите на дипломатически, служебни или официални паспорти.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lastRenderedPageBreak/>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притежаващи валиден дипломатически, служебен или официален паспорт, и за гражданите на Бразилия, притежаващи валиден дипломатически, служебен или официален паспорт,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споразумението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Европейския съюз и Федеративна република Бразилия относно премахването на визите за краткосрочно </w:t>
      </w:r>
      <w:r>
        <w:rPr>
          <w:noProof/>
        </w:rPr>
        <w:lastRenderedPageBreak/>
        <w:t xml:space="preserve">пребиваване за притежателите на дипломатически, служебни или официални паспорти остават незасегнати от споразумението,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след като получи одобрението на Европейския парламент, да одобри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w:t>
      </w:r>
      <w:r>
        <w:rPr>
          <w:noProof/>
        </w:rPr>
        <w:tab/>
      </w:r>
    </w:p>
    <w:p>
      <w:pPr>
        <w:pStyle w:val="Rfrenceinterinstitutionnelle"/>
        <w:rPr>
          <w:noProof/>
        </w:rPr>
      </w:pPr>
      <w:r>
        <w:rPr>
          <w:noProof/>
        </w:rPr>
        <w:lastRenderedPageBreak/>
        <w:t>2018/0086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сключването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8"/>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Комисията договори от името на Европейския съюз Споразумение с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(„споразумението“: </w:t>
      </w:r>
    </w:p>
    <w:p>
      <w:pPr>
        <w:pStyle w:val="ManualConsidrant"/>
        <w:rPr>
          <w:noProof/>
        </w:rPr>
      </w:pPr>
      <w:r>
        <w:t>(2)</w:t>
      </w:r>
      <w:r>
        <w:tab/>
      </w:r>
      <w:r>
        <w:rPr>
          <w:noProof/>
        </w:rPr>
        <w:t>В съответствие с Решение (EС) 2017/[…] на Съвета споразумението бе подписано.</w:t>
      </w:r>
    </w:p>
    <w:p>
      <w:pPr>
        <w:pStyle w:val="ManualConsidrant"/>
        <w:rPr>
          <w:noProof/>
        </w:rPr>
      </w:pPr>
      <w:r>
        <w:t>(3)</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(4)</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(5)</w:t>
      </w:r>
      <w:r>
        <w:tab/>
      </w:r>
      <w:r>
        <w:rPr>
          <w:noProof/>
        </w:rPr>
        <w:t>Споразумението следва да бъде одобрено,</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 xml:space="preserve">Член 2 </w:t>
      </w:r>
    </w:p>
    <w:p>
      <w:pPr>
        <w:keepLines/>
        <w:rPr>
          <w:noProof/>
        </w:rPr>
      </w:pPr>
      <w:r>
        <w:rPr>
          <w:noProof/>
        </w:rPr>
        <w:t>Председателят на Съвета извършва нотификацията, предвидена в член 2 от споразумението, от името на Съюза</w:t>
      </w:r>
      <w:r>
        <w:rPr>
          <w:rStyle w:val="FootnoteReference"/>
          <w:noProof/>
        </w:rPr>
        <w:footnoteReference w:id="21"/>
      </w:r>
      <w:r>
        <w:rPr>
          <w:noProof/>
        </w:rPr>
        <w:t>.</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tab/>
        <w:t>ОВ L 105, 13.4.2006 г., стр. 1.</w:t>
      </w:r>
    </w:p>
  </w:footnote>
  <w:footnote w:id="5">
    <w:p>
      <w:pPr>
        <w:pStyle w:val="FootnoteText"/>
        <w:rPr>
          <w:lang w:val="pl-PL"/>
        </w:rPr>
      </w:pPr>
      <w:r>
        <w:rPr>
          <w:rStyle w:val="FootnoteReference"/>
        </w:rPr>
        <w:footnoteRef/>
      </w:r>
      <w:r>
        <w:tab/>
        <w:t>ОВ L 243, 15.9.2009 г., стр. 1.</w:t>
      </w:r>
    </w:p>
  </w:footnote>
  <w:footnote w:id="6">
    <w:p>
      <w:pPr>
        <w:pStyle w:val="FootnoteText"/>
        <w:rPr>
          <w:lang w:val="pl-PL"/>
        </w:rPr>
      </w:pPr>
      <w:r>
        <w:rPr>
          <w:rStyle w:val="FootnoteReference"/>
        </w:rPr>
        <w:footnoteRef/>
      </w:r>
      <w:r>
        <w:tab/>
        <w:t>ОВ L 081, 21.3.2001 г., стр. 1.</w:t>
      </w:r>
    </w:p>
  </w:footnote>
  <w:footnote w:id="7">
    <w:p>
      <w:pPr>
        <w:pStyle w:val="FootnoteText"/>
        <w:rPr>
          <w:lang w:val="pl-PL"/>
        </w:rPr>
      </w:pPr>
      <w:r>
        <w:rPr>
          <w:rStyle w:val="FootnoteReference"/>
        </w:rPr>
        <w:footnoteRef/>
      </w:r>
      <w:r>
        <w:tab/>
        <w:t>OВ L 169, 30.6.2009 г., стр. 1.</w:t>
      </w:r>
    </w:p>
  </w:footnote>
  <w:footnote w:id="8">
    <w:p>
      <w:pPr>
        <w:pStyle w:val="FootnoteText"/>
      </w:pPr>
      <w:r>
        <w:rPr>
          <w:rStyle w:val="FootnoteReference"/>
        </w:rPr>
        <w:footnoteRef/>
      </w:r>
      <w:r>
        <w:tab/>
        <w:t>OВ L 169, 30.6.2009 г., стр. 23.</w:t>
      </w:r>
    </w:p>
  </w:footnote>
  <w:footnote w:id="9">
    <w:p>
      <w:pPr>
        <w:pStyle w:val="FootnoteText"/>
      </w:pPr>
      <w:r>
        <w:rPr>
          <w:rStyle w:val="FootnoteReference"/>
        </w:rPr>
        <w:footnoteRef/>
      </w:r>
      <w:r>
        <w:tab/>
        <w:t>OВ L 169, 30.6.2009 г., стр. 9.</w:t>
      </w:r>
    </w:p>
  </w:footnote>
  <w:footnote w:id="10">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1">
    <w:p>
      <w:pPr>
        <w:pStyle w:val="FootnoteText"/>
      </w:pPr>
      <w:r>
        <w:rPr>
          <w:rStyle w:val="FootnoteReference"/>
        </w:rPr>
        <w:footnoteRef/>
      </w:r>
      <w:r>
        <w:tab/>
        <w:t>OВ L 169, 30.6.2009 г., стр. 16.</w:t>
      </w:r>
    </w:p>
  </w:footnote>
  <w:footnote w:id="12">
    <w:p>
      <w:pPr>
        <w:pStyle w:val="FootnoteText"/>
      </w:pPr>
      <w:r>
        <w:rPr>
          <w:rStyle w:val="FootnoteReference"/>
        </w:rPr>
        <w:footnoteRef/>
      </w:r>
      <w:r>
        <w:tab/>
        <w:t>OВ L 169, 30.6.2009 г., стр. 37.</w:t>
      </w:r>
    </w:p>
  </w:footnote>
  <w:footnote w:id="13">
    <w:p>
      <w:pPr>
        <w:pStyle w:val="FootnoteText"/>
      </w:pPr>
      <w:r>
        <w:rPr>
          <w:rStyle w:val="FootnoteReference"/>
        </w:rPr>
        <w:footnoteRef/>
      </w:r>
      <w:r>
        <w:tab/>
        <w:t>OВ L 169, 30.6.2009 г., стр. 30.</w:t>
      </w:r>
    </w:p>
  </w:footnote>
  <w:footnote w:id="14">
    <w:p>
      <w:pPr>
        <w:pStyle w:val="FootnoteText"/>
      </w:pPr>
      <w:r>
        <w:rPr>
          <w:rStyle w:val="FootnoteReference"/>
        </w:rPr>
        <w:footnoteRef/>
      </w:r>
      <w:r>
        <w:tab/>
        <w:t>Вж. разпоредбите за „Цел“ и „Продължителност на престоя“ в споразуменията.</w:t>
      </w:r>
    </w:p>
  </w:footnote>
  <w:footnote w:id="15">
    <w:p>
      <w:pPr>
        <w:pStyle w:val="FootnoteText"/>
      </w:pPr>
      <w:r>
        <w:rPr>
          <w:rStyle w:val="FootnoteReference"/>
        </w:rPr>
        <w:footnoteRef/>
      </w:r>
      <w:r>
        <w:tab/>
        <w:t>COM(2014) 468 final.</w:t>
      </w:r>
    </w:p>
  </w:footnote>
  <w:footnote w:id="16">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7">
    <w:p>
      <w:pPr>
        <w:pStyle w:val="FootnoteText"/>
      </w:pPr>
      <w:r>
        <w:rPr>
          <w:rStyle w:val="FootnoteReference"/>
        </w:rPr>
        <w:footnoteRef/>
      </w:r>
      <w:r>
        <w:tab/>
        <w:t>COM(2016) 194 final.</w:t>
      </w:r>
    </w:p>
  </w:footnote>
  <w:footnote w:id="18">
    <w:p>
      <w:pPr>
        <w:pStyle w:val="FootnoteText"/>
      </w:pPr>
      <w:r>
        <w:rPr>
          <w:rStyle w:val="FootnoteReference"/>
        </w:rPr>
        <w:footnoteRef/>
      </w:r>
      <w:r>
        <w:tab/>
        <w:t>Одобрение, дадено на […] г.</w:t>
      </w:r>
    </w:p>
  </w:footnote>
  <w:footnote w:id="19">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20">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21">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15: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EB154A-480C-42B6-A369-B5417B1A3AE0"/>
    <w:docVar w:name="LW_COVERPAGE_TYPE" w:val="1"/>
    <w:docVar w:name="LW_CROSSREFERENCE" w:val="&lt;UNUSED&gt;"/>
    <w:docVar w:name="LW_DocType" w:val="COM"/>
    <w:docVar w:name="LW_EMISSION" w:val="11.4.2018"/>
    <w:docVar w:name="LW_EMISSION_ISODATE" w:val="2018-04-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6"/>
    <w:docVar w:name="LW_REF.II.NEW.CP_YEAR" w:val="2018"/>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3250-2CB6-46E7-9C4C-ECE46028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1860</Words>
  <Characters>11446</Characters>
  <Application>Microsoft Office Word</Application>
  <DocSecurity>0</DocSecurity>
  <Lines>215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2018-03-27T09:01:00Z</dcterms:created>
  <dcterms:modified xsi:type="dcterms:W3CDTF">2018-04-04T10:15:00Z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