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C228E32-A73D-4156-B4A9-A4FED1227EA0" style="width:450.75pt;height:293.2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lang w:val="bg-BG"/>
        </w:rPr>
      </w:pPr>
      <w:bookmarkStart w:id="1" w:name="_GoBack"/>
      <w:bookmarkEnd w:id="1"/>
      <w:r>
        <w:rPr>
          <w:noProof/>
          <w:lang w:val="bg-BG"/>
        </w:rPr>
        <w:lastRenderedPageBreak/>
        <w:t>ВЪВЕДЕНИЕ</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lang w:val="bg-BG"/>
        </w:rPr>
      </w:pP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bg-BG"/>
        </w:rPr>
      </w:pPr>
      <w:r>
        <w:rPr>
          <w:rFonts w:ascii="Times New Roman" w:hAnsi="Times New Roman"/>
          <w:noProof/>
          <w:color w:val="000000"/>
          <w:sz w:val="24"/>
          <w:lang w:val="bg-BG"/>
        </w:rPr>
        <w:t>В съобщението си от 21 декември 2016 г. (наричано по-нататък „Съобщението относно управлението“)</w:t>
      </w:r>
      <w:r>
        <w:rPr>
          <w:rFonts w:ascii="Times New Roman" w:hAnsi="Times New Roman"/>
          <w:noProof/>
          <w:color w:val="000000"/>
          <w:sz w:val="24"/>
          <w:vertAlign w:val="superscript"/>
          <w:lang w:val="bg-BG"/>
        </w:rPr>
        <w:footnoteReference w:id="1"/>
      </w:r>
      <w:r>
        <w:rPr>
          <w:rFonts w:ascii="Times New Roman" w:hAnsi="Times New Roman"/>
          <w:noProof/>
          <w:color w:val="000000"/>
          <w:sz w:val="24"/>
          <w:lang w:val="bg-BG"/>
        </w:rPr>
        <w:t xml:space="preserve"> Комисията припомни основната цел на Митническия кодекс на Съюза (МКС)</w:t>
      </w:r>
      <w:r>
        <w:rPr>
          <w:rFonts w:ascii="Times New Roman" w:hAnsi="Times New Roman"/>
          <w:noProof/>
          <w:color w:val="000000"/>
          <w:sz w:val="24"/>
          <w:vertAlign w:val="superscript"/>
          <w:lang w:val="bg-BG"/>
        </w:rPr>
        <w:footnoteReference w:id="2"/>
      </w:r>
      <w:r>
        <w:rPr>
          <w:rFonts w:ascii="Times New Roman" w:hAnsi="Times New Roman"/>
          <w:noProof/>
          <w:color w:val="000000"/>
          <w:sz w:val="24"/>
          <w:lang w:val="bg-BG"/>
        </w:rPr>
        <w:t xml:space="preserve">, а именно </w:t>
      </w:r>
      <w:r>
        <w:rPr>
          <w:rFonts w:ascii="Times New Roman" w:hAnsi="Times New Roman"/>
          <w:b/>
          <w:noProof/>
          <w:color w:val="000000"/>
          <w:sz w:val="24"/>
          <w:lang w:val="bg-BG"/>
        </w:rPr>
        <w:t>да се създадат непрекъснати и ефективни митнически процеси на цялата територия на Съюза чрез впрягане на способностите на цифровите инструменти.</w:t>
      </w:r>
      <w:r>
        <w:rPr>
          <w:rFonts w:ascii="Times New Roman" w:hAnsi="Times New Roman"/>
          <w:noProof/>
          <w:color w:val="000000"/>
          <w:sz w:val="24"/>
          <w:lang w:val="bg-BG"/>
        </w:rPr>
        <w:t xml:space="preserve"> Митниците следва да преминат изцяло към среда без документи на хартиен носител. Целта е да се улесни законната търговия и същевременно да се даде възможност на митническите администрации да гарантират нормативно съответствие.</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bg-BG"/>
        </w:rPr>
      </w:pPr>
      <w:r>
        <w:rPr>
          <w:rFonts w:ascii="Times New Roman" w:hAnsi="Times New Roman"/>
          <w:noProof/>
          <w:color w:val="000000"/>
          <w:sz w:val="24"/>
          <w:lang w:val="bg-BG"/>
        </w:rPr>
        <w:t>В Съобщението относно управлението Комисията открои също така</w:t>
      </w:r>
      <w:r>
        <w:rPr>
          <w:rFonts w:ascii="Times New Roman" w:hAnsi="Times New Roman"/>
          <w:b/>
          <w:noProof/>
          <w:color w:val="000000"/>
          <w:sz w:val="24"/>
          <w:lang w:val="bg-BG"/>
        </w:rPr>
        <w:t xml:space="preserve"> предизвикателствата пред Комисията и държавите членки, свързани с осигуряване на икономически ефективни ИТ решения на цялата територия на ЕС в подкрепа на митническото законодателство на Съюза</w:t>
      </w:r>
      <w:r>
        <w:rPr>
          <w:rFonts w:ascii="Times New Roman" w:hAnsi="Times New Roman"/>
          <w:noProof/>
          <w:color w:val="000000"/>
          <w:sz w:val="24"/>
          <w:lang w:val="bg-BG"/>
        </w:rPr>
        <w:t xml:space="preserve">. В отговор на тези предизвикателства Комисията предложи преглед на архитектурата, управлението и финансирането на митническите информационни мрежи и бази данни и тяхната връзка с други мрежи на ЕС. Tя предложи също така </w:t>
      </w:r>
      <w:r>
        <w:rPr>
          <w:rFonts w:ascii="Times New Roman" w:hAnsi="Times New Roman"/>
          <w:b/>
          <w:noProof/>
          <w:color w:val="000000"/>
          <w:sz w:val="24"/>
          <w:lang w:val="bg-BG"/>
        </w:rPr>
        <w:t>да извърши оценка на добавената стойност и евентуалните дългосрочни ползи от създаването на постоянна структура, която да управлява ИТ инфраструктурата</w:t>
      </w:r>
      <w:r>
        <w:rPr>
          <w:rFonts w:ascii="Times New Roman" w:hAnsi="Times New Roman"/>
          <w:noProof/>
          <w:color w:val="000000"/>
          <w:sz w:val="24"/>
          <w:lang w:val="bg-BG"/>
        </w:rPr>
        <w:t>, в това число да направи разчет на евентуалните полезни взаимодействия със съществуващите агенции, при подготовката на следващата многогодишна финансова рамка.</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bg-BG"/>
        </w:rPr>
      </w:pPr>
      <w:r>
        <w:rPr>
          <w:rFonts w:ascii="Times New Roman" w:hAnsi="Times New Roman"/>
          <w:noProof/>
          <w:color w:val="000000"/>
          <w:sz w:val="24"/>
          <w:lang w:val="bg-BG"/>
        </w:rPr>
        <w:t>Този въпрос бе обсъден от Съвета през 2017 г. и това доведе до заключенията на Съвета от 7 ноември 2017 г., в които Комисията и държавите членки бяха приканени да изпълняват работната програма за МКС в областта на ИТ като първостепенен приоритет и да проучат по-подробно нови подходи за разработване и експлоатация на митническите информационни системи.</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bg-BG"/>
        </w:rPr>
      </w:pPr>
      <w:r>
        <w:rPr>
          <w:rFonts w:ascii="Times New Roman" w:hAnsi="Times New Roman"/>
          <w:noProof/>
          <w:color w:val="000000"/>
          <w:sz w:val="24"/>
          <w:lang w:val="bg-BG"/>
        </w:rPr>
        <w:t>През май 2017 г. обаче Съветът вече беше поканил Комисията да представи доклад</w:t>
      </w:r>
      <w:r>
        <w:rPr>
          <w:rFonts w:ascii="Times New Roman" w:hAnsi="Times New Roman"/>
          <w:noProof/>
          <w:color w:val="000000"/>
          <w:sz w:val="24"/>
          <w:vertAlign w:val="superscript"/>
          <w:lang w:val="bg-BG"/>
        </w:rPr>
        <w:footnoteReference w:id="3"/>
      </w:r>
      <w:r>
        <w:rPr>
          <w:rFonts w:ascii="Times New Roman" w:hAnsi="Times New Roman"/>
          <w:noProof/>
          <w:color w:val="000000"/>
          <w:sz w:val="24"/>
          <w:lang w:val="bg-BG"/>
        </w:rPr>
        <w:t xml:space="preserve"> до края на 2017 г. относно напредъка по оценяването на постоянната структура. Този конкретен призив следва да се разглежда във връзка с останалите призиви на Съвета</w:t>
      </w:r>
      <w:r>
        <w:rPr>
          <w:rFonts w:ascii="Times New Roman" w:hAnsi="Times New Roman"/>
          <w:noProof/>
          <w:color w:val="000000"/>
          <w:sz w:val="24"/>
          <w:vertAlign w:val="superscript"/>
          <w:lang w:val="bg-BG"/>
        </w:rPr>
        <w:footnoteReference w:id="4"/>
      </w:r>
      <w:r>
        <w:rPr>
          <w:rFonts w:ascii="Times New Roman" w:hAnsi="Times New Roman"/>
          <w:noProof/>
          <w:color w:val="000000"/>
          <w:sz w:val="24"/>
          <w:lang w:val="bg-BG"/>
        </w:rPr>
        <w:t xml:space="preserve"> към Комисията и държавите членки за съвместно разработване на всеобхватна стратегия за митнически информационни системи. По-специално Съветът ги приканва:</w:t>
      </w:r>
    </w:p>
    <w:p>
      <w:pPr>
        <w:numPr>
          <w:ilvl w:val="0"/>
          <w:numId w:val="3"/>
        </w:numPr>
        <w:autoSpaceDE w:val="0"/>
        <w:autoSpaceDN w:val="0"/>
        <w:adjustRightInd w:val="0"/>
        <w:spacing w:after="120" w:line="240" w:lineRule="auto"/>
        <w:jc w:val="both"/>
        <w:rPr>
          <w:rFonts w:ascii="Times New Roman" w:eastAsia="Times New Roman" w:hAnsi="Times New Roman" w:cs="Times New Roman"/>
          <w:i/>
          <w:noProof/>
          <w:color w:val="000000"/>
          <w:sz w:val="23"/>
          <w:szCs w:val="23"/>
          <w:lang w:val="bg-BG"/>
        </w:rPr>
      </w:pPr>
      <w:r>
        <w:rPr>
          <w:rFonts w:ascii="Times New Roman" w:hAnsi="Times New Roman"/>
          <w:i/>
          <w:noProof/>
          <w:color w:val="000000"/>
          <w:sz w:val="23"/>
          <w:lang w:val="bg-BG"/>
        </w:rPr>
        <w:t>„да [разработят] стратегия за структурата, развитието и финансирането на митническите ИТ системи, като [отчитат] отговорностите на Комисията и държавите членки при разработването на ИТ системи, необходими за прилагане на законодателството на ЕС“ (до края на 2017 г.);</w:t>
      </w:r>
    </w:p>
    <w:p>
      <w:pPr>
        <w:numPr>
          <w:ilvl w:val="0"/>
          <w:numId w:val="3"/>
        </w:numPr>
        <w:autoSpaceDE w:val="0"/>
        <w:autoSpaceDN w:val="0"/>
        <w:adjustRightInd w:val="0"/>
        <w:spacing w:after="120" w:line="240" w:lineRule="auto"/>
        <w:jc w:val="both"/>
        <w:rPr>
          <w:rFonts w:ascii="Times New Roman" w:eastAsia="Times New Roman" w:hAnsi="Times New Roman" w:cs="Times New Roman"/>
          <w:i/>
          <w:noProof/>
          <w:color w:val="000000"/>
          <w:sz w:val="23"/>
          <w:szCs w:val="23"/>
          <w:lang w:val="bg-BG"/>
        </w:rPr>
      </w:pPr>
      <w:r>
        <w:rPr>
          <w:rFonts w:ascii="Times New Roman" w:hAnsi="Times New Roman"/>
          <w:i/>
          <w:noProof/>
          <w:color w:val="000000"/>
          <w:sz w:val="23"/>
          <w:lang w:val="bg-BG"/>
        </w:rPr>
        <w:t>„да разработят всеобхватна средносрочна и дългосрочна стратегия за митнически ИТ системи, за да се даде възможност за ефективно прилагане на МКС, и да развият изцяло цифрови митници въз основа на добавената стойност на индивидуалните системи, в т.ч. като обмислят използването на постоянна структура за управление на ИТ инфраструктурата, като същевременно вземат под внимание вече разработените или разгърнати ИТ системи“.</w:t>
      </w:r>
    </w:p>
    <w:p>
      <w:pPr>
        <w:spacing w:after="120" w:line="240" w:lineRule="auto"/>
        <w:jc w:val="both"/>
        <w:rPr>
          <w:rFonts w:ascii="Times New Roman" w:eastAsia="Times New Roman" w:hAnsi="Times New Roman" w:cs="Times New Roman"/>
          <w:b/>
          <w:noProof/>
          <w:sz w:val="24"/>
          <w:szCs w:val="20"/>
          <w:lang w:val="bg-BG"/>
        </w:rPr>
      </w:pPr>
      <w:r>
        <w:rPr>
          <w:rFonts w:ascii="Times New Roman" w:hAnsi="Times New Roman"/>
          <w:b/>
          <w:noProof/>
          <w:sz w:val="24"/>
          <w:lang w:val="bg-BG"/>
        </w:rPr>
        <w:t>Настоящият доклад представлява отговорът на Комисията на призива на Съвета да представи доклад за напредъка във връзка с искането му относно „постоянната структура“ и включва разяснение на настоящия подход за работа с цел проследяване на изпълнението на МКС. Освен това той има за цел да предостави информация в полза на предстоящия дебат относно многогодишната финансова рамка, като в него се разглежда връзката на финансирането на равнището на ЕС с разработването и експлоатацията на митническите ИТ системи.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Що се отнася до призива на Съвета да се разработи средносрочна и дългосрочна стратегия за внедряване на митнически ИТ системи, Комисията довършва аналитичната работа, която ще залегне в основата на предложенията ѝ за следващото поколение програми за финансиране, по-специално за покриване на финансирането на равнището на ЕС на дейности, свързани с ИТ за целите на митниците и данъчното облагане. Тази работа ще окаже въздействие върху вариантите за стратегията. Посочените предложения следва да се представят през 2018 г. в контекста на изготвянето на следващата многогодишна финансова рамка. </w:t>
      </w:r>
    </w:p>
    <w:p>
      <w:pPr>
        <w:spacing w:after="120" w:line="240" w:lineRule="auto"/>
        <w:jc w:val="both"/>
        <w:rPr>
          <w:rFonts w:ascii="Times New Roman" w:eastAsia="Times New Roman" w:hAnsi="Times New Roman" w:cs="Times New Roman"/>
          <w:b/>
          <w:noProof/>
          <w:sz w:val="24"/>
          <w:szCs w:val="20"/>
          <w:lang w:val="bg-BG"/>
        </w:rPr>
      </w:pPr>
    </w:p>
    <w:p>
      <w:pPr>
        <w:pStyle w:val="Heading1"/>
        <w:spacing w:after="120"/>
        <w:rPr>
          <w:noProof/>
          <w:lang w:val="bg-BG"/>
        </w:rPr>
      </w:pPr>
      <w:r>
        <w:rPr>
          <w:noProof/>
          <w:lang w:val="bg-BG"/>
        </w:rPr>
        <w:t>МИТНИЧЕСКА УРЕДБА НА ЕС</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ЕС е голям търговски блок, който зависи от свободния поток на стоки към и от митническия съюз в допълнение към свободното движение на тези стоки в рамките на единния пазар. През 2016 г. общият обем на вноса и износа е бил на стойност около 3,5 трилиона евро, което подчертава важността на търговията и на безпроблемното функциониране на митническия съюз за просперитета на ЕС. Този обем е оформен с близо 300 милиона декларации за внос и износ (ЕАД — единен административен документ). </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Времето, отделяно за обработване на стоките на митница, и скоростта и надеждността на това обработване са изключително важни фактори за производителността и конкурентоспособността. В тази връзка проучвания сочат, че съкращаване на времето за преминаване и обработка на митница с 10 % може да доведе до ръст в търговията в размер между 2,5 % и 5 %, което подчертава важността на добре проектираните и бързи процеси за митнически контрол.</w:t>
      </w:r>
      <w:r>
        <w:rPr>
          <w:rFonts w:ascii="Times New Roman" w:hAnsi="Times New Roman"/>
          <w:noProof/>
          <w:sz w:val="24"/>
          <w:vertAlign w:val="superscript"/>
          <w:lang w:val="bg-BG"/>
        </w:rPr>
        <w:t xml:space="preserve"> </w:t>
      </w:r>
      <w:r>
        <w:rPr>
          <w:rFonts w:ascii="Times New Roman" w:hAnsi="Times New Roman"/>
          <w:noProof/>
          <w:sz w:val="24"/>
          <w:vertAlign w:val="superscript"/>
          <w:lang w:val="bg-BG"/>
        </w:rPr>
        <w:footnoteReference w:id="5"/>
      </w:r>
      <w:r>
        <w:rPr>
          <w:rFonts w:ascii="Times New Roman" w:hAnsi="Times New Roman"/>
          <w:noProof/>
          <w:sz w:val="24"/>
          <w:vertAlign w:val="superscript"/>
          <w:lang w:val="bg-BG"/>
        </w:rPr>
        <w:t xml:space="preserve"> </w:t>
      </w:r>
      <w:r>
        <w:rPr>
          <w:rFonts w:ascii="Times New Roman" w:hAnsi="Times New Roman"/>
          <w:noProof/>
          <w:sz w:val="24"/>
          <w:vertAlign w:val="superscript"/>
          <w:lang w:val="bg-BG"/>
        </w:rPr>
        <w:footnoteReference w:id="6"/>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ЕС вече се намира в силна позиция благодарение на общите усилия през годините за укрепване и модернизиране на митническите процеси. Текущата работа по МКС и неговото прилагане има за цел да увеличи още повече силата на ЕС в тази област.</w:t>
      </w:r>
    </w:p>
    <w:p>
      <w:pPr>
        <w:spacing w:after="120" w:line="240" w:lineRule="auto"/>
        <w:jc w:val="both"/>
        <w:rPr>
          <w:rFonts w:ascii="Times New Roman" w:eastAsia="Times New Roman" w:hAnsi="Times New Roman" w:cs="Times New Roman"/>
          <w:noProof/>
          <w:sz w:val="24"/>
          <w:szCs w:val="20"/>
          <w:lang w:val="bg-BG"/>
        </w:rPr>
      </w:pPr>
    </w:p>
    <w:p>
      <w:pPr>
        <w:spacing w:after="120" w:line="240" w:lineRule="auto"/>
        <w:jc w:val="both"/>
        <w:rPr>
          <w:rFonts w:ascii="Times New Roman" w:eastAsia="Times New Roman" w:hAnsi="Times New Roman" w:cs="Times New Roman"/>
          <w:noProof/>
          <w:sz w:val="24"/>
          <w:szCs w:val="20"/>
          <w:lang w:val="bg-BG"/>
        </w:rPr>
      </w:pPr>
      <w:r>
        <w:rPr>
          <w:noProof/>
          <w:lang w:val="en-US"/>
        </w:rPr>
        <w:drawing>
          <wp:inline distT="0" distB="0" distL="0" distR="0">
            <wp:extent cx="5400675" cy="350507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3505074"/>
                    </a:xfrm>
                    <a:prstGeom prst="rect">
                      <a:avLst/>
                    </a:prstGeom>
                    <a:noFill/>
                    <a:ln>
                      <a:noFill/>
                    </a:ln>
                  </pic:spPr>
                </pic:pic>
              </a:graphicData>
            </a:graphic>
          </wp:inline>
        </w:drawing>
      </w:r>
    </w:p>
    <w:p>
      <w:pPr>
        <w:spacing w:after="120" w:line="240" w:lineRule="auto"/>
        <w:jc w:val="both"/>
        <w:rPr>
          <w:rFonts w:ascii="Times New Roman" w:eastAsia="Times New Roman" w:hAnsi="Times New Roman" w:cs="Times New Roman"/>
          <w:noProof/>
          <w:sz w:val="24"/>
          <w:szCs w:val="20"/>
          <w:lang w:val="bg-BG"/>
        </w:rPr>
      </w:pP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Митническото право на ЕС е кодифицирано в МКС (и свързаните с него актове, подкрепени от Работна програма за ИТ системите</w:t>
      </w:r>
      <w:r>
        <w:rPr>
          <w:rFonts w:ascii="Times New Roman" w:hAnsi="Times New Roman"/>
          <w:noProof/>
          <w:sz w:val="24"/>
          <w:vertAlign w:val="superscript"/>
          <w:lang w:val="bg-BG"/>
        </w:rPr>
        <w:footnoteReference w:id="7"/>
      </w:r>
      <w:r>
        <w:rPr>
          <w:rFonts w:ascii="Times New Roman" w:hAnsi="Times New Roman"/>
          <w:noProof/>
          <w:sz w:val="24"/>
          <w:lang w:val="bg-BG"/>
        </w:rPr>
        <w:t>) и е пряко приложимо в държавите членки, като отразява изключителната компетентност на ЕС в тази област. Митническите органи прилагат едни и същи основни правила и всяка държава членка зависи от останалите при изпълнението на съответната част от задълженията за събиране на приходите и регулаторна защита. Тази взаимозависимост изисква тясно сътрудничество.</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Понастоящем политиката на ЕС относно митническите ИТ системи се основава на Решението за електронните митници</w:t>
      </w:r>
      <w:r>
        <w:rPr>
          <w:rFonts w:ascii="Times New Roman" w:hAnsi="Times New Roman"/>
          <w:noProof/>
          <w:sz w:val="24"/>
          <w:vertAlign w:val="superscript"/>
          <w:lang w:val="bg-BG"/>
        </w:rPr>
        <w:footnoteReference w:id="8"/>
      </w:r>
      <w:r>
        <w:rPr>
          <w:rFonts w:ascii="Times New Roman" w:hAnsi="Times New Roman"/>
          <w:noProof/>
          <w:sz w:val="24"/>
          <w:lang w:val="bg-BG"/>
        </w:rPr>
        <w:t>, прието от Съвета и Европейския парламент през 2008 г., и на разпоредбите на МКС. В Решението за електронните митници се определят основните принципи, съгласно които държавите членки и Комисията работят заедно по разработването, изграждането и експлоатацията на системите в основата на митническите операции. Тези системи обхващат различните митнически процеси, в това число обработката на декларациите, движението на стоките и потоците от информация между администрациите. Те включват и някои общи бази данни.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Именно тази политика за електронните митници бе двигателят зад настоящото състояние на разработване на митническите ИТ системи и тя води настоящото приключване на 17-те различни инициативи, определени в Работната програма за МКС</w:t>
      </w:r>
      <w:r>
        <w:rPr>
          <w:rFonts w:ascii="Times New Roman" w:hAnsi="Times New Roman"/>
          <w:noProof/>
          <w:sz w:val="24"/>
          <w:vertAlign w:val="superscript"/>
          <w:lang w:val="bg-BG"/>
        </w:rPr>
        <w:footnoteReference w:id="9"/>
      </w:r>
      <w:r>
        <w:rPr>
          <w:rFonts w:ascii="Times New Roman" w:hAnsi="Times New Roman"/>
          <w:noProof/>
          <w:sz w:val="24"/>
          <w:lang w:val="bg-BG"/>
        </w:rPr>
        <w:t>. Тя се основава на разбирането, че различните елементи на ИТ системите са разделени на съюзни и несъюзни компоненти, които формират заедно ИТ екосистемата.</w:t>
      </w:r>
    </w:p>
    <w:p>
      <w:pPr>
        <w:pStyle w:val="ListParagraph"/>
        <w:numPr>
          <w:ilvl w:val="0"/>
          <w:numId w:val="12"/>
        </w:numPr>
        <w:spacing w:after="120" w:line="240" w:lineRule="auto"/>
        <w:contextualSpacing w:val="0"/>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Комисията разработва договорените </w:t>
      </w:r>
      <w:r>
        <w:rPr>
          <w:rFonts w:ascii="Times New Roman" w:hAnsi="Times New Roman"/>
          <w:b/>
          <w:noProof/>
          <w:sz w:val="24"/>
          <w:lang w:val="bg-BG"/>
        </w:rPr>
        <w:t>съюзни компоненти</w:t>
      </w:r>
      <w:r>
        <w:rPr>
          <w:rFonts w:ascii="Times New Roman" w:hAnsi="Times New Roman"/>
          <w:noProof/>
          <w:sz w:val="24"/>
          <w:lang w:val="bg-BG"/>
        </w:rPr>
        <w:t>, финансирани по програма „Митници 2020“</w:t>
      </w:r>
      <w:r>
        <w:rPr>
          <w:noProof/>
          <w:vertAlign w:val="superscript"/>
          <w:lang w:val="bg-BG"/>
        </w:rPr>
        <w:footnoteReference w:id="10"/>
      </w:r>
      <w:r>
        <w:rPr>
          <w:rFonts w:ascii="Times New Roman" w:hAnsi="Times New Roman"/>
          <w:noProof/>
          <w:sz w:val="24"/>
          <w:lang w:val="bg-BG"/>
        </w:rPr>
        <w:t xml:space="preserve"> </w:t>
      </w:r>
      <w:r>
        <w:rPr>
          <w:rStyle w:val="FootnoteReference"/>
          <w:noProof/>
          <w:lang w:val="bg-BG"/>
        </w:rPr>
        <w:footnoteReference w:id="11"/>
      </w:r>
      <w:r>
        <w:rPr>
          <w:rFonts w:ascii="Times New Roman" w:hAnsi="Times New Roman"/>
          <w:noProof/>
          <w:sz w:val="24"/>
          <w:lang w:val="bg-BG"/>
        </w:rPr>
        <w:t>. Тези съюзни компоненти могат да бъдат изградени в централизиран модел, управляван от Комисията, или да се използват в разпределени системи, управлявани от държавите членки. Комуникацията между системите на територията на Съюза се осигурява чрез съюзния мрежови компонент, известен с името CCN/CSI (обща комуникационна мрежа/общ системен интерфейс). Трансевропейските и централните системи, управлявани от Комисията във връзка с митническия съюз, се състоят от около 30 взаимосвързани системи, за които от ключово значение са сигурността и ефективността на работата. През 2017 г. са разменени около 500 милиона съобщения в системите, функциониращи с над 99 % наличност и при годишни разходи на стойност 70 милиона евро и осигуряващи поддръжка на бързите митнически процеси, необходими за подкрепа на търговията.</w:t>
      </w:r>
    </w:p>
    <w:p>
      <w:pPr>
        <w:pStyle w:val="ListParagraph"/>
        <w:numPr>
          <w:ilvl w:val="0"/>
          <w:numId w:val="12"/>
        </w:numPr>
        <w:spacing w:after="120" w:line="240" w:lineRule="auto"/>
        <w:jc w:val="both"/>
        <w:rPr>
          <w:rFonts w:ascii="Times New Roman" w:eastAsia="Times New Roman" w:hAnsi="Times New Roman" w:cs="Times New Roman"/>
          <w:noProof/>
          <w:sz w:val="24"/>
          <w:szCs w:val="20"/>
          <w:lang w:val="bg-BG"/>
        </w:rPr>
      </w:pPr>
      <w:r>
        <w:rPr>
          <w:rFonts w:ascii="Times New Roman" w:hAnsi="Times New Roman"/>
          <w:b/>
          <w:noProof/>
          <w:sz w:val="24"/>
          <w:lang w:val="bg-BG"/>
        </w:rPr>
        <w:t>Несъюзните компоненти</w:t>
      </w:r>
      <w:r>
        <w:rPr>
          <w:rFonts w:ascii="Times New Roman" w:hAnsi="Times New Roman"/>
          <w:noProof/>
          <w:sz w:val="24"/>
          <w:lang w:val="bg-BG"/>
        </w:rPr>
        <w:t xml:space="preserve"> се разработват и управляват от държавите членки, които осигуряват и финансирането за тях. Тук се включват естествените елементи на разпределените системи, разработени на равнището на ЕС.  Тези компоненти трябва да бъдат в съответствие с правните разпоредби на МКС.</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На основата на тази рамка </w:t>
      </w:r>
      <w:r>
        <w:rPr>
          <w:rFonts w:ascii="Times New Roman" w:hAnsi="Times New Roman"/>
          <w:b/>
          <w:noProof/>
          <w:sz w:val="24"/>
          <w:lang w:val="bg-BG"/>
        </w:rPr>
        <w:t>с годините бе изградена една сложна ИТ екосистема</w:t>
      </w:r>
      <w:r>
        <w:rPr>
          <w:rFonts w:ascii="Times New Roman" w:hAnsi="Times New Roman"/>
          <w:noProof/>
          <w:sz w:val="24"/>
          <w:lang w:val="bg-BG"/>
        </w:rPr>
        <w:t>.</w:t>
      </w:r>
      <w:r>
        <w:rPr>
          <w:rFonts w:ascii="Times New Roman" w:eastAsia="Times New Roman" w:hAnsi="Times New Roman" w:cs="Times New Roman"/>
          <w:noProof/>
          <w:sz w:val="24"/>
          <w:szCs w:val="20"/>
          <w:lang w:val="bg-BG"/>
        </w:rPr>
        <w:br/>
      </w:r>
      <w:r>
        <w:rPr>
          <w:rFonts w:ascii="Times New Roman" w:hAnsi="Times New Roman"/>
          <w:noProof/>
          <w:sz w:val="24"/>
          <w:lang w:val="bg-BG"/>
        </w:rPr>
        <w:t>Тя е достигнала зрялост, пригодна е за предназначението си и разчита на достатъчни ресурси на равнището на ЕС за съюзните компоненти, от които зависят държавите членки. Освен това тя разчита на финансиране от държавите членки за техните части от екосистемата, по-специално за несъюзните компоненти.</w:t>
      </w:r>
    </w:p>
    <w:p>
      <w:pPr>
        <w:pStyle w:val="Heading1"/>
        <w:spacing w:after="120"/>
        <w:rPr>
          <w:noProof/>
          <w:lang w:val="bg-BG"/>
        </w:rPr>
      </w:pPr>
      <w:r>
        <w:rPr>
          <w:noProof/>
          <w:lang w:val="bg-BG"/>
        </w:rPr>
        <w:t>ПРЕДИЗВИКАТЕЛСТВАТА</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Въпреки че информационните технологии се използват широко за целите на митническите процеси, МКС представлява качествена промяна в интеграцията и потенциалното повишаване на ефективността. Това се дължи на едновременното опростяване и цифровизация на процесите, което е необходимо за подпомагане на пълната интеграция на митниците на територията на ЕС. Освен това внедряването е свързано с разходи, които трябва да бъдат сравнени с ползите, когато се взема решение за оптималните механизми на работа.</w:t>
      </w:r>
    </w:p>
    <w:p>
      <w:pPr>
        <w:pStyle w:val="Heading2"/>
        <w:ind w:hanging="840"/>
        <w:rPr>
          <w:noProof/>
          <w:lang w:val="bg-BG"/>
        </w:rPr>
      </w:pPr>
      <w:r>
        <w:rPr>
          <w:noProof/>
          <w:lang w:val="bg-BG"/>
        </w:rPr>
        <w:t>Управление и архитектура</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Управлението на свързаната с информационните технологии работа се осъществява от редица взаимодействащи си органи с участието на Комисията, държавите членки и образувания, представляващи търговските интереси, по-специално групата за митническа политика (CPG), координационната група за електронни митници (ECCG), контактната група по търговията (TCG), групата по стопанска политика (BCG), координационната група за прилагане на стратегията за управление на риска (RIMSCO) и комитета на програмата „Митници 2020“.</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В хода на прилагането на МКС бе установено, че процесът на разработване и внедряване на митническите ИТ системи на територията на ЕС изисква време и усилия. Естеството на задачата е видно от </w:t>
      </w:r>
      <w:r>
        <w:rPr>
          <w:rFonts w:ascii="Times New Roman" w:hAnsi="Times New Roman"/>
          <w:noProof/>
          <w:sz w:val="24"/>
          <w:u w:val="single"/>
          <w:lang w:val="bg-BG"/>
        </w:rPr>
        <w:t>различните хибридни мерки</w:t>
      </w:r>
      <w:r>
        <w:rPr>
          <w:rFonts w:ascii="Times New Roman" w:hAnsi="Times New Roman"/>
          <w:noProof/>
          <w:sz w:val="24"/>
          <w:lang w:val="bg-BG"/>
        </w:rPr>
        <w:t>, при които някои държави членки избират да разгърнат местни версии на централните системи (често водени от съображения, свързани с взаимодействието с национални системи и приоритети) или настояват ЕС да разработи общи решения за несъюзните компоненти, които да бъдат приложени единствено от тези държави членки (често водени от съображения, свързани с разходите).</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Стремежът на МКС към още по-високо равнище на интеграция и оперативна съвместимост на митническите ИТ системи, в това число </w:t>
      </w:r>
      <w:r>
        <w:rPr>
          <w:rFonts w:ascii="Times New Roman" w:hAnsi="Times New Roman"/>
          <w:b/>
          <w:noProof/>
          <w:sz w:val="24"/>
          <w:lang w:val="bg-BG"/>
        </w:rPr>
        <w:t>засилване на стандартизацията на елементите на данните и процесите</w:t>
      </w:r>
      <w:r>
        <w:rPr>
          <w:rFonts w:ascii="Times New Roman" w:hAnsi="Times New Roman"/>
          <w:noProof/>
          <w:sz w:val="24"/>
          <w:lang w:val="bg-BG"/>
        </w:rPr>
        <w:t xml:space="preserve"> за ИТ системите, усложнява предизвикателството, свързано с изпълнението. В тази връзка не съществува структурен механизъм за подпомагане на изпитващите затруднения държави членки в усилията им, свързани с изпълнението.</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Дългосрочните решения за удовлетворяване на потребностите на митниците ще трябва да бъдат съобразени със стремежа към още по-широка оперативна съвместимост сред държавните служби, за да се реализират всички предимства, които се очакват от усъвършенстваните методи за анализ на данни.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b/>
          <w:noProof/>
          <w:sz w:val="24"/>
          <w:lang w:val="bg-BG"/>
        </w:rPr>
        <w:t>Този все по-засилващ се многосекторен подход към бъдещата политика в областта на информационните технологии се подкрепя от Програмата в областта на цифровите технологии</w:t>
      </w:r>
      <w:r>
        <w:rPr>
          <w:rStyle w:val="FootnoteReference"/>
          <w:rFonts w:ascii="Times New Roman" w:hAnsi="Times New Roman"/>
          <w:b/>
          <w:noProof/>
          <w:sz w:val="24"/>
          <w:lang w:val="bg-BG"/>
        </w:rPr>
        <w:footnoteReference w:id="12"/>
      </w:r>
      <w:r>
        <w:rPr>
          <w:rFonts w:ascii="Times New Roman" w:hAnsi="Times New Roman"/>
          <w:b/>
          <w:noProof/>
          <w:sz w:val="24"/>
          <w:lang w:val="bg-BG"/>
        </w:rPr>
        <w:t xml:space="preserve"> с оглед споделяне на общи ИТ услуги и решения.  </w:t>
      </w:r>
      <w:r>
        <w:rPr>
          <w:rFonts w:ascii="Times New Roman" w:hAnsi="Times New Roman"/>
          <w:noProof/>
          <w:sz w:val="24"/>
          <w:lang w:val="bg-BG"/>
        </w:rPr>
        <w:t xml:space="preserve">Управлението и архитектурата ще трябва също така да се адаптират към постоянното и бързо развитие на технологиите, като „блок-веригата“ и други иновации, които може да окажат съществено въздействие върху формата на ИТ структурите, които ще се изграждат в дългосрочен план, и върху оптималните механизми на работа.  </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Поради тази причина процесите на управление трябва да функционират в рамките на </w:t>
      </w:r>
      <w:r>
        <w:rPr>
          <w:rFonts w:ascii="Times New Roman" w:hAnsi="Times New Roman"/>
          <w:b/>
          <w:noProof/>
          <w:sz w:val="24"/>
          <w:lang w:val="bg-BG"/>
        </w:rPr>
        <w:t>ясна и приета цялостна архитектура за митническата ИТ екосистема</w:t>
      </w:r>
      <w:r>
        <w:rPr>
          <w:rFonts w:ascii="Times New Roman" w:hAnsi="Times New Roman"/>
          <w:noProof/>
          <w:sz w:val="24"/>
          <w:lang w:val="bg-BG"/>
        </w:rPr>
        <w:t>, тъй като само по този начин може да се гарантира съгласуваност в цялата структура. Именно в тази връзка през 2017 г. в работните групи на Комисията и на Съвета държавите членки изразиха гледните си точки относно бъдещите предизвикателства. В настоящия доклад се отразява информацията, събрана в този период, и се разглежда сегашното състояние.</w:t>
      </w:r>
    </w:p>
    <w:p>
      <w:pPr>
        <w:pStyle w:val="Heading2"/>
        <w:spacing w:after="120"/>
        <w:ind w:hanging="840"/>
        <w:rPr>
          <w:noProof/>
          <w:lang w:val="bg-BG"/>
        </w:rPr>
      </w:pPr>
      <w:r>
        <w:rPr>
          <w:noProof/>
          <w:lang w:val="bg-BG"/>
        </w:rPr>
        <w:t>Въпроси, свързани с финансирането, и ресурси</w:t>
      </w:r>
    </w:p>
    <w:p>
      <w:pPr>
        <w:keepNext/>
        <w:spacing w:before="240" w:after="120" w:line="240" w:lineRule="auto"/>
        <w:ind w:left="1440"/>
        <w:jc w:val="both"/>
        <w:outlineLvl w:val="2"/>
        <w:rPr>
          <w:rFonts w:ascii="Times New Roman" w:eastAsia="Times New Roman" w:hAnsi="Times New Roman" w:cs="Times New Roman"/>
          <w:i/>
          <w:noProof/>
          <w:sz w:val="24"/>
          <w:szCs w:val="20"/>
          <w:lang w:val="bg-BG"/>
        </w:rPr>
      </w:pPr>
      <w:r>
        <w:rPr>
          <w:rFonts w:ascii="Times New Roman" w:hAnsi="Times New Roman"/>
          <w:i/>
          <w:noProof/>
          <w:sz w:val="24"/>
          <w:lang w:val="bg-BG"/>
        </w:rPr>
        <w:t>3.2.1</w:t>
      </w:r>
      <w:r>
        <w:rPr>
          <w:noProof/>
          <w:lang w:val="bg-BG"/>
        </w:rPr>
        <w:tab/>
      </w:r>
      <w:r>
        <w:rPr>
          <w:rFonts w:ascii="Times New Roman" w:hAnsi="Times New Roman"/>
          <w:i/>
          <w:noProof/>
          <w:sz w:val="24"/>
          <w:lang w:val="bg-BG"/>
        </w:rPr>
        <w:t>На равнището на ЕС (съюзни компоненти)</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Разходите за разработването и експлоатацията на ИТ системи може да са високи.  За периода 2015—2020 г. Комисията разполага с бюджет от около 380 милиона евро по програмата „Митници 2020“, което е показателно за обхвата и амбицията на ИТ проектите, свързани с МКС, както и инвестициите, които ЕС вече е направил за изграждане и експлоатиране на ИТ системите, подпомагащи митниците. Комисията използва тези средства в рамките на строго контролирана структура с мрежа от външни изпълнители и споразумения за сътрудничество с държавите членки. Следователно настоящият модел на Комисията е оптимизиран и използва до голяма степен предимствата на управлението на екипи от външни изпълнители.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Средствата се предоставят за разработване на нови системи и за експлоатиране на съществуващите централизирани системи и мрежи, поддържани от специално създадени за техните цели центрове за електронно обработване на данни с участието на централната служба по ИТ на Комисията (ГД „Информатика“) и отговарящата за митническата политика служба на Комисията (ГД „Данъчно облагане и митнически съюз“). </w:t>
      </w:r>
      <w:r>
        <w:rPr>
          <w:rFonts w:ascii="Times New Roman" w:hAnsi="Times New Roman"/>
          <w:b/>
          <w:noProof/>
          <w:sz w:val="24"/>
          <w:lang w:val="bg-BG"/>
        </w:rPr>
        <w:t>Тъй като ролята на ИТ при изпълнението на митническата политика става все по-важна, нараства и значението на централната роля на службите на Комисията както при управлението на централните системи, което е свързано с ежедневни оперативни отговорности в реално време за прилагане на правото на ЕС, така и при координацията на работата на държавите членки.</w:t>
      </w:r>
      <w:r>
        <w:rPr>
          <w:rFonts w:ascii="Times New Roman" w:hAnsi="Times New Roman"/>
          <w:noProof/>
          <w:sz w:val="24"/>
          <w:lang w:val="bg-BG"/>
        </w:rPr>
        <w:t xml:space="preserve"> За да може тази дейност да се осъществява безпроблемно, са необходими достатъчно ресурси и тясно партньорство с държавите членки.</w:t>
      </w:r>
    </w:p>
    <w:p>
      <w:pPr>
        <w:spacing w:after="120" w:line="240" w:lineRule="auto"/>
        <w:jc w:val="both"/>
        <w:rPr>
          <w:rFonts w:ascii="Times New Roman" w:eastAsia="Times New Roman" w:hAnsi="Times New Roman" w:cs="Times New Roman"/>
          <w:noProof/>
          <w:sz w:val="24"/>
          <w:szCs w:val="20"/>
          <w:lang w:val="bg-BG"/>
        </w:rPr>
      </w:pPr>
    </w:p>
    <w:p>
      <w:pPr>
        <w:keepNext/>
        <w:spacing w:before="240" w:after="120" w:line="240" w:lineRule="auto"/>
        <w:ind w:left="1440"/>
        <w:jc w:val="both"/>
        <w:outlineLvl w:val="2"/>
        <w:rPr>
          <w:rFonts w:ascii="Times New Roman" w:eastAsia="Times New Roman" w:hAnsi="Times New Roman" w:cs="Times New Roman"/>
          <w:i/>
          <w:noProof/>
          <w:sz w:val="24"/>
          <w:szCs w:val="20"/>
          <w:lang w:val="bg-BG"/>
        </w:rPr>
      </w:pPr>
      <w:r>
        <w:rPr>
          <w:rFonts w:ascii="Times New Roman" w:hAnsi="Times New Roman"/>
          <w:i/>
          <w:noProof/>
          <w:sz w:val="24"/>
          <w:lang w:val="bg-BG"/>
        </w:rPr>
        <w:t>3.2.2</w:t>
      </w:r>
      <w:r>
        <w:rPr>
          <w:noProof/>
          <w:lang w:val="bg-BG"/>
        </w:rPr>
        <w:tab/>
      </w:r>
      <w:r>
        <w:rPr>
          <w:rFonts w:ascii="Times New Roman" w:hAnsi="Times New Roman"/>
          <w:i/>
          <w:noProof/>
          <w:sz w:val="24"/>
          <w:lang w:val="bg-BG"/>
        </w:rPr>
        <w:t>На равнището на държавите членки (несъюзни компоненти)</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От гледна точка на държавите членки основната тревога е свързана с разходите за дейностите им в областта на информационните технологии. </w:t>
      </w:r>
      <w:r>
        <w:rPr>
          <w:rFonts w:ascii="Times New Roman" w:hAnsi="Times New Roman"/>
          <w:b/>
          <w:noProof/>
          <w:sz w:val="24"/>
          <w:lang w:val="bg-BG"/>
        </w:rPr>
        <w:t>Много държави се опасяват, че тъй като националните компоненти се създават 28 пъти, стойността им за данъкоплатеца е неефективна поради умножаването на необходимите разходи.</w:t>
      </w:r>
      <w:r>
        <w:rPr>
          <w:rFonts w:ascii="Times New Roman" w:hAnsi="Times New Roman"/>
          <w:noProof/>
          <w:sz w:val="24"/>
          <w:lang w:val="bg-BG"/>
        </w:rPr>
        <w:t xml:space="preserve"> За някои държави членки предизвикателството е още по-голямо поради зависимостта им от търговски доставчици, от които не могат да получат най-добрите цени, тъй като не разполагат с достатъчна покупателна способност.</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Освен това възприятията относно финансовите аспекти се различават, тъй като не всички държави членки обработват еднакви обеми внос и износ, което възпрепятства </w:t>
      </w:r>
      <w:r>
        <w:rPr>
          <w:rFonts w:ascii="Times New Roman" w:hAnsi="Times New Roman"/>
          <w:b/>
          <w:noProof/>
          <w:sz w:val="24"/>
          <w:lang w:val="bg-BG"/>
        </w:rPr>
        <w:t>анализа на разходите и ползите</w:t>
      </w:r>
      <w:r>
        <w:rPr>
          <w:rFonts w:ascii="Times New Roman" w:hAnsi="Times New Roman"/>
          <w:noProof/>
          <w:sz w:val="24"/>
          <w:lang w:val="bg-BG"/>
        </w:rPr>
        <w:t xml:space="preserve">, когато се вземат под внимание единствено националните съображения. Освен това, въпреки че всички държави членки получават дял от собствените ресурси от събрани мита (20 %), търговските потоци към и от Съюза обикновено са съсредоточени в няколко местоположения. Така </w:t>
      </w:r>
      <w:r>
        <w:rPr>
          <w:rFonts w:ascii="Times New Roman" w:hAnsi="Times New Roman"/>
          <w:b/>
          <w:noProof/>
          <w:sz w:val="24"/>
          <w:lang w:val="bg-BG"/>
        </w:rPr>
        <w:t>почти 80 % от декларациите за внос се подават само в три държави членки</w:t>
      </w:r>
      <w:r>
        <w:rPr>
          <w:rFonts w:ascii="Times New Roman" w:hAnsi="Times New Roman"/>
          <w:noProof/>
          <w:sz w:val="24"/>
          <w:lang w:val="bg-BG"/>
        </w:rPr>
        <w:t xml:space="preserve">. Това влияе върху логиката, която следват държавите членки. На последно място, но е и по важност, </w:t>
      </w:r>
      <w:r>
        <w:rPr>
          <w:rFonts w:ascii="Times New Roman" w:hAnsi="Times New Roman"/>
          <w:b/>
          <w:noProof/>
          <w:sz w:val="24"/>
          <w:lang w:val="bg-BG"/>
        </w:rPr>
        <w:t>много митнически администрации изтъкват, че не се възползват изцяло от 20-те процента, предназначени за покриване на разходите за събиране на мита.</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Ясно е, че в сравнение със създаването на централна система или дори на разпределени системи, разработени от Комисията в партньорство с държавите членки, </w:t>
      </w:r>
      <w:r>
        <w:rPr>
          <w:rFonts w:ascii="Times New Roman" w:hAnsi="Times New Roman"/>
          <w:b/>
          <w:noProof/>
          <w:sz w:val="24"/>
          <w:lang w:val="bg-BG"/>
        </w:rPr>
        <w:t xml:space="preserve">разходите за отделни и некоординирани дейности, осъществявани от държавите членки, вероятно ще са значително по-високи. </w:t>
      </w:r>
      <w:r>
        <w:rPr>
          <w:rFonts w:ascii="Times New Roman" w:hAnsi="Times New Roman"/>
          <w:noProof/>
          <w:sz w:val="24"/>
          <w:lang w:val="bg-BG"/>
        </w:rPr>
        <w:t xml:space="preserve">Възложени от Комисията проучвания наистина водят до заключението, че ако държавите членки си сътрудничат при разработването, експлоатацията и поддръжката, могат да се реализират значителни икономии, които да достигнат между 35 % и 53 %, когато участват минимум </w:t>
      </w:r>
      <w:r>
        <w:rPr>
          <w:rFonts w:ascii="Times New Roman" w:eastAsia="Times New Roman" w:hAnsi="Times New Roman" w:cs="Times New Roman"/>
          <w:noProof/>
          <w:sz w:val="24"/>
          <w:szCs w:val="20"/>
          <w:lang w:val="bg-BG"/>
        </w:rPr>
        <w:br/>
      </w:r>
      <w:r>
        <w:rPr>
          <w:rFonts w:ascii="Times New Roman" w:hAnsi="Times New Roman"/>
          <w:noProof/>
          <w:sz w:val="24"/>
          <w:lang w:val="bg-BG"/>
        </w:rPr>
        <w:t>десет държави членки</w:t>
      </w:r>
      <w:r>
        <w:rPr>
          <w:rFonts w:ascii="Times New Roman" w:hAnsi="Times New Roman"/>
          <w:noProof/>
          <w:sz w:val="24"/>
          <w:vertAlign w:val="superscript"/>
          <w:lang w:val="bg-BG"/>
        </w:rPr>
        <w:footnoteReference w:id="13"/>
      </w:r>
      <w:r>
        <w:rPr>
          <w:rFonts w:ascii="Times New Roman" w:hAnsi="Times New Roman"/>
          <w:noProof/>
          <w:sz w:val="24"/>
          <w:lang w:val="bg-BG"/>
        </w:rPr>
        <w:t>. Утежняващ фактор е, че държавите членки имат различни бизнес модели за създаване на националните компоненти, а също така се намират в различни позиции по отношение на тежестта на съществуващите системи. Някои държави разполагат със значителен собствен експертен опит в областта на информационните технологии, докато други разчитат повече на външни доставчици.</w:t>
      </w:r>
    </w:p>
    <w:p>
      <w:pPr>
        <w:pStyle w:val="Heading2"/>
        <w:spacing w:after="120"/>
        <w:ind w:hanging="840"/>
        <w:rPr>
          <w:noProof/>
          <w:lang w:val="bg-BG"/>
        </w:rPr>
      </w:pPr>
      <w:r>
        <w:rPr>
          <w:noProof/>
          <w:lang w:val="bg-BG"/>
        </w:rPr>
        <w:t>Ограничения на политиката</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Тези предизвикателства следва да се разглеждат във връзка с</w:t>
      </w:r>
      <w:r>
        <w:rPr>
          <w:rFonts w:ascii="Times New Roman" w:hAnsi="Times New Roman"/>
          <w:b/>
          <w:noProof/>
          <w:sz w:val="24"/>
          <w:lang w:val="bg-BG"/>
        </w:rPr>
        <w:t xml:space="preserve"> необходимостта от незабавно постигане на резултати по отношение на системите и тяхната архитектура, както е предвидено в МКС и свързаната с него работна програма.</w:t>
      </w:r>
      <w:r>
        <w:rPr>
          <w:rFonts w:ascii="Times New Roman" w:eastAsia="Times New Roman" w:hAnsi="Times New Roman" w:cs="Times New Roman"/>
          <w:noProof/>
          <w:sz w:val="24"/>
          <w:szCs w:val="20"/>
          <w:lang w:val="bg-BG"/>
        </w:rPr>
        <w:br/>
      </w:r>
      <w:r>
        <w:rPr>
          <w:rFonts w:ascii="Times New Roman" w:eastAsia="Times New Roman" w:hAnsi="Times New Roman" w:cs="Times New Roman"/>
          <w:noProof/>
          <w:sz w:val="24"/>
          <w:szCs w:val="20"/>
          <w:lang w:val="bg-BG"/>
        </w:rPr>
        <w:br/>
      </w:r>
      <w:r>
        <w:rPr>
          <w:rFonts w:ascii="Times New Roman" w:hAnsi="Times New Roman"/>
          <w:noProof/>
          <w:sz w:val="24"/>
          <w:lang w:val="bg-BG"/>
        </w:rPr>
        <w:t>Въпреки че по-голямата част от работата ще бъде свършена до 2020 г., малък брой нови системи ще започнат да работят след този срок; това се отнася и за някои разширявания и надстройки на съществуващи системи.  За да се осигури завършена и напълно интегрирана структура, обхващаща всички държави членки и системи, тази работа най-вероятно ще продължи до 2025 г.  Това подчертава и необходимостта от подход на поетапно развитие, за да се сведат до минимум рисковете за митническите процеси предвид важността на съществуващата ИТ екосистема за ежедневното функциониране на митническия съюз.  Цялостното настоящо положение във връзка с изпълнението на МКС, в това число относимите ИТ системи и сроковете за завършването им, е разгледано в неотдавнашния доклад на Комисията относно прилагането на Митническия кодекс на Съюза и упражняването на правомощието за приемане на делегирани актове съгласно член 284 от него</w:t>
      </w:r>
      <w:r>
        <w:rPr>
          <w:rStyle w:val="FootnoteReference"/>
          <w:rFonts w:ascii="Times New Roman" w:hAnsi="Times New Roman"/>
          <w:noProof/>
          <w:sz w:val="24"/>
          <w:lang w:val="bg-BG"/>
        </w:rPr>
        <w:footnoteReference w:id="14"/>
      </w:r>
      <w:r>
        <w:rPr>
          <w:noProof/>
          <w:lang w:val="bg-BG"/>
        </w:rPr>
        <w:t>.</w:t>
      </w:r>
    </w:p>
    <w:p>
      <w:pPr>
        <w:pStyle w:val="Heading1"/>
        <w:spacing w:after="120"/>
        <w:jc w:val="both"/>
        <w:rPr>
          <w:noProof/>
          <w:lang w:val="bg-BG"/>
        </w:rPr>
      </w:pPr>
      <w:r>
        <w:rPr>
          <w:noProof/>
          <w:lang w:val="bg-BG"/>
        </w:rPr>
        <w:t>ОСНОВАН НА ИНФОРМАЦИОННИТЕ ТЕХНОЛОГИИ СЦЕНАРИЙ ЗА ИНТЕГРИРАН МИТНИЧЕСКИ СЪЮЗ</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При обсъжданията с държавите членки бе подчертано колко е важно стратегията за ИТ за митниците в ЕС да се основава на виждане за бъдещето и за дългосрочните цели на цифровите митници като основа за текущата работа. </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В реакциите се открои необходимостта митническите органи да предоставят </w:t>
      </w:r>
      <w:r>
        <w:rPr>
          <w:rFonts w:ascii="Times New Roman" w:hAnsi="Times New Roman"/>
          <w:b/>
          <w:noProof/>
          <w:sz w:val="24"/>
          <w:lang w:val="bg-BG"/>
        </w:rPr>
        <w:t>ефективна и ефикасна митническа услуга</w:t>
      </w:r>
      <w:r>
        <w:rPr>
          <w:rFonts w:ascii="Times New Roman" w:hAnsi="Times New Roman"/>
          <w:noProof/>
          <w:sz w:val="24"/>
          <w:lang w:val="bg-BG"/>
        </w:rPr>
        <w:t xml:space="preserve">, като прилагат договорените правила </w:t>
      </w:r>
      <w:r>
        <w:rPr>
          <w:rFonts w:ascii="Times New Roman" w:hAnsi="Times New Roman"/>
          <w:b/>
          <w:noProof/>
          <w:sz w:val="24"/>
          <w:lang w:val="bg-BG"/>
        </w:rPr>
        <w:t>последователно и съгласувано</w:t>
      </w:r>
      <w:r>
        <w:rPr>
          <w:rFonts w:ascii="Times New Roman" w:hAnsi="Times New Roman"/>
          <w:noProof/>
          <w:sz w:val="24"/>
          <w:lang w:val="bg-BG"/>
        </w:rPr>
        <w:t xml:space="preserve"> на цялата територия на Съюза.</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За да се постигне тази цел, при осъществяването на митническия контрол ще трябва да се </w:t>
      </w:r>
      <w:r>
        <w:rPr>
          <w:rFonts w:ascii="Times New Roman" w:hAnsi="Times New Roman"/>
          <w:b/>
          <w:noProof/>
          <w:sz w:val="24"/>
          <w:lang w:val="bg-BG"/>
        </w:rPr>
        <w:t>впрегнат в по-голяма степен възможностите на цифровизацията и потоците от данни, което ще доведе до по-ефективен контрол, основан на риска</w:t>
      </w:r>
      <w:r>
        <w:rPr>
          <w:rFonts w:ascii="Times New Roman" w:hAnsi="Times New Roman"/>
          <w:noProof/>
          <w:sz w:val="24"/>
          <w:lang w:val="bg-BG"/>
        </w:rPr>
        <w:t>.</w:t>
      </w:r>
      <w:r>
        <w:rPr>
          <w:rFonts w:ascii="Times New Roman" w:eastAsia="Times New Roman" w:hAnsi="Times New Roman" w:cs="Times New Roman"/>
          <w:noProof/>
          <w:sz w:val="24"/>
          <w:szCs w:val="20"/>
          <w:lang w:val="bg-BG"/>
        </w:rPr>
        <w:br/>
      </w:r>
      <w:r>
        <w:rPr>
          <w:rFonts w:ascii="Times New Roman" w:hAnsi="Times New Roman"/>
          <w:noProof/>
          <w:sz w:val="24"/>
          <w:lang w:val="bg-BG"/>
        </w:rPr>
        <w:t xml:space="preserve">Това ще даде възможност на </w:t>
      </w:r>
      <w:r>
        <w:rPr>
          <w:rFonts w:ascii="Times New Roman" w:hAnsi="Times New Roman"/>
          <w:b/>
          <w:noProof/>
          <w:sz w:val="24"/>
          <w:lang w:val="bg-BG"/>
        </w:rPr>
        <w:t>митническите органи да съсредоточат ресурсите си</w:t>
      </w:r>
      <w:r>
        <w:rPr>
          <w:rFonts w:ascii="Times New Roman" w:hAnsi="Times New Roman"/>
          <w:noProof/>
          <w:sz w:val="24"/>
          <w:lang w:val="bg-BG"/>
        </w:rPr>
        <w:t xml:space="preserve"> и при интелигентно прилагане </w:t>
      </w:r>
      <w:r>
        <w:rPr>
          <w:rFonts w:ascii="Times New Roman" w:hAnsi="Times New Roman"/>
          <w:b/>
          <w:noProof/>
          <w:sz w:val="24"/>
          <w:lang w:val="bg-BG"/>
        </w:rPr>
        <w:t>да намалят административната тежест за законната търговия, както и да рационализират информацията, постъпваща от нея</w:t>
      </w:r>
      <w:r>
        <w:rPr>
          <w:rFonts w:ascii="Times New Roman" w:hAnsi="Times New Roman"/>
          <w:noProof/>
          <w:sz w:val="24"/>
          <w:lang w:val="bg-BG"/>
        </w:rPr>
        <w:t>.</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b/>
          <w:noProof/>
          <w:sz w:val="24"/>
          <w:lang w:val="bg-BG"/>
        </w:rPr>
        <w:t>Централната роля на митниците в други политики</w:t>
      </w:r>
      <w:r>
        <w:rPr>
          <w:rFonts w:ascii="Times New Roman" w:hAnsi="Times New Roman"/>
          <w:noProof/>
          <w:sz w:val="24"/>
          <w:lang w:val="bg-BG"/>
        </w:rPr>
        <w:t xml:space="preserve">, които също съдържат трансграничен елемент, може да бъде използвана като лост за създаване на полезни взаимодействия за цялостния регулаторен контрол в едно бъдеще, което се основава на </w:t>
      </w:r>
      <w:r>
        <w:rPr>
          <w:rFonts w:ascii="Times New Roman" w:hAnsi="Times New Roman"/>
          <w:b/>
          <w:noProof/>
          <w:sz w:val="24"/>
          <w:lang w:val="bg-BG"/>
        </w:rPr>
        <w:t>висока степен на оперативна съвместимост и взаимосвързаност между ИТ системите</w:t>
      </w:r>
      <w:r>
        <w:rPr>
          <w:rFonts w:ascii="Times New Roman" w:hAnsi="Times New Roman"/>
          <w:noProof/>
          <w:sz w:val="24"/>
          <w:lang w:val="bg-BG"/>
        </w:rPr>
        <w:t xml:space="preserve"> и на подходи за координиран контрол.</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b/>
          <w:noProof/>
          <w:sz w:val="24"/>
          <w:lang w:val="bg-BG"/>
        </w:rPr>
        <w:t>Логичната крайна цел би била среда за обслужване на едно гише, която гарантира във възможно най-голяма степен единна и съгласувана връзка с различните държавни органи и е подкрепена от съгласувана структура за регулаторен контрол.</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Подобна среда предполага </w:t>
      </w:r>
      <w:r>
        <w:rPr>
          <w:rFonts w:ascii="Times New Roman" w:hAnsi="Times New Roman"/>
          <w:b/>
          <w:noProof/>
          <w:sz w:val="24"/>
          <w:lang w:val="bg-BG"/>
        </w:rPr>
        <w:t>висока степен на споделяне на данни, информация и сведения между митническите органи и между останалите относими органи, регулаторни агенции и ведомства</w:t>
      </w:r>
      <w:r>
        <w:rPr>
          <w:rFonts w:ascii="Times New Roman" w:hAnsi="Times New Roman"/>
          <w:noProof/>
          <w:sz w:val="24"/>
          <w:lang w:val="bg-BG"/>
        </w:rPr>
        <w:t xml:space="preserve">. За нея се изисква също така </w:t>
      </w:r>
      <w:r>
        <w:rPr>
          <w:rFonts w:ascii="Times New Roman" w:hAnsi="Times New Roman"/>
          <w:b/>
          <w:noProof/>
          <w:sz w:val="24"/>
          <w:lang w:val="bg-BG"/>
        </w:rPr>
        <w:t>системно използване на усъвършенствани методи за анализ на данни и евентуално други иновативни технологии</w:t>
      </w:r>
      <w:r>
        <w:rPr>
          <w:rFonts w:ascii="Times New Roman" w:hAnsi="Times New Roman"/>
          <w:noProof/>
          <w:sz w:val="24"/>
          <w:lang w:val="bg-BG"/>
        </w:rPr>
        <w:t xml:space="preserve"> в подкрепа на подходите за интегрирани проверки, които се основават до голяма степен на риска и са разработени на базата на широки познания за рисковете и способностите на основните търговски субекти.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От представените от държавите членки мнения е видно, че ролята на митническите ИТ системи ще бъде първостепенна при осигуряването на успешни резултати от политиката, както и че тези системи ще трябва да бъдат </w:t>
      </w:r>
      <w:r>
        <w:rPr>
          <w:rFonts w:ascii="Times New Roman" w:hAnsi="Times New Roman"/>
          <w:b/>
          <w:noProof/>
          <w:sz w:val="24"/>
          <w:lang w:val="bg-BG"/>
        </w:rPr>
        <w:t>ефективни от гледна точка на разходите, устойчиви и надеждни</w:t>
      </w:r>
      <w:r>
        <w:rPr>
          <w:rFonts w:ascii="Times New Roman" w:hAnsi="Times New Roman"/>
          <w:noProof/>
          <w:sz w:val="24"/>
          <w:lang w:val="bg-BG"/>
        </w:rPr>
        <w:t>. Това означава, че ще трябва да са способни да се приспособяват към променящите се технологии и модели на стопанска дейност. Освен това ще бъде важно да се използват предимствата на полезните взаимодействия с вече съществуващи общоевропейски ИТ системи.</w:t>
      </w:r>
    </w:p>
    <w:p>
      <w:pPr>
        <w:spacing w:after="120" w:line="240" w:lineRule="auto"/>
        <w:jc w:val="both"/>
        <w:rPr>
          <w:noProof/>
          <w:lang w:val="bg-BG"/>
        </w:rPr>
      </w:pPr>
      <w:r>
        <w:rPr>
          <w:rFonts w:ascii="Times New Roman" w:hAnsi="Times New Roman"/>
          <w:noProof/>
          <w:sz w:val="24"/>
          <w:lang w:val="bg-BG"/>
        </w:rPr>
        <w:t xml:space="preserve">Ясно е също така, че за целта ще е нужно </w:t>
      </w:r>
      <w:r>
        <w:rPr>
          <w:rFonts w:ascii="Times New Roman" w:hAnsi="Times New Roman"/>
          <w:b/>
          <w:noProof/>
          <w:sz w:val="24"/>
          <w:lang w:val="bg-BG"/>
        </w:rPr>
        <w:t>тясно партньорство между Комисията и държавите членки</w:t>
      </w:r>
      <w:r>
        <w:rPr>
          <w:rFonts w:ascii="Times New Roman" w:hAnsi="Times New Roman"/>
          <w:noProof/>
          <w:sz w:val="24"/>
          <w:lang w:val="bg-BG"/>
        </w:rPr>
        <w:t>, за да се осигури най-целесъобразно използване на експертния опит и ресурсите за намиране на ефективни от гледна точка на разходите ИТ решения както на етап разработване, така и на етап експлоатация на системите.</w:t>
      </w:r>
    </w:p>
    <w:p>
      <w:pPr>
        <w:spacing w:after="120" w:line="240" w:lineRule="auto"/>
        <w:jc w:val="both"/>
        <w:rPr>
          <w:noProof/>
          <w:lang w:val="bg-BG"/>
        </w:rPr>
      </w:pPr>
    </w:p>
    <w:p>
      <w:pPr>
        <w:pStyle w:val="Heading1"/>
        <w:spacing w:after="120"/>
        <w:rPr>
          <w:noProof/>
          <w:lang w:val="bg-BG"/>
        </w:rPr>
      </w:pPr>
      <w:r>
        <w:rPr>
          <w:noProof/>
          <w:lang w:val="bg-BG"/>
        </w:rPr>
        <w:t>ВЪЗМОЖНИ ВАРИАНТИ ЗА ПОСТОЯННА СТРУКТУРА</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Всяка промяна на модела на работа, която представлява нещо повече от прецизиране на настоящия модел, ще отнеме време, особено ако за целта е необходимо създаване на нови структури. Ако се направи коренна промяна в настоящите процеси, възникват рискове за успешното завършване на краткосрочните и средносрочните ИТ проекти на МКС. Това би било крайно нежелателно и би противоречало на </w:t>
      </w:r>
      <w:r>
        <w:rPr>
          <w:rFonts w:ascii="Times New Roman" w:hAnsi="Times New Roman"/>
          <w:b/>
          <w:noProof/>
          <w:sz w:val="24"/>
          <w:lang w:val="bg-BG"/>
        </w:rPr>
        <w:t>ясното изявление на Съвета, че прилагането на МКС е приоритет</w:t>
      </w:r>
      <w:r>
        <w:rPr>
          <w:rFonts w:ascii="Times New Roman" w:hAnsi="Times New Roman"/>
          <w:noProof/>
          <w:sz w:val="24"/>
          <w:lang w:val="bg-BG"/>
        </w:rPr>
        <w:t>. Поради тази причина се подчертава, че настоящият анализ следва да се съсредоточи върху дългосрочния план.</w:t>
      </w:r>
    </w:p>
    <w:p>
      <w:pPr>
        <w:spacing w:after="120" w:line="240" w:lineRule="auto"/>
        <w:jc w:val="both"/>
        <w:rPr>
          <w:noProof/>
          <w:lang w:val="bg-BG"/>
        </w:rPr>
      </w:pPr>
      <w:r>
        <w:rPr>
          <w:rFonts w:ascii="Times New Roman" w:hAnsi="Times New Roman"/>
          <w:noProof/>
          <w:sz w:val="24"/>
          <w:lang w:val="bg-BG"/>
        </w:rPr>
        <w:t>Следователно в краткосрочен план Комисията ще трябва да продължи да работи съгласно правилата, определени в Решението за електронните митници и в МКС, както и в съответствие с програмата „Митници 2020“. За тази цел тя укрепи службите си, отговарящи за митническите информационни технологии, за да се справи с основните дейности, заложени в ИТ проектите на МКС, чиито годишни разходи, финансирани от ЕС, възлизат на около 70 милиона евро. Укрепването включва допълнително кадрово обезпечаване на ГД „Данъчно облагане и митнически съюз“ и нови договорености с ГД „Информатика“ с цел оптимизиране на полезните взаимодействия между службите. Въпреки това по-нататъшното развитие на тази основа след 2020 г. ще зависи от решенията, които ще бъдат взети във връзка с програмата, която ще наследи „Митници 2020“. В приложение 2 е представен примерен график за това начинание по определяне на нов модел и неговите компоненти, без да се засягат бъдещите решения относно финансирането.</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Ако бъде решено настоящият модел да претърпи промяна, обсъжданията до момента подсказват, че най-обещаващият вариант вероятно би включвал подход на „споделен доставчик на ИТ“ посредством образувание/агенция или други методи на сътрудничество.</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При всеки такъв подход обаче трябва да се вземат под внимание вече съществуващите ИТ системи, които са въведени в експлоатация. По принцип този доставчик би могъл да разработи пълни системи, които да предаде на държавите членки или на Комисията, да осъществи определени нива от разработката или експлоатацията на ИТ или да отговаря за цялото разработване и експлоатация. За да се илюстрира въпросът за т.нар. „нива“, на диаграмата по-долу са представени основните градивни елементи на ИТ сегмента на Комисията (ГД „Данъчно облагане и митнически съюз“). Става ясно, че предвид сложността и взаимозависимостта между компонентите на ИТ екосистемата, оценката на евентуални дейности или техни части с цел прехвърлянето им към споделен доставчик на ИТ е труден процес. Ясно е също така, че дейностите са разделени на неспецифични (в оранжево на диаграмата) и специфични (в зелено на диаграмата), които могат да повлияят на прилаганите решения с оглед по-конкретно на потенциални полезни взаимодействия между областите на политиката.</w:t>
      </w:r>
    </w:p>
    <w:p>
      <w:pPr>
        <w:spacing w:after="120" w:line="240" w:lineRule="auto"/>
        <w:jc w:val="center"/>
        <w:rPr>
          <w:rFonts w:ascii="Times New Roman" w:eastAsia="Times New Roman" w:hAnsi="Times New Roman" w:cs="Times New Roman"/>
          <w:noProof/>
          <w:sz w:val="24"/>
          <w:szCs w:val="20"/>
          <w:lang w:val="bg-BG"/>
        </w:rPr>
      </w:pPr>
      <w:r>
        <w:rPr>
          <w:noProof/>
          <w:lang w:val="en-US"/>
        </w:rPr>
        <w:drawing>
          <wp:inline distT="0" distB="0" distL="0" distR="0">
            <wp:extent cx="3476625" cy="25222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6625" cy="2522257"/>
                    </a:xfrm>
                    <a:prstGeom prst="rect">
                      <a:avLst/>
                    </a:prstGeom>
                    <a:noFill/>
                    <a:ln>
                      <a:noFill/>
                    </a:ln>
                  </pic:spPr>
                </pic:pic>
              </a:graphicData>
            </a:graphic>
          </wp:inline>
        </w:drawing>
      </w:r>
    </w:p>
    <w:p>
      <w:pPr>
        <w:pStyle w:val="Heading2"/>
        <w:numPr>
          <w:ilvl w:val="0"/>
          <w:numId w:val="0"/>
        </w:numPr>
        <w:spacing w:after="120"/>
        <w:ind w:left="720"/>
        <w:rPr>
          <w:noProof/>
          <w:lang w:val="bg-BG"/>
        </w:rPr>
      </w:pPr>
    </w:p>
    <w:p>
      <w:pPr>
        <w:pStyle w:val="Heading2"/>
        <w:rPr>
          <w:noProof/>
          <w:lang w:val="bg-BG"/>
        </w:rPr>
      </w:pPr>
      <w:r>
        <w:rPr>
          <w:noProof/>
          <w:lang w:val="bg-BG"/>
        </w:rPr>
        <w:t>Споделен доставчик на ИТ</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Разгледани са различни варианти, без на този етап да се прави опит за подробен анализ на разходите и ползите, предвид необходимостта от по-нататъшно определяне на окончателния обхват на всеки вариант с оглед реакциите на държавите членки в състоялите се до момента обсъждания, и по-специално тези на семинара на високо равнище в Талин на 28 и 29 септември 2017 г. и заключенията на Съвета от 7 ноември 2017 г.</w:t>
      </w:r>
      <w:r>
        <w:rPr>
          <w:rFonts w:ascii="Times New Roman" w:hAnsi="Times New Roman"/>
          <w:noProof/>
          <w:sz w:val="24"/>
          <w:vertAlign w:val="superscript"/>
          <w:lang w:val="bg-BG"/>
        </w:rPr>
        <w:footnoteReference w:id="15"/>
      </w:r>
      <w:r>
        <w:rPr>
          <w:rFonts w:ascii="Times New Roman" w:hAnsi="Times New Roman"/>
          <w:noProof/>
          <w:sz w:val="24"/>
          <w:lang w:val="bg-BG"/>
        </w:rPr>
        <w:t>.</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При всички вероятни сценарии разработването и експлоатацията на ИТ системите биха изисквали споделена отговорност между Комисията и държавите членки предвид съответните им правомощия във връзка със законодателството на равнището на ЕС и с неговото прилагане. Въпреки че би било възможно да се предвиди промяна на баланса между съюзни и несъюзни компоненти, това не би решило основните проблеми, освен ако всички системи не станат съюзни компоненти. Дори и тогава биха възникнали въпроси коя би била най-удачната структура да ги изпълни и как тя би взаимодействала с националните митнически служби и националното право.</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На тази основа бе обсъждано понятието за </w:t>
      </w:r>
      <w:r>
        <w:rPr>
          <w:rFonts w:ascii="Times New Roman" w:hAnsi="Times New Roman"/>
          <w:b/>
          <w:noProof/>
          <w:sz w:val="24"/>
          <w:lang w:val="bg-BG"/>
        </w:rPr>
        <w:t>„споделен доставчик на ИТ“, който по принцип би могъл да предостави услуги по разработване и дори по експлоатация и поддръжка както на Комисията, така и на държавите членки</w:t>
      </w:r>
      <w:r>
        <w:rPr>
          <w:rFonts w:ascii="Times New Roman" w:hAnsi="Times New Roman"/>
          <w:noProof/>
          <w:sz w:val="24"/>
          <w:lang w:val="bg-BG"/>
        </w:rPr>
        <w:t>. Идеята би била да се вменят отговорности на трета страна, която би могла да предоставя услуги въз основа на финансиране, осигурено от държавите членки и Комисията. Това би гарантирало съгласуваност сред целия набор от ИТ системи и следва да доведе до икономии на разходи. Освен това ще остане на разположение вариантът Комисията или дори държавите членки да възлагат определени оперативни задачи и дейности на третата страна в зависимост от използваната правна структура.</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Вероятната добавена стойност на този вариант би произтекла от по-ниските разходи, свързани с единно разработване, единна експлоатация и единна поддръжка, спрямо множествените разходи, когато всички държави членки действат поотделно. Въпреки това действителният ефект от този принцип би зависил от обхвата на дейностите на „споделения доставчик на ИТ“ и от степента, до която могат да се сведат до минимум националните мерки за приспособяване в интерес на стандартизиране на подхода. Предвид необходимостта от пълна наличност в реално време както на експлоатацията, така и на поддръжката, всяка структура, която би се натоварила с тези дейности, би трябвало да даде гаранции за непрекъснатост на работата, които биха били приложими спрямо всички участващи държави членки.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Всъщност основен проблем е степента, до която системите или части от тях биха могли да се поемат от трета страна, и тяхната връзка с други части от ИТ екосистемата. </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По принцип </w:t>
      </w:r>
      <w:r>
        <w:rPr>
          <w:rFonts w:ascii="Times New Roman" w:hAnsi="Times New Roman"/>
          <w:b/>
          <w:noProof/>
          <w:sz w:val="24"/>
          <w:lang w:val="bg-BG"/>
        </w:rPr>
        <w:t xml:space="preserve">„споделеният доставчик на ИТ“ би могъл да е структура, функционираща на равнището на ЕС. В случай че такава структура приеме формата на съвместно предприятие, </w:t>
      </w:r>
      <w:r>
        <w:rPr>
          <w:rFonts w:ascii="Times New Roman" w:hAnsi="Times New Roman"/>
          <w:noProof/>
          <w:sz w:val="24"/>
          <w:lang w:val="bg-BG"/>
        </w:rPr>
        <w:t>конкретните задачи и управление биха били съществено по-различни. Тя би могла да бъде и под формата на орган за съвместно възлагане на обществени поръчки, който евентуално да се създаде чрез механизъм като Европейската група за териториално сътрудничество</w:t>
      </w:r>
      <w:r>
        <w:rPr>
          <w:rFonts w:ascii="Times New Roman" w:hAnsi="Times New Roman"/>
          <w:noProof/>
          <w:sz w:val="24"/>
          <w:vertAlign w:val="superscript"/>
          <w:lang w:val="bg-BG"/>
        </w:rPr>
        <w:footnoteReference w:id="16"/>
      </w:r>
      <w:r>
        <w:rPr>
          <w:rFonts w:ascii="Times New Roman" w:hAnsi="Times New Roman"/>
          <w:noProof/>
          <w:sz w:val="24"/>
          <w:lang w:val="bg-BG"/>
        </w:rPr>
        <w:t>.</w:t>
      </w:r>
    </w:p>
    <w:p>
      <w:pPr>
        <w:pStyle w:val="Heading2"/>
        <w:spacing w:after="120"/>
        <w:rPr>
          <w:noProof/>
          <w:lang w:val="bg-BG"/>
        </w:rPr>
      </w:pPr>
      <w:r>
        <w:rPr>
          <w:noProof/>
          <w:lang w:val="bg-BG"/>
        </w:rPr>
        <w:t>Структура, функционираща на равнището на ЕС</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b/>
          <w:noProof/>
          <w:sz w:val="24"/>
          <w:lang w:val="bg-BG"/>
        </w:rPr>
        <w:t xml:space="preserve">Един от възможните подходи към това предизвикателство би бил да се създаде структура на равнището на ЕС, която да поеме конкретни отговорности.  Въпреки че вариантът за създаване например на нова агенция възникна в обсъжданията с държавите членки, понастоящем сред тях не е налице достатъчна подкрепа за тази идея.  </w:t>
      </w:r>
      <w:r>
        <w:rPr>
          <w:rFonts w:ascii="Times New Roman" w:hAnsi="Times New Roman"/>
          <w:noProof/>
          <w:sz w:val="24"/>
          <w:lang w:val="bg-BG"/>
        </w:rPr>
        <w:t>Положението се усложнява допълнително от значителната степен на несигурност по въпроса за бъдещите възможности за финансиране от ЕС, както и от опасенията да се поеме по този път без ясна представа за връзката между дейностите на това образувание и дейностите на държавите членки, при положение че митническите процеси са тясно интегрирани на цялата територия на ЕС.</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Друга възможност би била </w:t>
      </w:r>
      <w:r>
        <w:rPr>
          <w:rFonts w:ascii="Times New Roman" w:hAnsi="Times New Roman"/>
          <w:b/>
          <w:noProof/>
          <w:sz w:val="24"/>
          <w:lang w:val="bg-BG"/>
        </w:rPr>
        <w:t>съответните дейности на Комисията да се прехвърлят към съществуваща структура на ЕС, като например съществуваща агенция на Съюза</w:t>
      </w:r>
      <w:r>
        <w:rPr>
          <w:rStyle w:val="FootnoteReference"/>
          <w:rFonts w:ascii="Times New Roman" w:hAnsi="Times New Roman"/>
          <w:noProof/>
          <w:sz w:val="24"/>
          <w:lang w:val="bg-BG"/>
        </w:rPr>
        <w:footnoteReference w:id="17"/>
      </w:r>
      <w:r>
        <w:rPr>
          <w:noProof/>
          <w:lang w:val="bg-BG"/>
        </w:rPr>
        <w:t>.</w:t>
      </w:r>
      <w:r>
        <w:rPr>
          <w:rFonts w:ascii="Times New Roman" w:hAnsi="Times New Roman"/>
          <w:noProof/>
          <w:sz w:val="24"/>
          <w:lang w:val="bg-BG"/>
        </w:rPr>
        <w:t xml:space="preserve"> Понастоящем е налице една-единствена подходяща агенция с правомощия върху широкомащабни информационни системи в областта на правосъдието и вътрешните работи. Това е EU-LISA (Европейската агенция за оперативното управление на широкомащабни информационни системи в пространството на свобода, сигурност и правосъдие).  Правомощията ѝ обаче не включват митниците и в момента целият ѝ капацитет е натоварен със завършването на системите, попадащи в настоящите ѝ правомощия. Всякакви потенциални полезни взаимодействия с тази агенция биха изисквали подробна надлежна проверка по-специално поради големия брой, сложността и степента на зрялост на съществуващите митнически ИТ системи.  </w:t>
      </w:r>
      <w:r>
        <w:rPr>
          <w:rFonts w:ascii="Times New Roman" w:hAnsi="Times New Roman"/>
          <w:b/>
          <w:noProof/>
          <w:sz w:val="24"/>
          <w:lang w:val="bg-BG"/>
        </w:rPr>
        <w:t>Рискът за съществуващите митнически операции би бил твърде голям и затова този вариант не може да се счита за жизнеспособен в краткосрочен или средносрочен план</w:t>
      </w:r>
      <w:r>
        <w:rPr>
          <w:rFonts w:ascii="Times New Roman" w:hAnsi="Times New Roman"/>
          <w:noProof/>
          <w:sz w:val="24"/>
          <w:lang w:val="bg-BG"/>
        </w:rPr>
        <w:t>.  Освен това с приключването на оставащите проекти на МКС тези рискове ще станат още по-значими.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В тази връзка на настоящия етап на размисъл по идеята за използване на постоянна структура държавите членки не са постигнали съгласие по ясна насока за създаване на нова структура, която да поеме част от разработването и/или от експлоатацията или поддръжката на митническите ИТ системи. Те са се съсредоточили до голяма степен върху завършването на сложната мрежа от проекти, предвидени от МКС, и не виждат голяма възможност за съществени промени в начина, по който осъществяват дейностите си за тази цел. Необходима е по-голяма яснота по много различни елементи, което е </w:t>
      </w:r>
      <w:r>
        <w:rPr>
          <w:rFonts w:ascii="Times New Roman" w:hAnsi="Times New Roman"/>
          <w:b/>
          <w:noProof/>
          <w:sz w:val="24"/>
          <w:lang w:val="bg-BG"/>
        </w:rPr>
        <w:t>основание за по-нататъшна работа по извършване на надлежна проверка</w:t>
      </w:r>
      <w:r>
        <w:rPr>
          <w:rFonts w:ascii="Times New Roman" w:hAnsi="Times New Roman"/>
          <w:noProof/>
          <w:sz w:val="24"/>
          <w:lang w:val="bg-BG"/>
        </w:rPr>
        <w:t>.</w:t>
      </w:r>
    </w:p>
    <w:p>
      <w:pPr>
        <w:pStyle w:val="Heading2"/>
        <w:spacing w:after="120"/>
        <w:rPr>
          <w:noProof/>
          <w:lang w:val="bg-BG"/>
        </w:rPr>
      </w:pPr>
      <w:r>
        <w:rPr>
          <w:noProof/>
          <w:lang w:val="bg-BG"/>
        </w:rPr>
        <w:t>Решения, основаващи се на сътрудничество между държавите членки</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Друг вариант е да се направи опит за вдъхване на нова енергия в идеята </w:t>
      </w:r>
      <w:r>
        <w:rPr>
          <w:rFonts w:ascii="Times New Roman" w:eastAsia="Times New Roman" w:hAnsi="Times New Roman" w:cs="Times New Roman"/>
          <w:noProof/>
          <w:sz w:val="24"/>
          <w:szCs w:val="20"/>
          <w:lang w:val="bg-BG"/>
        </w:rPr>
        <w:br/>
      </w:r>
      <w:r>
        <w:rPr>
          <w:rFonts w:ascii="Times New Roman" w:hAnsi="Times New Roman"/>
          <w:noProof/>
          <w:sz w:val="24"/>
          <w:lang w:val="bg-BG"/>
        </w:rPr>
        <w:t>за по-задълбочено сътрудничество между държавите членки. В тази връзка са предприети значителни проучвания и новите инициативи както в областта на митниците, така и в областта на данъчното облагане, подсказват, че съществува възможност за реална добавена стойност.</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b/>
          <w:noProof/>
          <w:sz w:val="24"/>
          <w:lang w:val="bg-BG"/>
        </w:rPr>
        <w:t>Решението, основаващо се на сътрудничество, почива на идеята, че държавите членки ще действат съвместно при проектирането, разработването и експлоатацията на несъюзните компоненти</w:t>
      </w:r>
      <w:r>
        <w:rPr>
          <w:rFonts w:ascii="Times New Roman" w:hAnsi="Times New Roman"/>
          <w:noProof/>
          <w:sz w:val="24"/>
          <w:lang w:val="bg-BG"/>
        </w:rPr>
        <w:t>. То предполага структура, която е по-отворена и по-слабо централизирана по отношение на управлението и експлоатацията в сравнение с варианта за използване на агенция.  Това означава също така, че разходите ще бъдат понесени основно от държавите членки по директен начин, а не от бюджета на ЕС, както и следва да бъде по отношение на несъюзните компоненти.  Това предполага изграждането на ясна представа къде в митническата ИТ екосистема се вписва работата, която следва да се извърши.  Рамката по този въпрос се съдържа в Работната програма за МКС (и в Многогодишния стратегически план, предвиден в решението за електронните митници).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Предизвикателствата при сътрудничеството са свързани основно с осигуряване на управление на действията (извън строгата уредба, която е въведена за работата по съюзните компоненти), в които участват някои или всички държави членки, като се гарантира подходящо уреждане на правните и практическите въпроси във връзка с възлагането на поръчки и се създадат договорени и практически изпълними правила относно ИТ архитектурата.</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На този етап </w:t>
      </w:r>
      <w:r>
        <w:rPr>
          <w:rFonts w:ascii="Times New Roman" w:hAnsi="Times New Roman"/>
          <w:b/>
          <w:noProof/>
          <w:sz w:val="24"/>
          <w:lang w:val="bg-BG"/>
        </w:rPr>
        <w:t>потенциалът на този подход трябва да бъде изпитан чрез действителен казус</w:t>
      </w:r>
      <w:r>
        <w:rPr>
          <w:rFonts w:ascii="Times New Roman" w:hAnsi="Times New Roman"/>
          <w:noProof/>
          <w:sz w:val="24"/>
          <w:lang w:val="bg-BG"/>
        </w:rPr>
        <w:t>. В тази връзка осъществяваният понастоящем проект на МКС относно уведомлението за пристигане, уведомлението за представяне и временното складиране представлява ценен експеримент и Комисията ще продължи да го подпомага с експертен опит и финансиране на някои административни аспекти, където това е възможно по програмата „Митници 2020“. Този ръководен от Белгия проект притежава действителен потенциал да предостави модел за по-нататъшни подобни проекти, както и по-ефективно от гледна точка на разходите решение за онези държави членки, които се стремят да завършат националните си системи за МКС. Той има потенциала да излезе отвъд границите на аспектите, свързани с разработването, и може да се възползва от съществуващия опит по проекти в сферата на данъчното облагане, пред които са стояли подобни предизвикателства. Обсъжданията в работната група на високо равнище в Съвета на 11 октомври 2017 г. въз основа на резултатите от проведения на 28 и 29 септември семинар в Талин показаха сближаване на мненията относно значението на постигането на напредък по въпроса за сътрудничеството.</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В зависимост от резултатите от този опит и от останалите сходни действия, които се осъществяват понастоящем в областта на данъчното облагане, </w:t>
      </w:r>
      <w:r>
        <w:rPr>
          <w:rFonts w:ascii="Times New Roman" w:hAnsi="Times New Roman"/>
          <w:b/>
          <w:noProof/>
          <w:sz w:val="24"/>
          <w:lang w:val="bg-BG"/>
        </w:rPr>
        <w:t xml:space="preserve">тази форма на работа чрез сътрудничество може действително да се развие така, че да заеме важна част от разработването (а евентуално дори и от експлоатацията в определени случаи) на елементи от митническата ИТ екосистема. Това би могло да е част от „смесено“ решение, което предвижда различни решения за отделните части на ИТ екосистемата. </w:t>
      </w:r>
    </w:p>
    <w:p>
      <w:pPr>
        <w:pStyle w:val="Heading1"/>
        <w:spacing w:after="120"/>
        <w:rPr>
          <w:noProof/>
          <w:lang w:val="bg-BG"/>
        </w:rPr>
      </w:pPr>
      <w:r>
        <w:rPr>
          <w:noProof/>
          <w:lang w:val="bg-BG"/>
        </w:rPr>
        <w:t>АСПЕКТИ, КОИТО СЛЕДВА ДА БЪДАТ ПРОУЧЕНИ ДОПЪЛНИТЕЛНО</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Ще е необходим по-нататъшен размисъл в рамките на работата на експертната група за насърчаване на ИТ решенията (т.нар. „catalyst group“), предвидена в обсъжданията в Съвета през октомври 2017 г. Той следва да обхване както възможното развитие на решения, основаващи се на сътрудничество, и на иновативни структури, които да обединяват държавите членки, така и по-подробно проучване на използването на по-традиционните структури от типа на агенциите, като се разгледат полезните взаимодействия със съществуващите агенции и бъдещите инициативи. Целите на високо равнище, които ще преследва групата, следва да включват като минимум:</w:t>
      </w:r>
    </w:p>
    <w:p>
      <w:pPr>
        <w:spacing w:before="240" w:after="120" w:line="240" w:lineRule="auto"/>
        <w:jc w:val="both"/>
        <w:rPr>
          <w:rFonts w:ascii="Times New Roman" w:eastAsia="Times New Roman" w:hAnsi="Times New Roman" w:cs="Times New Roman"/>
          <w:noProof/>
          <w:sz w:val="24"/>
          <w:szCs w:val="20"/>
          <w:lang w:val="bg-BG"/>
        </w:rPr>
      </w:pPr>
    </w:p>
    <w:p>
      <w:pPr>
        <w:spacing w:before="2040" w:after="120" w:line="240" w:lineRule="auto"/>
        <w:jc w:val="both"/>
        <w:rPr>
          <w:rFonts w:ascii="Times New Roman" w:eastAsia="Times New Roman" w:hAnsi="Times New Roman" w:cs="Times New Roman"/>
          <w:noProof/>
          <w:sz w:val="24"/>
          <w:szCs w:val="20"/>
          <w:lang w:val="bg-BG"/>
        </w:rPr>
      </w:pPr>
      <w:r>
        <w:rPr>
          <w:rFonts w:ascii="Times New Roman" w:eastAsia="Times New Roman" w:hAnsi="Times New Roman" w:cs="Times New Roman"/>
          <w:noProof/>
          <w:sz w:val="24"/>
          <w:szCs w:val="20"/>
          <w:lang w:val="en-US"/>
        </w:rPr>
        <mc:AlternateContent>
          <mc:Choice Requires="wps">
            <w:drawing>
              <wp:anchor distT="0" distB="0" distL="114300" distR="114300" simplePos="0" relativeHeight="251659264" behindDoc="0" locked="0" layoutInCell="1" allowOverlap="1">
                <wp:simplePos x="0" y="0"/>
                <wp:positionH relativeFrom="column">
                  <wp:posOffset>102528</wp:posOffset>
                </wp:positionH>
                <wp:positionV relativeFrom="paragraph">
                  <wp:posOffset>25498</wp:posOffset>
                </wp:positionV>
                <wp:extent cx="5321935" cy="3264877"/>
                <wp:effectExtent l="0" t="0" r="12065" b="12065"/>
                <wp:wrapNone/>
                <wp:docPr id="6" name="Text Box 6"/>
                <wp:cNvGraphicFramePr/>
                <a:graphic xmlns:a="http://schemas.openxmlformats.org/drawingml/2006/main">
                  <a:graphicData uri="http://schemas.microsoft.com/office/word/2010/wordprocessingShape">
                    <wps:wsp>
                      <wps:cNvSpPr txBox="1"/>
                      <wps:spPr>
                        <a:xfrm>
                          <a:off x="0" y="0"/>
                          <a:ext cx="5321935" cy="3264877"/>
                        </a:xfrm>
                        <a:prstGeom prst="rect">
                          <a:avLst/>
                        </a:prstGeom>
                        <a:solidFill>
                          <a:sysClr val="window" lastClr="FFFFFF"/>
                        </a:solidFill>
                        <a:ln w="6350">
                          <a:solidFill>
                            <a:prstClr val="black"/>
                          </a:solidFill>
                        </a:ln>
                        <a:effectLst/>
                      </wps:spPr>
                      <wps:txbx>
                        <w:txbxContent>
                          <w:p>
                            <w:pPr>
                              <w:pStyle w:val="ListParagraph"/>
                              <w:numPr>
                                <w:ilvl w:val="0"/>
                                <w:numId w:val="4"/>
                              </w:numPr>
                              <w:spacing w:before="300" w:after="300" w:line="240" w:lineRule="auto"/>
                              <w:rPr>
                                <w:rFonts w:ascii="Times New Roman" w:hAnsi="Times New Roman" w:cs="Times New Roman"/>
                                <w:sz w:val="24"/>
                                <w:szCs w:val="24"/>
                              </w:rPr>
                            </w:pPr>
                            <w:r>
                              <w:rPr>
                                <w:rFonts w:ascii="Times New Roman" w:hAnsi="Times New Roman"/>
                                <w:sz w:val="24"/>
                              </w:rPr>
                              <w:t>по-нататъшно развиване на визията за цифровите митници;</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определяне на стабилна връзка на управлението със свързаните с дейността потребности и относимата правна уредба с оглед отчитане на предизвикателството за изпълнение на целите в областта на информационните технологии в динамична политическа среда;</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отчитане на технологичните иновации в процеса на вземане на решения;</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определяне на обхвата така, че да включва предвиденото в Програмата в областта на цифровите технологии по-широко взаимодействие с други области на политиката;</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включване на поуките от текущи инициативи за сътрудничество и анализиране на тяхната ефективност;</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очертаване на подходяща ИТ архитектура;</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определяне на бъдещия модел (или модели) на въвеждане въз основа на съображения, свързани с разходите и ползите, като не се изпускат вариантите за „смесени“ 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05pt;margin-top:2pt;width:419.05pt;height:25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" fillcolor="window" strokeweight=".5pt">
                <v:textbox>
                  <w:txbxContent>
                    <w:p>
                      <w:pPr>
                        <w:pStyle w:val="ListParagraph"/>
                        <w:numPr>
                          <w:ilvl w:val="0"/>
                          <w:numId w:val="4"/>
                        </w:numPr>
                        <w:spacing w:before="300" w:after="300" w:line="240" w:lineRule="auto"/>
                        <w:rPr>
                          <w:rFonts w:ascii="Times New Roman" w:hAnsi="Times New Roman" w:cs="Times New Roman"/>
                          <w:sz w:val="24"/>
                          <w:szCs w:val="24"/>
                        </w:rPr>
                      </w:pPr>
                      <w:r>
                        <w:rPr>
                          <w:rFonts w:ascii="Times New Roman" w:hAnsi="Times New Roman"/>
                          <w:sz w:val="24"/>
                        </w:rPr>
                        <w:t>по-нататъшно развиване на визията за цифровите митници;</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определяне на стабилна връзка на управлението със свързаните с дейността потребности и относимата правна уредба с оглед отчитане на предизвикателството за изпълнение на целите в областта на информационните технологии в динамична политическа среда;</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отчитане на технологичните иновации в процеса на вземане на решения;</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определяне на обхвата така, че да включва предвиденото в Програмата в областта на цифровите технологии по-широко взаимодействие с други области на политиката;</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включване на поуките от текущи инициативи за сътрудничество и анализиране на тяхната ефективност;</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очертаване на подходяща ИТ архитектура;</w:t>
                      </w:r>
                    </w:p>
                    <w:p>
                      <w:pPr>
                        <w:pStyle w:val="ListParagraph"/>
                        <w:numPr>
                          <w:ilvl w:val="0"/>
                          <w:numId w:val="4"/>
                        </w:numPr>
                        <w:spacing w:after="240" w:line="240" w:lineRule="auto"/>
                        <w:rPr>
                          <w:rFonts w:ascii="Times New Roman" w:hAnsi="Times New Roman" w:cs="Times New Roman"/>
                          <w:sz w:val="24"/>
                          <w:szCs w:val="24"/>
                        </w:rPr>
                      </w:pPr>
                      <w:r>
                        <w:rPr>
                          <w:rFonts w:ascii="Times New Roman" w:hAnsi="Times New Roman"/>
                          <w:sz w:val="24"/>
                        </w:rPr>
                        <w:t>определяне на бъдещия модел (или модели) на въвеждане въз основа на съображения, свързани с разходите и ползите, като не се изпускат вариантите за „смесени“ решения.</w:t>
                      </w:r>
                    </w:p>
                  </w:txbxContent>
                </v:textbox>
              </v:shape>
            </w:pict>
          </mc:Fallback>
        </mc:AlternateContent>
      </w:r>
    </w:p>
    <w:p>
      <w:pPr>
        <w:spacing w:before="2040" w:after="120" w:line="240" w:lineRule="auto"/>
        <w:jc w:val="both"/>
        <w:rPr>
          <w:rFonts w:ascii="Times New Roman" w:eastAsia="Times New Roman" w:hAnsi="Times New Roman" w:cs="Times New Roman"/>
          <w:noProof/>
          <w:sz w:val="24"/>
          <w:szCs w:val="20"/>
          <w:lang w:val="bg-BG"/>
        </w:rPr>
      </w:pPr>
    </w:p>
    <w:p>
      <w:pPr>
        <w:pStyle w:val="Heading1"/>
        <w:spacing w:after="120"/>
        <w:rPr>
          <w:noProof/>
          <w:lang w:val="bg-BG"/>
        </w:rPr>
      </w:pPr>
      <w:r>
        <w:rPr>
          <w:noProof/>
          <w:lang w:val="bg-BG"/>
        </w:rPr>
        <w:t>ЗАКЛЮЧЕНИЯ</w:t>
      </w:r>
    </w:p>
    <w:p>
      <w:pPr>
        <w:spacing w:before="240"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След стартирането на дебата от страна на Комисията в края на 2016 г. се проведоха </w:t>
      </w:r>
      <w:r>
        <w:rPr>
          <w:rFonts w:ascii="Times New Roman" w:eastAsia="Times New Roman" w:hAnsi="Times New Roman" w:cs="Times New Roman"/>
          <w:noProof/>
          <w:sz w:val="24"/>
          <w:szCs w:val="20"/>
          <w:lang w:val="bg-BG"/>
        </w:rPr>
        <w:br/>
      </w:r>
      <w:r>
        <w:rPr>
          <w:rFonts w:ascii="Times New Roman" w:hAnsi="Times New Roman"/>
          <w:noProof/>
          <w:sz w:val="24"/>
          <w:lang w:val="bg-BG"/>
        </w:rPr>
        <w:t>широки обсъждания относно дългосрочното бъдеще на завършването и експлоатацията на митническите ИТ системи на ЕС.</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Заслужено се признават както предизвикателствата, така и постигнатите до момента успехи на сегашния модел на работа в областта на ИТ. Съществува ясен консенсус, че е </w:t>
      </w:r>
      <w:r>
        <w:rPr>
          <w:rFonts w:ascii="Times New Roman" w:hAnsi="Times New Roman"/>
          <w:b/>
          <w:noProof/>
          <w:sz w:val="24"/>
          <w:lang w:val="bg-BG"/>
        </w:rPr>
        <w:t xml:space="preserve">необходимо да се продължи работата с настоящите структури, за да се завърши амбициозната работна програма за МКС в областта на ИТ. </w:t>
      </w:r>
      <w:r>
        <w:rPr>
          <w:rFonts w:ascii="Times New Roman" w:hAnsi="Times New Roman"/>
          <w:noProof/>
          <w:sz w:val="24"/>
          <w:lang w:val="bg-BG"/>
        </w:rPr>
        <w:t xml:space="preserve">В рамките на настоящите структури е възможно </w:t>
      </w:r>
      <w:r>
        <w:rPr>
          <w:rFonts w:ascii="Times New Roman" w:hAnsi="Times New Roman"/>
          <w:b/>
          <w:noProof/>
          <w:sz w:val="24"/>
          <w:lang w:val="bg-BG"/>
        </w:rPr>
        <w:t>да се надграждат съществуващи инициативи за сътрудничество, за да се помогне на заинтересованите държави членки да завършат частите от системите на МКС, които трябва да внедрят.</w:t>
      </w:r>
      <w:r>
        <w:rPr>
          <w:rFonts w:ascii="Times New Roman" w:hAnsi="Times New Roman"/>
          <w:noProof/>
          <w:sz w:val="24"/>
          <w:lang w:val="bg-BG"/>
        </w:rPr>
        <w:t xml:space="preserve"> Това е област, в която натрупваният понастоящем опит ще бъде ценен за дебата относно бъдещия потенциал и развитие на концепцията за сътрудничество.</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Постигнат е напредък при определяне на потенциални пътища за постигане на по-ефективно и ефикасно разработване и експлоатация на митническите ИТ системи. Въпреки това</w:t>
      </w:r>
      <w:r>
        <w:rPr>
          <w:rFonts w:ascii="Times New Roman" w:hAnsi="Times New Roman"/>
          <w:b/>
          <w:noProof/>
          <w:sz w:val="24"/>
          <w:lang w:val="bg-BG"/>
        </w:rPr>
        <w:t xml:space="preserve"> е необходимо да се работи по двупистовия подход, включващ продължаване и усъвършенстване на съществуващия подход на сътрудничество, от една страна, и по-ясно установяване на алтернативни модели на работа, от друга</w:t>
      </w:r>
      <w:r>
        <w:rPr>
          <w:rFonts w:ascii="Times New Roman" w:hAnsi="Times New Roman"/>
          <w:noProof/>
          <w:sz w:val="24"/>
          <w:lang w:val="bg-BG"/>
        </w:rPr>
        <w:t>. Следва да се обърне внимание и на интереса  на държавите членки за иновативни решения в тази област. И двете писти следва да вземат под внимание Програмата в областта на цифровите технологии и общата насоченост към споделяне на ИТ услуги и решения сред множество сектори.</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Предвид сложността и изключителната важност на ИТ екосистемата за митническите операции както в рамките на държавите членки, така и между тях, изглежда, че </w:t>
      </w:r>
      <w:r>
        <w:rPr>
          <w:rFonts w:ascii="Times New Roman" w:hAnsi="Times New Roman"/>
          <w:b/>
          <w:noProof/>
          <w:sz w:val="24"/>
          <w:lang w:val="bg-BG"/>
        </w:rPr>
        <w:t xml:space="preserve">всяка голяма промяна ще трябва да се осъществява постепенно и най-вероятно ще възникне нужда от „смесени“ решения, вместо от едно всеобхватно. </w:t>
      </w:r>
      <w:r>
        <w:rPr>
          <w:rFonts w:ascii="Times New Roman" w:hAnsi="Times New Roman"/>
          <w:noProof/>
          <w:sz w:val="24"/>
          <w:lang w:val="bg-BG"/>
        </w:rPr>
        <w:t xml:space="preserve">Както бе обсъдено с държавите членки, следващата стъпка би трябвало да бъде </w:t>
      </w:r>
      <w:r>
        <w:rPr>
          <w:rFonts w:ascii="Times New Roman" w:hAnsi="Times New Roman"/>
          <w:b/>
          <w:noProof/>
          <w:sz w:val="24"/>
          <w:lang w:val="bg-BG"/>
        </w:rPr>
        <w:t>създаването на експертна група за насърчаване на ИТ решенията (т.нар. „catalyst group“) с представители на заинтересованите държави членки и Комисията</w:t>
      </w:r>
      <w:r>
        <w:rPr>
          <w:rFonts w:ascii="Times New Roman" w:hAnsi="Times New Roman"/>
          <w:noProof/>
          <w:sz w:val="24"/>
          <w:lang w:val="bg-BG"/>
        </w:rPr>
        <w:t xml:space="preserve">, чиято задача ще бъде да изследва конкретните въпроси, изложени в настоящия документ, и да предприеме последващи стъпки във връзка със заключенията на Съвета от 7 ноември 2017 г. Целта на групата ще бъде да състави изпълним дългосрочен сценарий и път за изпълнението му, в това число евентуални бъдещи пилотни проекти и работа по извършване на надлежна проверка във връзка с полезни взаимодействия с други участници, както и </w:t>
      </w:r>
      <w:r>
        <w:rPr>
          <w:rFonts w:ascii="Times New Roman" w:hAnsi="Times New Roman"/>
          <w:b/>
          <w:noProof/>
          <w:sz w:val="24"/>
          <w:lang w:val="bg-BG"/>
        </w:rPr>
        <w:t>подходящи правни анализи и проучвания на разходите и ползите</w:t>
      </w:r>
      <w:r>
        <w:rPr>
          <w:rFonts w:ascii="Times New Roman" w:hAnsi="Times New Roman"/>
          <w:noProof/>
          <w:sz w:val="24"/>
          <w:lang w:val="bg-BG"/>
        </w:rPr>
        <w:t>.</w:t>
      </w:r>
    </w:p>
    <w:p>
      <w:pPr>
        <w:spacing w:after="12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Елементите, свързани с финансирането от ЕС на бъдещи действия извън финансовия пакет на програмата „Митници 2020“, ще трябва да се разглеждат във връзка с изготвянето на митническата програма от следващо поколение и преговорите по нея.</w:t>
      </w:r>
    </w:p>
    <w:p>
      <w:pPr>
        <w:spacing w:after="120" w:line="240" w:lineRule="auto"/>
        <w:jc w:val="both"/>
        <w:rPr>
          <w:rFonts w:ascii="Times New Roman" w:hAnsi="Times New Roman"/>
          <w:noProof/>
          <w:sz w:val="24"/>
          <w:lang w:val="bg-BG"/>
        </w:rPr>
      </w:pPr>
      <w:r>
        <w:rPr>
          <w:rFonts w:ascii="Times New Roman" w:hAnsi="Times New Roman"/>
          <w:noProof/>
          <w:sz w:val="24"/>
          <w:lang w:val="bg-BG"/>
        </w:rPr>
        <w:t>В рамките на цялата предстояща работа ще трябва да се вземат под внимание евентуалните развития на правната уредба и потенциалното въздействие на излизането на Обединеното кралство от Европейския съюз, все по-силният натиск за осигуряване на многосекторни решения по отношение на оперативната съвместимост, споделянето на решения и използването на данните, както и последиците от технологичните иновации през идните години.</w:t>
      </w:r>
      <w:r>
        <w:rPr>
          <w:rFonts w:ascii="Times New Roman" w:hAnsi="Times New Roman"/>
          <w:noProof/>
          <w:sz w:val="24"/>
          <w:lang w:val="bg-BG"/>
        </w:rPr>
        <w:br w:type="page"/>
      </w:r>
    </w:p>
    <w:p>
      <w:pPr>
        <w:spacing w:after="120" w:line="240" w:lineRule="auto"/>
        <w:jc w:val="both"/>
        <w:rPr>
          <w:rFonts w:ascii="Times New Roman" w:eastAsia="Times New Roman" w:hAnsi="Times New Roman" w:cs="Times New Roman"/>
          <w:noProof/>
          <w:sz w:val="24"/>
          <w:szCs w:val="20"/>
          <w:lang w:val="bg-BG"/>
        </w:rPr>
      </w:pPr>
    </w:p>
    <w:p>
      <w:pPr>
        <w:spacing w:after="480" w:line="240" w:lineRule="auto"/>
        <w:ind w:left="567" w:hanging="567"/>
        <w:jc w:val="center"/>
        <w:rPr>
          <w:rFonts w:ascii="Times New Roman" w:eastAsia="Times New Roman" w:hAnsi="Times New Roman" w:cs="Times New Roman"/>
          <w:b/>
          <w:noProof/>
          <w:sz w:val="24"/>
          <w:szCs w:val="20"/>
          <w:lang w:val="bg-BG"/>
        </w:rPr>
      </w:pPr>
      <w:r>
        <w:rPr>
          <w:rFonts w:ascii="Times New Roman" w:hAnsi="Times New Roman"/>
          <w:b/>
          <w:noProof/>
          <w:sz w:val="24"/>
          <w:lang w:val="bg-BG"/>
        </w:rPr>
        <w:t>Приложение 1</w:t>
      </w:r>
    </w:p>
    <w:tbl>
      <w:tblPr>
        <w:tblW w:w="8348" w:type="dxa"/>
        <w:tblInd w:w="-18" w:type="dxa"/>
        <w:tblCellMar>
          <w:left w:w="0" w:type="dxa"/>
          <w:right w:w="0" w:type="dxa"/>
        </w:tblCellMar>
        <w:tblLook w:val="04A0" w:firstRow="1" w:lastRow="0" w:firstColumn="1" w:lastColumn="0" w:noHBand="0" w:noVBand="1"/>
      </w:tblPr>
      <w:tblGrid>
        <w:gridCol w:w="456"/>
        <w:gridCol w:w="7892"/>
      </w:tblGrid>
      <w:tr>
        <w:trPr>
          <w:trHeight w:val="300"/>
        </w:trPr>
        <w:tc>
          <w:tcPr>
            <w:tcW w:w="8348"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pPr>
              <w:spacing w:after="0" w:line="240" w:lineRule="auto"/>
              <w:jc w:val="center"/>
              <w:rPr>
                <w:rFonts w:ascii="Times New Roman" w:hAnsi="Times New Roman" w:cs="Times New Roman"/>
                <w:b/>
                <w:bCs/>
                <w:noProof/>
                <w:color w:val="000000"/>
                <w:sz w:val="24"/>
                <w:szCs w:val="24"/>
                <w:lang w:val="bg-BG"/>
              </w:rPr>
            </w:pPr>
            <w:r>
              <w:rPr>
                <w:rFonts w:ascii="Times New Roman" w:hAnsi="Times New Roman"/>
                <w:b/>
                <w:noProof/>
                <w:color w:val="000000"/>
                <w:sz w:val="24"/>
                <w:lang w:val="bg-BG"/>
              </w:rPr>
              <w:t>Списък на 17 проекта, определени в работната програма за МКС — общ преглед</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система за регистрирани износители (REX)</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2</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обвързваща тарифна информация (ОТИ)</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3</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митнически решения</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4</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единно управление на потребителите и цифров подпис</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5</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одобрени икономически оператори (ОИО)</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6</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система за регистрация и идентификация на икономическите оператори (EORI 2)</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7</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Наблюдение 3</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8</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доказателство за съюзен статус</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9</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нова компютризирана система за транзит (NCTS)</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10</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автоматизирана система за износ (AES)</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11</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информационни листове (INF) за специални режими</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12</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специални режими</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13</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уведомление за пристигане (NA), уведомление за представяне (NP) и временно складиране (ВС)</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14</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национални системи за внос</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15</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централизирано оформяне на вноса</w:t>
            </w:r>
          </w:p>
        </w:tc>
      </w:tr>
      <w:tr>
        <w:trPr>
          <w:trHeight w:val="375"/>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16</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управление на обезпеченията</w:t>
            </w:r>
          </w:p>
        </w:tc>
      </w:tr>
      <w:tr>
        <w:trPr>
          <w:trHeight w:val="390"/>
        </w:trPr>
        <w:tc>
          <w:tcPr>
            <w:tcW w:w="45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after="0" w:line="240" w:lineRule="auto"/>
              <w:jc w:val="center"/>
              <w:rPr>
                <w:rFonts w:ascii="Times New Roman" w:hAnsi="Times New Roman" w:cs="Times New Roman"/>
                <w:noProof/>
                <w:color w:val="000000"/>
                <w:sz w:val="24"/>
                <w:szCs w:val="24"/>
                <w:lang w:val="bg-BG"/>
              </w:rPr>
            </w:pPr>
            <w:r>
              <w:rPr>
                <w:rFonts w:ascii="Times New Roman" w:hAnsi="Times New Roman"/>
                <w:noProof/>
                <w:color w:val="000000"/>
                <w:sz w:val="24"/>
                <w:lang w:val="bg-BG"/>
              </w:rPr>
              <w:t>17</w:t>
            </w:r>
          </w:p>
        </w:tc>
        <w:tc>
          <w:tcPr>
            <w:tcW w:w="7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after="0" w:line="240" w:lineRule="auto"/>
              <w:rPr>
                <w:rFonts w:ascii="Times New Roman" w:hAnsi="Times New Roman" w:cs="Times New Roman"/>
                <w:noProof/>
                <w:color w:val="000000"/>
                <w:sz w:val="24"/>
                <w:szCs w:val="24"/>
                <w:lang w:val="bg-BG"/>
              </w:rPr>
            </w:pPr>
            <w:r>
              <w:rPr>
                <w:rFonts w:ascii="Times New Roman" w:hAnsi="Times New Roman"/>
                <w:noProof/>
                <w:color w:val="000000"/>
                <w:sz w:val="24"/>
                <w:lang w:val="bg-BG"/>
              </w:rPr>
              <w:t>Митнически кодекс на Съюза: система за контрол на вноса (СКВ 2)</w:t>
            </w:r>
          </w:p>
        </w:tc>
      </w:tr>
    </w:tbl>
    <w:p>
      <w:pPr>
        <w:spacing w:after="240" w:line="240" w:lineRule="auto"/>
        <w:jc w:val="center"/>
        <w:rPr>
          <w:rFonts w:ascii="Times New Roman" w:eastAsia="Times New Roman" w:hAnsi="Times New Roman" w:cs="Times New Roman"/>
          <w:noProof/>
          <w:sz w:val="24"/>
          <w:szCs w:val="20"/>
          <w:lang w:val="bg-BG"/>
        </w:rPr>
      </w:pPr>
    </w:p>
    <w:p>
      <w:pPr>
        <w:spacing w:before="100" w:beforeAutospacing="1" w:after="100" w:afterAutospacing="1" w:line="240" w:lineRule="auto"/>
        <w:jc w:val="both"/>
        <w:outlineLvl w:val="2"/>
        <w:rPr>
          <w:rFonts w:ascii="Times New Roman" w:eastAsia="Times New Roman" w:hAnsi="Times New Roman" w:cs="Times New Roman"/>
          <w:b/>
          <w:bCs/>
          <w:noProof/>
          <w:sz w:val="27"/>
          <w:szCs w:val="27"/>
          <w:u w:val="single"/>
          <w:lang w:val="bg-BG"/>
        </w:rPr>
      </w:pPr>
      <w:r>
        <w:rPr>
          <w:rFonts w:ascii="Times New Roman" w:hAnsi="Times New Roman"/>
          <w:b/>
          <w:noProof/>
          <w:sz w:val="27"/>
          <w:u w:val="single"/>
          <w:lang w:val="bg-BG"/>
        </w:rPr>
        <w:t>Списък на 17 проекта, определени в работната програма за МКС — описания</w:t>
      </w:r>
    </w:p>
    <w:p>
      <w:pPr>
        <w:spacing w:after="120" w:line="240" w:lineRule="auto"/>
        <w:jc w:val="both"/>
        <w:outlineLvl w:val="2"/>
        <w:rPr>
          <w:rFonts w:ascii="Times New Roman" w:eastAsia="Times New Roman" w:hAnsi="Times New Roman" w:cs="Times New Roman"/>
          <w:b/>
          <w:bCs/>
          <w:noProof/>
          <w:sz w:val="27"/>
          <w:szCs w:val="27"/>
          <w:lang w:val="bg-BG"/>
        </w:rPr>
      </w:pPr>
      <w:r>
        <w:rPr>
          <w:rFonts w:ascii="Times New Roman" w:hAnsi="Times New Roman"/>
          <w:b/>
          <w:noProof/>
          <w:sz w:val="27"/>
          <w:lang w:val="bg-BG"/>
        </w:rPr>
        <w:t xml:space="preserve">1. Митнически кодекс на Съюза: система за регистрирани износители (REX)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проекта е да се предоставя актуална информация за регистрираните износители, установени в държави по ОСП, изнасящи стоки за Съюза. Системата ще бъде трансевропейска и ще включва също така данни за икономическите оператори в ЕС с цел подпомагане на износа за държави по ОСП. Изискваните данни бяха включени в системата постепенно до 31 декември 2017 г.</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2. Митнически кодекс на Съюза: обвързваща тарифна информация (ОТИ)</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проекта е да осигури надстройка на съществуващата трансевропейска система EОТИ-3 и на системата Наблюдение 2, за да се гарантира:</w:t>
      </w:r>
    </w:p>
    <w:p>
      <w:pPr>
        <w:spacing w:after="120" w:line="240" w:lineRule="auto"/>
        <w:rPr>
          <w:rFonts w:ascii="Times New Roman" w:eastAsia="Times New Roman" w:hAnsi="Times New Roman" w:cs="Times New Roman"/>
          <w:noProof/>
          <w:sz w:val="24"/>
          <w:szCs w:val="24"/>
          <w:lang w:val="bg-BG"/>
        </w:rPr>
      </w:pPr>
      <w:r>
        <w:rPr>
          <w:rFonts w:ascii="Times New Roman" w:hAnsi="Times New Roman"/>
          <w:noProof/>
          <w:sz w:val="24"/>
          <w:lang w:val="bg-BG"/>
        </w:rPr>
        <w:t>а) привеждане в съответствие на системата EОТИ-3 с изискванията на Митническия кодекс на Съюза;</w:t>
      </w:r>
      <w:r>
        <w:rPr>
          <w:rFonts w:ascii="Times New Roman" w:eastAsia="Times New Roman" w:hAnsi="Times New Roman" w:cs="Times New Roman"/>
          <w:noProof/>
          <w:sz w:val="24"/>
          <w:szCs w:val="24"/>
          <w:lang w:val="bg-BG"/>
        </w:rPr>
        <w:br/>
      </w:r>
      <w:r>
        <w:rPr>
          <w:rFonts w:ascii="Times New Roman" w:hAnsi="Times New Roman"/>
          <w:noProof/>
          <w:sz w:val="24"/>
          <w:lang w:val="bg-BG"/>
        </w:rPr>
        <w:t>б) по-широк обхват на изискваните данни от декларацията за целите на наблюдението;</w:t>
      </w:r>
      <w:r>
        <w:rPr>
          <w:rFonts w:ascii="Times New Roman" w:eastAsia="Times New Roman" w:hAnsi="Times New Roman" w:cs="Times New Roman"/>
          <w:noProof/>
          <w:sz w:val="24"/>
          <w:szCs w:val="24"/>
          <w:lang w:val="bg-BG"/>
        </w:rPr>
        <w:br/>
      </w:r>
      <w:r>
        <w:rPr>
          <w:rFonts w:ascii="Times New Roman" w:hAnsi="Times New Roman"/>
          <w:noProof/>
          <w:sz w:val="24"/>
          <w:lang w:val="bg-BG"/>
        </w:rPr>
        <w:t>в) мониторинг на задължителното използване на ОТИ;</w:t>
      </w:r>
      <w:r>
        <w:rPr>
          <w:rFonts w:ascii="Times New Roman" w:eastAsia="Times New Roman" w:hAnsi="Times New Roman" w:cs="Times New Roman"/>
          <w:noProof/>
          <w:sz w:val="24"/>
          <w:szCs w:val="24"/>
          <w:lang w:val="bg-BG"/>
        </w:rPr>
        <w:br/>
      </w:r>
      <w:r>
        <w:rPr>
          <w:rFonts w:ascii="Times New Roman" w:hAnsi="Times New Roman"/>
          <w:noProof/>
          <w:sz w:val="24"/>
          <w:lang w:val="bg-BG"/>
        </w:rPr>
        <w:t>г) мониторинг и управление на по-широкото използване на ОТИ.</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Проектът ще се изпълнява на два етапа.</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 първия етап, на първо място, ще се осигури възможността да се получава наборът от данни от декларацията, изисквани по Митническия кодекс на Съюза (т.е. стъпка 1), от 1 март 2017 г. постепенно до изпълнението на проектите, изброени в точки 10 и 14 от тази програма (и най-късно до 31 декември 2020 г.), и на второ място, да се изпълни задължението за контрол на използването на ОТИ въз основа на новоизисквания набор от данни от декларацията и привеждане в съответствие с процеса за вземане на митнически решения (т.е. стъпка 2).</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 втория етап ще се въведе електронният формуляр за заявление и решение за ОТИ, а на икономическите оператори ще се предостави хармонизиран на равнището на ЕС интерфейс за търговци за електронно подаване на заявление за ОТИ и електронно получаване на решение за ОТИ.</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 xml:space="preserve">3. Митнически кодекс на Съюза: митнически решения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Проектът има за цел хармонизиране на процесите, свързани с подаването на заявление за митническо решение, вземането на решения и управлението на решенията чрез стандартизация и електронно управление на данните за заявления и решения/разрешения в целия Съюз. Проектът е свързан с национални решения и решения на няколко държави членки, определени от Кодекса, и ще обхваща системните компоненти, разработени централно на равнището на Съюза, и ще включва интеграция с националните компоненти, когато държавите членки са избрали тази възможност. Тази трансевропейска система ще улесни консултациите по време на периода на вземането на решения и управлението на процеса за издаване на разрешения.</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Тази трансевропейска система се състои от портал на търговците в ЕС, система за управление на митническите решения и информационна система за клиентите.</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4. Пряк достъп за търговците до европейските информационни системи (единно управление на потребителите и цифров подпис)</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проекта е да се осигурят действително приложими решения за пряк и хармонизиран на равнището на ЕС достъп за търговците, като услуга, предназначена за интерфейсите потребители/системи, която следва да се включи в електронните митнически системи, определени в специалните проекти по Митническия кодекс на Съюза. Единното управление на потребителите и цифровият подпис ще бъдат интегрирани в порталите на съответните системи и включват подкрепа за управлението на самоличността, достъпа и потребителите в съответствие с необходимите политики за сигурност.</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Предвижда се първото въвеждане да се осъществи заедно с въвеждането на системата за митнически решения в рамките на Митническия кодекс на Съюза.</w:t>
      </w:r>
      <w:r>
        <w:rPr>
          <w:rFonts w:ascii="Times New Roman" w:eastAsia="Times New Roman" w:hAnsi="Times New Roman" w:cs="Times New Roman"/>
          <w:noProof/>
          <w:sz w:val="24"/>
          <w:szCs w:val="24"/>
          <w:lang w:val="bg-BG"/>
        </w:rPr>
        <w:br/>
      </w:r>
      <w:r>
        <w:rPr>
          <w:rFonts w:ascii="Times New Roman" w:hAnsi="Times New Roman"/>
          <w:noProof/>
          <w:sz w:val="24"/>
          <w:lang w:val="bg-BG"/>
        </w:rPr>
        <w:t>След това този технически инструмент за проверка и управление на потребителите ще се предостави за ползване в други проекти по Митническия кодекс на Съюза, като проектите ОТИ по Кодекса, надстройката на ОИО по Кодекса, системата „Митнически кодекс на Съюза: доказателство за съюзен статус“ и евентуално системата „Митнически кодекс на Съюза: информационни листове за специални режими“. Вж. различните проекти за датите на въвеждане.</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outlineLvl w:val="2"/>
        <w:rPr>
          <w:rFonts w:ascii="Times New Roman" w:eastAsia="Times New Roman" w:hAnsi="Times New Roman" w:cs="Times New Roman"/>
          <w:b/>
          <w:bCs/>
          <w:noProof/>
          <w:sz w:val="27"/>
          <w:szCs w:val="27"/>
          <w:lang w:val="bg-BG"/>
        </w:rPr>
      </w:pPr>
      <w:r>
        <w:rPr>
          <w:rFonts w:ascii="Times New Roman" w:hAnsi="Times New Roman"/>
          <w:b/>
          <w:noProof/>
          <w:sz w:val="27"/>
          <w:lang w:val="bg-BG"/>
        </w:rPr>
        <w:t>5. Митнически кодекс на Съюза: одобрени икономически оператори (ОИО) — надстройка</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Проектът е насочен към подобряването на оперативните процеси, свързани със заявленията и разрешенията за ОИО, като се вземат под внимание промените в правните разпоредби на Митническия кодекс на Съюза.</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 първия етап целта на проекта е да се внедрят основните подобрения на системата ОИО с оглед на нейното хармонизиране с процедурата за вземане на митнически решения.</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 втория етап от проекта ще се въведе електронният формуляр за заявление и решение за ОИО, а на икономическите оператори ще се предостави хармонизиран на равнището на ЕС интерфейс за електронно подаване на заявление за ОИО и електронно получаване на решение за ОИО.</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6. Митнически кодекс на Съюза: надстройка на системата за регистрация и идентификация на икономическите оператори (EORI 2)</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Този проект има за цел да предложи несъществена надстройка на съществуващата трансевропейска система EORI, която дава възможност за регистрация и идентификация на икономическите оператори от Съюза и операторите от трети държави и лицата, различни от икономически оператори, които извършват свързана с митниците дейност в Съюза.</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7. Митнически кодекс на Съюза: Наблюдение 3</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Този проект има за цел да осигури надстройка на системата Наблюдение 2+, за да гарантира нейното привеждане в съответствие с изискванията на Митническия кодекс на Съюза, като стандартния обмен на информация чрез средства за електронна обработка на данни и въвеждане на подходящи функции, необходими за обработване и анализиране на пълния набор от данни от наблюдение, получени от държавите членки.</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Поради това проектът ще включи нови възможности за извличане на данни и формалности за предоставяне на информация, които ще бъдат предоставени на Комисията и държавите членки.</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8. Митнически кодекс на Съюза: доказателство за съюзен статус</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Проектът цели създаването на нова трансевропейска система за съхранение, управление и извличане на следните електронни документи, доказващи съюзния статус: T2L/F и митническия манифест за стоките (издадени от различен от одобрен издател).</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 xml:space="preserve">9. Митнически кодекс на Съюза: надстройка на новата компютризирана система за транзит (NCTS)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този проект е съществуващата трансевропейска NCTS да бъде приведена в съответствие с изискванията на новия Митнически кодекс на Съюза, като регистриране на събития „по маршрута“ и привеждане в съответствие на обмена на информация с изискванията за данните на Митнически кодекс на Съюза и надстройката и разработването на интерфейси с други системи.</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10. Митнически кодекс на Съюза: автоматизирана система за износ (AES)</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Този проект има за цел изпълнението на изискванията на Митническия кодекс на Съюза за износа и напускането.</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b/>
          <w:noProof/>
          <w:sz w:val="24"/>
          <w:lang w:val="bg-BG"/>
        </w:rPr>
        <w:t>Компонент 1 — „Трансевропейска AES“:</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проекта е да се разработи допълнително съществуващата трансевропейска система за контрол на износа, за да бъде въведена цялата AES, която ще обхваща бизнес изискванията за процеси и данни, предвидени в Митническия кодекс на Съюза, наред с другото — обхвата на опростените процедури, разделянето на доставки при напускане и централизираното митническо оформяне на износа. Предвижда се той да обхване и разработването на интерфейси, хармонизирани със системата за движение и контрол на акцизни стоки (EMCS) и системата NCTS. Със своите функции AES ще позволи пълна автоматизация на процедурите при износ и формалностите при напускане. AES обхваща части, които ще бъдат разработени на централно и национално равнище.</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b/>
          <w:noProof/>
          <w:sz w:val="24"/>
          <w:lang w:val="bg-BG"/>
        </w:rPr>
        <w:t>Компонент 2 — Надстройка на националните системи за износ:</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В допълнение, без да са част от обхвата на AES, но тясно свързани, отделните национални системи трябва да бъдат осъвременени по отношение на специфични национални елементи, свързани с формалностите при износ и/или напускане.  Доколкото тези елементи не оказват влияние върху общата област за AES, те могат да бъдат обхванати по този компонент.</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 xml:space="preserve">11. Митнически кодекс на Съюза: информационни листове (INF) за специални режими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този проект е да развие нова трансевропейска система, която да подкрепи и опрости процеса на управление на данните от информационните листове и за електронната обработка на данните от информационните листове в областта на специалните режими.</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 xml:space="preserve">12. Митнически кодекс на Съюза: специални режими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този проект е да се ускорят, улеснят и хармонизират специалните режими в целия Съюз чрез осигуряването на общи модели за оперативните процеси. Националните системи ще отразят всички промени в Митническия кодекс на Съюза, които се изискват за митническо складиране, специфична употреба, временен внос, активно и пасивно усъвършенстване.</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Проектът ще се изпълнява на два етапа.</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Компонент 1 — „Национален специален режим при износ (SP EXP)“: предоставя необходимите национални електронни решения за дейности по специален режим, свързани с износа.</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Компонент 2 — „Национален специален режим при внос (SP IMP)“: предоставя необходимите национални електронни решения за дейности по специален режим, свързани с вноса.</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Изпълнението на тези проекти ще се извърши чрез проектите, изброени в точки 10 и 14 от тази програма.</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 xml:space="preserve">13. Митнически кодекс на Съюза: уведомление за пристигане, уведомление за представяне и временно складиране </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този проект е да се определят процесите за уведомление за пристигането на транспортното средство, представянето на стоките (уведомление за представяне) и декларацията за временно складиране, както е описано в Митническия кодекс на Съюза, и да се подкрепи хармонизацията в това отношение във всички държави членки по отношение на обмена на данни между търговците и митниците.</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Проектът обхваща автоматизацията на процесите на национално равнище.</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14. Митнически кодекс на Съюза: подобряване на националните системи за внос</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Проектът е насочен към прилагане на всички изисквания за процедурите и данните, произтичащи от Митническия кодекс на Съюза, които се отнасят до областта на вноса (и които не са обхванати от някой от другите проекти, определени в Работната програма). Това се отнася главно за промените по отношение на режима „допускане за свободно обращение“ (стандартни + опростени процедури), но обхваща също така въздействието, оказвано от други миграции на системи. Този проект се отнася до националните области на вноса, обхващащи националните системи за обработка на митнически декларации, както и други системи, като например националните счетоводни системи и платежни системи.</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15. Митнически кодекс на Съюза: централизирано оформяне на вноса</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Този проект има за цел да даде възможност стоки да бъдат поставени под митнически режим с използване на централизирано оформяне, което да позволи на икономическите оператори да централизират дейността си от митническа гледна точка. Обработката на митническите декларации и физическото вдигане на стоките следва да бъдат координирани между съответните митнически учреждения. Това се отнася до трансевропейската система, съдържаща компоненти, разработени на централно и национално равнище.</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16. Митнически кодекс на Съюза: управление на обезпеченията</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Този проект има за цел да гарантира ефективното и ефикасно управление на различните видове обезпечения.</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Компонент 1 — Управление на обезпеченията: Трансевропейската система ще обхваща управлението на общите обезпечения, които може да бъдат използвани в повече от една държава членка, и мониторинга на референтната сума за всяка митническа декларация, допълнителна декларация или подходяща информация за необходимите данни за вписване в отчетността за съществуващите митнически задължения за всички митнически режими, както е предвидено в Митническия кодекс на Съюза, с изключение на транзита, който се обработва в рамките на проекта NCTS.</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Компонент 2 — Национално управление на обезпеченията: Трябва да бъдат осъвременени и съществуващите на национално равнище електронни системи за управление на обезпеченията, валидни в една държава членка.</w:t>
      </w:r>
    </w:p>
    <w:p>
      <w:pPr>
        <w:spacing w:after="120" w:line="240" w:lineRule="auto"/>
        <w:jc w:val="both"/>
        <w:rPr>
          <w:rFonts w:ascii="Times New Roman" w:eastAsia="Times New Roman" w:hAnsi="Times New Roman" w:cs="Times New Roman"/>
          <w:noProof/>
          <w:sz w:val="24"/>
          <w:szCs w:val="24"/>
          <w:lang w:val="bg-BG"/>
        </w:rPr>
      </w:pPr>
    </w:p>
    <w:p>
      <w:pPr>
        <w:spacing w:after="120" w:line="240" w:lineRule="auto"/>
        <w:jc w:val="both"/>
        <w:rPr>
          <w:rFonts w:ascii="Times New Roman" w:eastAsia="Times New Roman" w:hAnsi="Times New Roman" w:cs="Times New Roman"/>
          <w:b/>
          <w:bCs/>
          <w:noProof/>
          <w:sz w:val="27"/>
          <w:szCs w:val="27"/>
          <w:lang w:val="bg-BG"/>
        </w:rPr>
      </w:pPr>
      <w:r>
        <w:rPr>
          <w:rFonts w:ascii="Times New Roman" w:hAnsi="Times New Roman"/>
          <w:b/>
          <w:noProof/>
          <w:sz w:val="27"/>
          <w:lang w:val="bg-BG"/>
        </w:rPr>
        <w:t>17. Митнически кодекс на Съюза: надстройка на системата за контрол на вноса (СКВ 2)</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Целта на този проект е да се засили безопасността и сигурността на веригата на доставки за всички видове транспорт и особено при въздушни товарни превози, посредством подобряване на качеството на данните, регистрирането на данни, наличността на данни и споделянето на данни по отношение на обобщената декларация за въвеждане и свързаните с тях рискове и контрол на информацията (ОДВ+ жизнен цикъл).</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Проектът също така ще улесни сътрудничеството между държавите членки в процеса на анализа на риска. Това ще доведе до изцяло нова структура на съществуващата трансевропейска система за контрол на вноса.</w:t>
      </w:r>
    </w:p>
    <w:p>
      <w:pPr>
        <w:rPr>
          <w:rFonts w:ascii="Times New Roman" w:eastAsia="Times New Roman" w:hAnsi="Times New Roman" w:cs="Times New Roman"/>
          <w:noProof/>
          <w:sz w:val="24"/>
          <w:szCs w:val="24"/>
          <w:lang w:val="bg-BG"/>
        </w:rPr>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pPr>
    </w:p>
    <w:p>
      <w:pPr>
        <w:spacing w:after="240" w:line="240" w:lineRule="auto"/>
        <w:jc w:val="center"/>
        <w:rPr>
          <w:rFonts w:ascii="Times New Roman" w:eastAsia="Times New Roman" w:hAnsi="Times New Roman" w:cs="Times New Roman"/>
          <w:b/>
          <w:noProof/>
          <w:sz w:val="24"/>
          <w:szCs w:val="20"/>
          <w:lang w:val="bg-BG"/>
        </w:rPr>
      </w:pPr>
      <w:r>
        <w:rPr>
          <w:rFonts w:ascii="Times New Roman" w:hAnsi="Times New Roman"/>
          <w:b/>
          <w:noProof/>
          <w:sz w:val="24"/>
          <w:lang w:val="bg-BG"/>
        </w:rPr>
        <w:t>Приложение 2</w:t>
      </w:r>
    </w:p>
    <w:p>
      <w:pPr>
        <w:spacing w:after="240" w:line="240" w:lineRule="auto"/>
        <w:jc w:val="center"/>
        <w:rPr>
          <w:rFonts w:ascii="Times New Roman" w:eastAsia="Times New Roman" w:hAnsi="Times New Roman" w:cs="Times New Roman"/>
          <w:noProof/>
          <w:sz w:val="24"/>
          <w:szCs w:val="20"/>
          <w:lang w:val="bg-BG"/>
        </w:rPr>
      </w:pPr>
      <w:r>
        <w:rPr>
          <w:noProof/>
          <w:lang w:val="en-US"/>
        </w:rPr>
        <w:drawing>
          <wp:inline distT="0" distB="0" distL="0" distR="0">
            <wp:extent cx="8029575" cy="445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29575" cy="4457700"/>
                    </a:xfrm>
                    <a:prstGeom prst="rect">
                      <a:avLst/>
                    </a:prstGeom>
                    <a:noFill/>
                    <a:ln>
                      <a:noFill/>
                    </a:ln>
                  </pic:spPr>
                </pic:pic>
              </a:graphicData>
            </a:graphic>
          </wp:inline>
        </w:drawing>
      </w:r>
    </w:p>
    <w:p>
      <w:pPr>
        <w:spacing w:after="240" w:line="240" w:lineRule="auto"/>
        <w:jc w:val="both"/>
        <w:rPr>
          <w:rFonts w:ascii="Times New Roman" w:eastAsia="Times New Roman" w:hAnsi="Times New Roman" w:cs="Times New Roman"/>
          <w:noProof/>
          <w:sz w:val="24"/>
          <w:szCs w:val="20"/>
          <w:lang w:val="bg-BG"/>
        </w:rPr>
      </w:pPr>
      <w:r>
        <w:rPr>
          <w:rFonts w:ascii="Times New Roman" w:hAnsi="Times New Roman"/>
          <w:b/>
          <w:noProof/>
          <w:sz w:val="24"/>
          <w:lang w:val="bg-BG"/>
        </w:rPr>
        <w:t>Забележка</w:t>
      </w:r>
      <w:r>
        <w:rPr>
          <w:rFonts w:ascii="Times New Roman" w:hAnsi="Times New Roman"/>
          <w:noProof/>
          <w:sz w:val="24"/>
          <w:lang w:val="bg-BG"/>
        </w:rPr>
        <w:t>: Числовите стойности на процентите на изпълнение на МКС се отнасят единствено до работата, която следва да се извърши от Комисията, и не засяга работата на държавите членки</w:t>
      </w:r>
      <w:r>
        <w:rPr>
          <w:rFonts w:ascii="Times New Roman" w:eastAsia="Times New Roman" w:hAnsi="Times New Roman" w:cs="Times New Roman"/>
          <w:noProof/>
          <w:sz w:val="24"/>
          <w:szCs w:val="20"/>
          <w:lang w:val="bg-BG"/>
        </w:rPr>
        <w:t>.</w:t>
      </w:r>
    </w:p>
    <w:sectPr>
      <w:headerReference w:type="even" r:id="rId25"/>
      <w:headerReference w:type="default" r:id="rId26"/>
      <w:footerReference w:type="even" r:id="rId27"/>
      <w:footerReference w:type="default" r:id="rId28"/>
      <w:headerReference w:type="first" r:id="rId29"/>
      <w:footerReference w:type="first" r:id="rId30"/>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3182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176911"/>
      <w:docPartObj>
        <w:docPartGallery w:val="Page Numbers (Bottom of Page)"/>
        <w:docPartUnique/>
      </w:docPartObj>
    </w:sdtPr>
    <w:sdtEndPr>
      <w:rPr>
        <w:noProof/>
      </w:rPr>
    </w:sdtEndPr>
    <w:sdtContent>
      <w:p>
        <w:pPr>
          <w:pStyle w:val="Footer"/>
          <w:jc w:val="right"/>
        </w:pPr>
        <w:r>
          <w:rPr>
            <w:lang w:val="de-DE"/>
          </w:rPr>
          <w:fldChar w:fldCharType="begin"/>
        </w:r>
        <w:r>
          <w:rPr>
            <w:lang w:val="de-DE"/>
          </w:rPr>
          <w:instrText xml:space="preserve"> PAGE   \* MERGEFORMAT </w:instrText>
        </w:r>
        <w:r>
          <w:rPr>
            <w:lang w:val="de-DE"/>
          </w:rPr>
          <w:fldChar w:fldCharType="separate"/>
        </w:r>
        <w:r>
          <w:rPr>
            <w:noProof/>
            <w:lang w:val="de-DE"/>
          </w:rPr>
          <w:t>21</w:t>
        </w:r>
        <w:r>
          <w:rPr>
            <w:noProof/>
            <w:lang w:val="de-DE"/>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и Европейския икономически и социален комитет „Развитие на митническия съюз в ЕС и на неговото управление“, COM(2016) 813 final.</w:t>
      </w:r>
    </w:p>
  </w:footnote>
  <w:footnote w:id="2">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952/2013 на Европейския парламент и на Съвета от 9 октомври 2013 г. (ОВ L 269, 10.10.2013 г., стр. 1).</w:t>
      </w:r>
    </w:p>
  </w:footnote>
  <w:footnote w:id="3">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относно развитието на митническия съюз в ЕС и на неговото управление, 7585/1/17 UD 82 ENFOCUSTOM 83.</w:t>
      </w:r>
    </w:p>
  </w:footnote>
  <w:footnote w:id="4">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Заключения на Съвета относно финансирането на митниците, 7586/17 UD 83 ENFOCUSTOM 84.</w:t>
      </w:r>
    </w:p>
  </w:footnote>
  <w:footnote w:id="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ОИСР, </w:t>
      </w:r>
      <w:r>
        <w:rPr>
          <w:rFonts w:ascii="Times New Roman" w:hAnsi="Times New Roman"/>
          <w:i/>
        </w:rPr>
        <w:t>Trade Policy Papers</w:t>
      </w:r>
      <w:r>
        <w:rPr>
          <w:rFonts w:ascii="Times New Roman" w:hAnsi="Times New Roman"/>
        </w:rPr>
        <w:t xml:space="preserve"> 21, 42, 118, 144, 150 и 157 и </w:t>
      </w:r>
      <w:r>
        <w:rPr>
          <w:rFonts w:ascii="Times New Roman" w:hAnsi="Times New Roman"/>
          <w:i/>
        </w:rPr>
        <w:t>Djankov, Simeon;</w:t>
      </w:r>
      <w:r>
        <w:rPr>
          <w:rFonts w:ascii="Times New Roman" w:hAnsi="Times New Roman"/>
        </w:rPr>
        <w:t xml:space="preserve"> </w:t>
      </w:r>
      <w:r>
        <w:rPr>
          <w:rFonts w:ascii="Times New Roman" w:hAnsi="Times New Roman"/>
          <w:i/>
        </w:rPr>
        <w:t>Freund, Caroline и Pham, Cong S.:</w:t>
      </w:r>
      <w:r>
        <w:rPr>
          <w:rFonts w:ascii="Times New Roman" w:hAnsi="Times New Roman"/>
        </w:rPr>
        <w:t xml:space="preserve"> </w:t>
      </w:r>
      <w:r>
        <w:rPr>
          <w:rFonts w:ascii="Times New Roman" w:hAnsi="Times New Roman"/>
          <w:i/>
        </w:rPr>
        <w:t>Trading on Time</w:t>
      </w:r>
      <w:r>
        <w:rPr>
          <w:rFonts w:ascii="Times New Roman" w:hAnsi="Times New Roman"/>
        </w:rPr>
        <w:t xml:space="preserve"> (Търговия навреме), доклад </w:t>
      </w:r>
      <w:r>
        <w:rPr>
          <w:rFonts w:ascii="Times New Roman" w:hAnsi="Times New Roman"/>
          <w:i/>
        </w:rPr>
        <w:t>Doing Business</w:t>
      </w:r>
      <w:r>
        <w:rPr>
          <w:rFonts w:ascii="Times New Roman" w:hAnsi="Times New Roman"/>
        </w:rPr>
        <w:t xml:space="preserve"> на Световната банка (2006 г. и 2008 г.):  Докладът за 2008 г. е изменен през 2010 г.</w:t>
      </w:r>
    </w:p>
  </w:footnote>
  <w:footnote w:id="6">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Hummels, David (2001 г.).</w:t>
      </w:r>
      <w:r>
        <w:rPr>
          <w:rFonts w:ascii="Times New Roman" w:hAnsi="Times New Roman"/>
        </w:rPr>
        <w:t xml:space="preserve"> </w:t>
      </w:r>
      <w:r>
        <w:rPr>
          <w:rFonts w:ascii="Times New Roman" w:hAnsi="Times New Roman"/>
          <w:i/>
        </w:rPr>
        <w:t>Time as a Trade Barrier</w:t>
      </w:r>
      <w:r>
        <w:rPr>
          <w:rFonts w:ascii="Times New Roman" w:hAnsi="Times New Roman"/>
        </w:rPr>
        <w:t xml:space="preserve"> (Времето като пречка пред търговията), работен доклад. Университет „Purdue“, САЩ.</w:t>
      </w:r>
    </w:p>
  </w:footnote>
  <w:footnote w:id="7">
    <w:p>
      <w:pPr>
        <w:pStyle w:val="Default"/>
        <w:spacing w:after="120"/>
        <w:jc w:val="both"/>
        <w:rPr>
          <w:rFonts w:ascii="Times New Roman" w:hAnsi="Times New Roman" w:cs="Times New Roman"/>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Решение за изпълнение (ЕС) 2016/578 на Комисията от 11 април 2016 г. за създаване на работна програма относно разработването и въвеждането на електронните системи, предвидени в Митническия кодекс на Съюза (ОВ L 99, 15.4.2016 г. стр. 6), с което се заменя по-ранната версия на Работната програма, установена в Решение за изпълнение 2014/255/ЕС на Комисията от 29 април 2014 г. (ОВ L 134, 7.5.2014 г., стр. 46</w:t>
      </w:r>
      <w:r>
        <w:rPr>
          <w:rFonts w:ascii="Times New Roman" w:hAnsi="Times New Roman" w:cs="Times New Roman"/>
          <w:color w:val="auto"/>
          <w:sz w:val="20"/>
        </w:rPr>
        <w:t>―</w:t>
      </w:r>
      <w:r>
        <w:rPr>
          <w:rFonts w:ascii="Times New Roman" w:hAnsi="Times New Roman"/>
          <w:color w:val="auto"/>
          <w:sz w:val="20"/>
        </w:rPr>
        <w:t xml:space="preserve">53). </w:t>
      </w:r>
    </w:p>
  </w:footnote>
  <w:footnote w:id="8">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 70/2008/ЕО на Европейския парламент и на Съвета от 15 януари 2008 г. относно безкнижна среда в митниците и търговията (ОВ L 23, 26.1.2008 г., стр. 21).</w:t>
      </w:r>
    </w:p>
  </w:footnote>
  <w:footnote w:id="9">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приложение 1 са изброени ИТ системите, предвидени в Работната програма за МКС.</w:t>
      </w:r>
    </w:p>
  </w:footnote>
  <w:footnote w:id="10">
    <w:p>
      <w:pPr>
        <w:pStyle w:val="Default"/>
        <w:spacing w:after="120"/>
        <w:jc w:val="both"/>
        <w:rPr>
          <w:rFonts w:ascii="Times New Roman" w:eastAsia="Calibri" w:hAnsi="Times New Roman" w:cs="Times New Roman"/>
          <w:iCs/>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Регламент (ЕС) № 1294/2013 на Европейския парламент и на Съвета от 11 декември 2013 г. за създаване на програма за действие за митниците в Европейския съюз за периода 2014—2020 г. („Митници 2020“) и за отмяна на Решение № 624/2007/ЕО (OB L 347, 20.12.2013 г., стр. 209).</w:t>
      </w:r>
    </w:p>
  </w:footnote>
  <w:footnote w:id="11">
    <w:p>
      <w:pPr>
        <w:pStyle w:val="FootnoteText"/>
      </w:pPr>
      <w:r>
        <w:rPr>
          <w:rStyle w:val="FootnoteReference"/>
        </w:rPr>
        <w:footnoteRef/>
      </w:r>
      <w:r>
        <w:t xml:space="preserve">  </w:t>
      </w:r>
      <w:r>
        <w:rPr>
          <w:rFonts w:ascii="Times New Roman" w:hAnsi="Times New Roman"/>
        </w:rPr>
        <w:t>Част от финансирането се осигурява от информационната система за борба с измамите (AFIS).</w:t>
      </w:r>
    </w:p>
  </w:footnote>
  <w:footnote w:id="12">
    <w:p>
      <w:pPr>
        <w:pStyle w:val="FootnoteText"/>
      </w:pPr>
      <w:r>
        <w:rPr>
          <w:rStyle w:val="FootnoteReference"/>
        </w:rPr>
        <w:footnoteRef/>
      </w:r>
      <w:r>
        <w:t xml:space="preserve"> Програма в областта на цифровите технологии за Европа („Digital Agenda for Europe“), COM(2010) 245 final от 19.5.2010 г. и поправка от 26.8.2010 г.</w:t>
      </w:r>
    </w:p>
  </w:footnote>
  <w:footnote w:id="13">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Strategic Framework for the collaborative realisation of EU Customs IT Systems:</w:t>
      </w:r>
      <w:r>
        <w:rPr>
          <w:rFonts w:ascii="Times New Roman" w:hAnsi="Times New Roman"/>
        </w:rPr>
        <w:t xml:space="preserve"> </w:t>
      </w:r>
      <w:r>
        <w:rPr>
          <w:rFonts w:ascii="Times New Roman" w:hAnsi="Times New Roman"/>
          <w:i/>
        </w:rPr>
        <w:t>March 2014</w:t>
      </w:r>
      <w:r>
        <w:rPr>
          <w:rFonts w:ascii="Times New Roman" w:hAnsi="Times New Roman"/>
        </w:rPr>
        <w:t xml:space="preserve"> (Стратегическа рамка за съвместно реализиране на митническите ИТ системи на ЕС: март 2014 г.).</w:t>
      </w:r>
    </w:p>
  </w:footnote>
  <w:footnote w:id="14">
    <w:p>
      <w:pPr>
        <w:pStyle w:val="FootnoteText"/>
      </w:pPr>
      <w:r>
        <w:rPr>
          <w:rStyle w:val="FootnoteReference"/>
        </w:rPr>
        <w:footnoteRef/>
      </w:r>
      <w:r>
        <w:t xml:space="preserve"> COM(2018) 39 final от 22.1.2018 г.</w:t>
      </w:r>
    </w:p>
  </w:footnote>
  <w:footnote w:id="15">
    <w:p>
      <w:pPr>
        <w:pStyle w:val="FootnoteText"/>
        <w:spacing w:after="1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дневния ред на заседанието на Съвета по икономически и финансови въпроси на 7 ноември 2017 г. (№°13623/17) и документа по точка A (№°13556/17 UD 240) относно приемането на заключенията на Съвета.</w:t>
      </w:r>
    </w:p>
  </w:footnote>
  <w:footnote w:id="16">
    <w:p>
      <w:pPr>
        <w:pStyle w:val="FootnoteText"/>
        <w:spacing w:after="120"/>
        <w:jc w:val="both"/>
      </w:pPr>
      <w:r>
        <w:rPr>
          <w:rStyle w:val="FootnoteReference"/>
          <w:rFonts w:ascii="Times New Roman" w:hAnsi="Times New Roman"/>
        </w:rPr>
        <w:footnoteRef/>
      </w:r>
      <w:r>
        <w:rPr>
          <w:rFonts w:ascii="Times New Roman" w:hAnsi="Times New Roman"/>
        </w:rPr>
        <w:t xml:space="preserve"> Вж. Регламент (ЕО) № 1082/2006 на Европейския парламент и на Съвета от 5 юли 2006 г. </w:t>
      </w:r>
      <w:r>
        <w:rPr>
          <w:rStyle w:val="Strong"/>
          <w:rFonts w:ascii="Times New Roman" w:hAnsi="Times New Roman"/>
          <w:b w:val="0"/>
        </w:rPr>
        <w:t xml:space="preserve">относно Европейската група за териториално сътрудничество (ЕГТС) </w:t>
      </w:r>
      <w:r>
        <w:rPr>
          <w:rStyle w:val="Strong"/>
          <w:rFonts w:ascii="Times New Roman" w:hAnsi="Times New Roman"/>
        </w:rPr>
        <w:t>(</w:t>
      </w:r>
      <w:r>
        <w:rPr>
          <w:rFonts w:ascii="Times New Roman" w:hAnsi="Times New Roman"/>
        </w:rPr>
        <w:t>ОВ L 210, 31.7.2006 г., стр. 19).</w:t>
      </w:r>
    </w:p>
  </w:footnote>
  <w:footnote w:id="17">
    <w:p>
      <w:pPr>
        <w:pStyle w:val="FootnoteText"/>
      </w:pPr>
      <w:r>
        <w:rPr>
          <w:rStyle w:val="FootnoteReference"/>
        </w:rPr>
        <w:footnoteRef/>
      </w:r>
      <w:r>
        <w:t xml:space="preserve"> Европейската служба за борба с измамите (OLAF) вече управлява общоевропейски митнически ИТ системи, които подпомагат митническите органи в работата им, свързана с борбата с измамите в митническата сфера. OLAF обаче не разполага нито с правомощията, нито с ресурсите за управление на широкомащабни информационни системи извън тези, свързани с измамите.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E9B"/>
    <w:multiLevelType w:val="multilevel"/>
    <w:tmpl w:val="AC885D7A"/>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FE2095B"/>
    <w:multiLevelType w:val="hybridMultilevel"/>
    <w:tmpl w:val="0D4C8F20"/>
    <w:lvl w:ilvl="0" w:tplc="DAB61F5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483E21"/>
    <w:multiLevelType w:val="hybridMultilevel"/>
    <w:tmpl w:val="67021292"/>
    <w:lvl w:ilvl="0" w:tplc="36AA7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C425A"/>
    <w:multiLevelType w:val="hybridMultilevel"/>
    <w:tmpl w:val="8446E276"/>
    <w:lvl w:ilvl="0" w:tplc="D69CB3A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319430A9"/>
    <w:multiLevelType w:val="hybridMultilevel"/>
    <w:tmpl w:val="E732F3D0"/>
    <w:lvl w:ilvl="0" w:tplc="C5CA7A4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1B4C8A"/>
    <w:multiLevelType w:val="hybridMultilevel"/>
    <w:tmpl w:val="06C86892"/>
    <w:lvl w:ilvl="0" w:tplc="D69CB3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535EB"/>
    <w:multiLevelType w:val="hybridMultilevel"/>
    <w:tmpl w:val="BC42CC98"/>
    <w:lvl w:ilvl="0" w:tplc="A254F63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3D01D7"/>
    <w:multiLevelType w:val="hybridMultilevel"/>
    <w:tmpl w:val="1E946FE4"/>
    <w:lvl w:ilvl="0" w:tplc="841468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97D21"/>
    <w:multiLevelType w:val="hybridMultilevel"/>
    <w:tmpl w:val="7A20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F90114"/>
    <w:multiLevelType w:val="hybridMultilevel"/>
    <w:tmpl w:val="A1A83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D69CB3AC">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0265BC"/>
    <w:multiLevelType w:val="hybridMultilevel"/>
    <w:tmpl w:val="854090E8"/>
    <w:lvl w:ilvl="0" w:tplc="4C8C239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7"/>
  </w:num>
  <w:num w:numId="6">
    <w:abstractNumId w:val="1"/>
  </w:num>
  <w:num w:numId="7">
    <w:abstractNumId w:val="4"/>
  </w:num>
  <w:num w:numId="8">
    <w:abstractNumId w:val="10"/>
  </w:num>
  <w:num w:numId="9">
    <w:abstractNumId w:val="6"/>
  </w:num>
  <w:num w:numId="10">
    <w:abstractNumId w:val="0"/>
  </w:num>
  <w:num w:numId="11">
    <w:abstractNumId w:val="0"/>
    <w:lvlOverride w:ilvl="0">
      <w:startOverride w:val="1"/>
    </w:lvlOverride>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C228E32-A73D-4156-B4A9-A4FED1227EA0"/>
    <w:docVar w:name="LW_COVERPAGE_TYPE" w:val="1"/>
    <w:docVar w:name="LW_CROSSREFERENCE" w:val="&lt;UNUSED&gt;"/>
    <w:docVar w:name="LW_DocType" w:val="NORMAL"/>
    <w:docVar w:name="LW_EMISSION" w:val="11.4.2018"/>
    <w:docVar w:name="LW_EMISSION_ISODATE" w:val="2018-04-11"/>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0?\u1085?\u1092?\u1086?\u1088?\u1084?\u1072?\u1094?\u1080?\u1086?\u1085?\u1085?\u1086?\u1090?\u1077?\u1093?\u1085?\u1086?\u1083?\u1086?\u1075?\u1080?\u1095?\u1085?\u1072?\u1090?\u1072? \u1089?\u1090?\u1088?\u1072?\u1090?\u1077?\u1075?\u1080?\u1103? \u1079?\u1072? \u1084?\u1080?\u1090?\u1085?\u1080?\u1094?\u1080?\u109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0"/>
      </w:numPr>
      <w:spacing w:before="48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keepNext/>
      <w:keepLines/>
      <w:numPr>
        <w:ilvl w:val="1"/>
        <w:numId w:val="10"/>
      </w:numPr>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0"/>
      </w:numPr>
      <w:spacing w:before="480" w:after="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pPr>
      <w:keepNext/>
      <w:keepLines/>
      <w:numPr>
        <w:ilvl w:val="1"/>
        <w:numId w:val="10"/>
      </w:numPr>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11779">
      <w:bodyDiv w:val="1"/>
      <w:marLeft w:val="0"/>
      <w:marRight w:val="0"/>
      <w:marTop w:val="0"/>
      <w:marBottom w:val="0"/>
      <w:divBdr>
        <w:top w:val="none" w:sz="0" w:space="0" w:color="auto"/>
        <w:left w:val="none" w:sz="0" w:space="0" w:color="auto"/>
        <w:bottom w:val="none" w:sz="0" w:space="0" w:color="auto"/>
        <w:right w:val="none" w:sz="0" w:space="0" w:color="auto"/>
      </w:divBdr>
    </w:div>
    <w:div w:id="1276249726">
      <w:bodyDiv w:val="1"/>
      <w:marLeft w:val="0"/>
      <w:marRight w:val="0"/>
      <w:marTop w:val="0"/>
      <w:marBottom w:val="0"/>
      <w:divBdr>
        <w:top w:val="none" w:sz="0" w:space="0" w:color="auto"/>
        <w:left w:val="none" w:sz="0" w:space="0" w:color="auto"/>
        <w:bottom w:val="none" w:sz="0" w:space="0" w:color="auto"/>
        <w:right w:val="none" w:sz="0" w:space="0" w:color="auto"/>
      </w:divBdr>
    </w:div>
    <w:div w:id="20172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3528-0042-49EF-BFE5-24AECB35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7183</Words>
  <Characters>41951</Characters>
  <Application>Microsoft Office Word</Application>
  <DocSecurity>0</DocSecurity>
  <Lines>762</Lines>
  <Paragraphs>201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2018-03-27T09:59:00Z</dcterms:created>
  <dcterms:modified xsi:type="dcterms:W3CDTF">2018-04-04T06:38:00Z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