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69F9714-A0BE-4328-8EB0-F1193BFC0516" style="width:450.25pt;height:457.8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tbl>
      <w:tblPr>
        <w:tblStyle w:val="TableGrid"/>
        <w:tblW w:w="5000" w:type="pct"/>
        <w:shd w:val="clear" w:color="auto" w:fill="BFBFBF" w:themeFill="background1" w:themeFillShade="BF"/>
        <w:tblCellMar>
          <w:top w:w="28" w:type="dxa"/>
          <w:left w:w="28" w:type="dxa"/>
          <w:bottom w:w="28" w:type="dxa"/>
          <w:right w:w="28" w:type="dxa"/>
        </w:tblCellMar>
        <w:tblLook w:val="04A0" w:firstRow="1" w:lastRow="0" w:firstColumn="1" w:lastColumn="0" w:noHBand="0" w:noVBand="1"/>
      </w:tblPr>
      <w:tblGrid>
        <w:gridCol w:w="9128"/>
      </w:tblGrid>
      <w:tr>
        <w:trPr>
          <w:cantSplit/>
        </w:trPr>
        <w:tc>
          <w:tcPr>
            <w:tcW w:w="9128" w:type="dxa"/>
            <w:tcBorders>
              <w:bottom w:val="single" w:sz="4" w:space="0" w:color="auto"/>
            </w:tcBorders>
            <w:shd w:val="clear" w:color="auto" w:fill="BFBFBF" w:themeFill="background1" w:themeFillShade="BF"/>
            <w:vAlign w:val="center"/>
          </w:tcPr>
          <w:p>
            <w:pPr>
              <w:pStyle w:val="Default"/>
              <w:spacing w:before="60" w:after="60"/>
              <w:jc w:val="center"/>
              <w:rPr>
                <w:noProof/>
                <w:sz w:val="23"/>
                <w:szCs w:val="23"/>
              </w:rPr>
            </w:pPr>
            <w:bookmarkStart w:id="1" w:name="_GoBack"/>
            <w:bookmarkEnd w:id="1"/>
            <w:r>
              <w:rPr>
                <w:b/>
                <w:bCs/>
                <w:noProof/>
                <w:sz w:val="23"/>
                <w:szCs w:val="23"/>
              </w:rPr>
              <w:lastRenderedPageBreak/>
              <w:t xml:space="preserve">Executive Summary </w:t>
            </w:r>
          </w:p>
        </w:tc>
      </w:tr>
      <w:tr>
        <w:trPr>
          <w:cantSplit/>
        </w:trPr>
        <w:tc>
          <w:tcPr>
            <w:tcW w:w="9128" w:type="dxa"/>
            <w:shd w:val="clear" w:color="auto" w:fill="8DB3E2" w:themeFill="text2" w:themeFillTint="66"/>
          </w:tcPr>
          <w:p>
            <w:pPr>
              <w:spacing w:before="60" w:after="60"/>
              <w:jc w:val="center"/>
              <w:rPr>
                <w:rFonts w:ascii="Times New Roman" w:hAnsi="Times New Roman" w:cs="Times New Roman"/>
                <w:noProof/>
              </w:rPr>
            </w:pPr>
            <w:r>
              <w:rPr>
                <w:rFonts w:ascii="Times New Roman" w:hAnsi="Times New Roman" w:cs="Times New Roman"/>
                <w:noProof/>
              </w:rPr>
              <w:t xml:space="preserve">Impact assessment on the initiative to improve the food supply chain – unfair trading practices </w:t>
            </w:r>
          </w:p>
        </w:tc>
      </w:tr>
      <w:tr>
        <w:trPr>
          <w:cantSplit/>
        </w:trPr>
        <w:tc>
          <w:tcPr>
            <w:tcW w:w="9128" w:type="dxa"/>
            <w:tcBorders>
              <w:bottom w:val="single" w:sz="4" w:space="0" w:color="auto"/>
            </w:tcBorders>
            <w:shd w:val="clear" w:color="auto" w:fill="BFBFBF" w:themeFill="background1" w:themeFillShade="BF"/>
            <w:vAlign w:val="center"/>
          </w:tcPr>
          <w:p>
            <w:pPr>
              <w:pStyle w:val="Default"/>
              <w:spacing w:before="60" w:after="60"/>
              <w:jc w:val="both"/>
              <w:rPr>
                <w:noProof/>
                <w:sz w:val="23"/>
                <w:szCs w:val="23"/>
              </w:rPr>
            </w:pPr>
            <w:r>
              <w:rPr>
                <w:b/>
                <w:bCs/>
                <w:noProof/>
                <w:sz w:val="23"/>
                <w:szCs w:val="23"/>
              </w:rPr>
              <w:t xml:space="preserve">A. Need for action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bCs/>
                <w:noProof/>
                <w:sz w:val="23"/>
                <w:szCs w:val="23"/>
              </w:rPr>
              <w:t xml:space="preserve">What is the problem and why is it a problem at EU level? </w:t>
            </w:r>
          </w:p>
        </w:tc>
      </w:tr>
      <w:tr>
        <w:trPr>
          <w:cantSplit/>
        </w:trPr>
        <w:tc>
          <w:tcPr>
            <w:tcW w:w="9128" w:type="dxa"/>
            <w:shd w:val="clear" w:color="auto" w:fill="FFFFFF" w:themeFill="background1"/>
          </w:tcPr>
          <w:p>
            <w:pPr>
              <w:spacing w:before="40" w:after="40"/>
              <w:jc w:val="both"/>
              <w:rPr>
                <w:rFonts w:ascii="Times New Roman" w:hAnsi="Times New Roman" w:cs="Times New Roman"/>
                <w:noProof/>
              </w:rPr>
            </w:pPr>
            <w:r>
              <w:rPr>
                <w:rFonts w:ascii="Times New Roman" w:hAnsi="Times New Roman" w:cs="Times New Roman"/>
                <w:noProof/>
              </w:rPr>
              <w:t>Bargaining power between operators in the food supply chain (FSC) differs; weaker parties (e.g. farmers) are victims of unfair trading practices (UTPs). National regimes on UTPs vary, with little coordination between Member States (MS). This leaves operators in some MS under-protected, trans</w:t>
            </w:r>
            <w:r>
              <w:rPr>
                <w:rFonts w:ascii="Times New Roman" w:hAnsi="Times New Roman" w:cs="Times New Roman"/>
                <w:noProof/>
              </w:rPr>
              <w:softHyphen/>
              <w:t xml:space="preserve">lates into different business conditions across MS, and creates uncertainty for cross-border trade.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bCs/>
                <w:noProof/>
                <w:sz w:val="23"/>
                <w:szCs w:val="23"/>
              </w:rPr>
              <w:t xml:space="preserve">What should be achieved? </w:t>
            </w:r>
          </w:p>
        </w:tc>
      </w:tr>
      <w:tr>
        <w:trPr>
          <w:cantSplit/>
        </w:trPr>
        <w:tc>
          <w:tcPr>
            <w:tcW w:w="9128" w:type="dxa"/>
            <w:shd w:val="clear" w:color="auto" w:fill="FFFFFF" w:themeFill="background1"/>
          </w:tcPr>
          <w:p>
            <w:pPr>
              <w:spacing w:before="40" w:after="40"/>
              <w:jc w:val="both"/>
              <w:rPr>
                <w:rFonts w:ascii="Times New Roman" w:hAnsi="Times New Roman" w:cs="Times New Roman"/>
                <w:noProof/>
                <w:sz w:val="23"/>
                <w:szCs w:val="23"/>
              </w:rPr>
            </w:pPr>
            <w:r>
              <w:rPr>
                <w:rFonts w:ascii="Times New Roman" w:hAnsi="Times New Roman" w:cs="Times New Roman"/>
                <w:noProof/>
              </w:rPr>
              <w:t>Addressing UTPs contributes to a level playing field and enables effective redress for operators facing UTPs; this contributes to the CAP objectives of a fair standard of living for people engaged in agri</w:t>
            </w:r>
            <w:r>
              <w:rPr>
                <w:rFonts w:ascii="Times New Roman" w:hAnsi="Times New Roman" w:cs="Times New Roman"/>
                <w:noProof/>
              </w:rPr>
              <w:softHyphen/>
              <w:t xml:space="preserve">culture, greater resilience of weaker operators, and better functioning of the FSC.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bCs/>
                <w:noProof/>
                <w:sz w:val="23"/>
                <w:szCs w:val="23"/>
              </w:rPr>
              <w:t xml:space="preserve">What is the value added of action at the EU level (subsidiarity)? </w:t>
            </w:r>
          </w:p>
        </w:tc>
      </w:tr>
      <w:tr>
        <w:trPr>
          <w:cantSplit/>
        </w:trPr>
        <w:tc>
          <w:tcPr>
            <w:tcW w:w="9128" w:type="dxa"/>
            <w:shd w:val="clear" w:color="auto" w:fill="FFFFFF" w:themeFill="background1"/>
          </w:tcPr>
          <w:p>
            <w:pPr>
              <w:spacing w:before="40" w:after="40"/>
              <w:jc w:val="both"/>
              <w:rPr>
                <w:rFonts w:ascii="Times New Roman" w:hAnsi="Times New Roman" w:cs="Times New Roman"/>
                <w:noProof/>
                <w:sz w:val="23"/>
                <w:szCs w:val="23"/>
              </w:rPr>
            </w:pPr>
            <w:r>
              <w:rPr>
                <w:rFonts w:ascii="Times New Roman" w:hAnsi="Times New Roman" w:cs="Times New Roman"/>
                <w:noProof/>
              </w:rPr>
              <w:t xml:space="preserve">EU action provides a minimum common framework, improves protection against UTPs and reduces repercussions along the FSC. It also contributes to fair living standards of the agricultural community (TFEU Art. 39) and to coordination and exchange of best practices between MS; without EU action this would be difficult. </w:t>
            </w:r>
          </w:p>
        </w:tc>
      </w:tr>
      <w:tr>
        <w:trPr>
          <w:cantSplit/>
        </w:trPr>
        <w:tc>
          <w:tcPr>
            <w:tcW w:w="9128" w:type="dxa"/>
            <w:shd w:val="clear" w:color="auto" w:fill="BFBFBF" w:themeFill="background1" w:themeFillShade="BF"/>
          </w:tcPr>
          <w:p>
            <w:pPr>
              <w:pStyle w:val="Default"/>
              <w:keepNext/>
              <w:spacing w:before="60" w:after="60"/>
              <w:jc w:val="both"/>
              <w:rPr>
                <w:noProof/>
                <w:sz w:val="23"/>
                <w:szCs w:val="23"/>
              </w:rPr>
            </w:pPr>
            <w:r>
              <w:rPr>
                <w:b/>
                <w:bCs/>
                <w:noProof/>
                <w:sz w:val="23"/>
                <w:szCs w:val="23"/>
              </w:rPr>
              <w:t xml:space="preserve">B. Solutions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bCs/>
                <w:noProof/>
                <w:sz w:val="23"/>
                <w:szCs w:val="23"/>
              </w:rPr>
              <w:t xml:space="preserve">What are the various options to achieve the objectives? Is there a preferred option? </w:t>
            </w:r>
          </w:p>
        </w:tc>
      </w:tr>
      <w:tr>
        <w:trPr>
          <w:cantSplit/>
        </w:trPr>
        <w:tc>
          <w:tcPr>
            <w:tcW w:w="9128" w:type="dxa"/>
            <w:shd w:val="clear" w:color="auto" w:fill="FFFFFF" w:themeFill="background1"/>
          </w:tcPr>
          <w:p>
            <w:pPr>
              <w:spacing w:before="40" w:after="40"/>
              <w:jc w:val="both"/>
              <w:rPr>
                <w:rFonts w:ascii="Times New Roman" w:hAnsi="Times New Roman" w:cs="Times New Roman"/>
                <w:noProof/>
              </w:rPr>
            </w:pPr>
            <w:r>
              <w:rPr>
                <w:rFonts w:ascii="Times New Roman" w:hAnsi="Times New Roman" w:cs="Times New Roman"/>
                <w:noProof/>
              </w:rPr>
              <w:t>Options are broken down by degree of harmonisation, scope of UTP prohibitions, product coverage, operator coverage, enforcement, and coordination of MS. Preferred: partial harmonisation of UTP rules, covering agricultural and processed products, protecting SMEs, minimum requirements for en</w:t>
            </w:r>
            <w:r>
              <w:rPr>
                <w:rFonts w:ascii="Times New Roman" w:hAnsi="Times New Roman" w:cs="Times New Roman"/>
                <w:noProof/>
              </w:rPr>
              <w:softHyphen/>
              <w:t>forcement, and an enforcement mechanism at EU level.</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bCs/>
                <w:noProof/>
                <w:sz w:val="23"/>
                <w:szCs w:val="23"/>
              </w:rPr>
              <w:t xml:space="preserve">What are different stakeholders' views? Who supports which option? </w:t>
            </w:r>
          </w:p>
        </w:tc>
      </w:tr>
      <w:tr>
        <w:trPr>
          <w:cantSplit/>
        </w:trPr>
        <w:tc>
          <w:tcPr>
            <w:tcW w:w="9128" w:type="dxa"/>
            <w:shd w:val="clear" w:color="auto" w:fill="FFFFFF" w:themeFill="background1"/>
          </w:tcPr>
          <w:p>
            <w:pPr>
              <w:spacing w:before="40" w:after="40"/>
              <w:jc w:val="both"/>
              <w:rPr>
                <w:rFonts w:ascii="Times New Roman" w:hAnsi="Times New Roman" w:cs="Times New Roman"/>
                <w:noProof/>
              </w:rPr>
            </w:pPr>
            <w:r>
              <w:rPr>
                <w:rFonts w:ascii="Times New Roman" w:hAnsi="Times New Roman" w:cs="Times New Roman"/>
                <w:noProof/>
              </w:rPr>
              <w:t xml:space="preserve">Most stakeholders who responded to the open public consultation strongly support EU action, incl. on enforcement. (Large) retailers disagree that UTPs occur widely and oppose EU measures. </w:t>
            </w:r>
          </w:p>
        </w:tc>
      </w:tr>
      <w:tr>
        <w:trPr>
          <w:cantSplit/>
        </w:trPr>
        <w:tc>
          <w:tcPr>
            <w:tcW w:w="9128" w:type="dxa"/>
            <w:shd w:val="clear" w:color="auto" w:fill="BFBFBF" w:themeFill="background1" w:themeFillShade="BF"/>
          </w:tcPr>
          <w:p>
            <w:pPr>
              <w:pStyle w:val="Default"/>
              <w:keepNext/>
              <w:spacing w:before="60" w:after="60"/>
              <w:jc w:val="both"/>
              <w:rPr>
                <w:noProof/>
                <w:sz w:val="23"/>
                <w:szCs w:val="23"/>
              </w:rPr>
            </w:pPr>
            <w:r>
              <w:rPr>
                <w:b/>
                <w:bCs/>
                <w:noProof/>
                <w:sz w:val="23"/>
                <w:szCs w:val="23"/>
              </w:rPr>
              <w:t xml:space="preserve">C. Impacts of the preferred option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bCs/>
                <w:noProof/>
                <w:sz w:val="23"/>
                <w:szCs w:val="23"/>
              </w:rPr>
              <w:t xml:space="preserve">What are the benefits of the preferred option (if any, otherwise of </w:t>
            </w:r>
            <w:r>
              <w:rPr>
                <w:b/>
                <w:noProof/>
                <w:sz w:val="23"/>
                <w:szCs w:val="23"/>
              </w:rPr>
              <w:t>main</w:t>
            </w:r>
            <w:r>
              <w:rPr>
                <w:b/>
                <w:bCs/>
                <w:noProof/>
                <w:sz w:val="23"/>
                <w:szCs w:val="23"/>
              </w:rPr>
              <w:t xml:space="preserve"> ones)? </w:t>
            </w:r>
          </w:p>
        </w:tc>
      </w:tr>
      <w:tr>
        <w:trPr>
          <w:cantSplit/>
        </w:trPr>
        <w:tc>
          <w:tcPr>
            <w:tcW w:w="9128" w:type="dxa"/>
            <w:shd w:val="clear" w:color="auto" w:fill="FFFFFF" w:themeFill="background1"/>
          </w:tcPr>
          <w:p>
            <w:pPr>
              <w:spacing w:before="40" w:after="40"/>
              <w:jc w:val="both"/>
              <w:rPr>
                <w:rFonts w:ascii="Times New Roman" w:hAnsi="Times New Roman" w:cs="Times New Roman"/>
                <w:noProof/>
              </w:rPr>
            </w:pPr>
            <w:r>
              <w:rPr>
                <w:rFonts w:ascii="Times New Roman" w:hAnsi="Times New Roman" w:cs="Times New Roman"/>
                <w:noProof/>
              </w:rPr>
              <w:t xml:space="preserve">Small operators benefit from protection through UTP legislation, which increases their efficiency. These gains should result in positive social and economic impacts on society.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bCs/>
                <w:noProof/>
                <w:sz w:val="23"/>
                <w:szCs w:val="23"/>
              </w:rPr>
              <w:t xml:space="preserve">What are the costs of the preferred option (if any, otherwise of main ones)? </w:t>
            </w:r>
          </w:p>
        </w:tc>
      </w:tr>
      <w:tr>
        <w:trPr>
          <w:cantSplit/>
        </w:trPr>
        <w:tc>
          <w:tcPr>
            <w:tcW w:w="9128" w:type="dxa"/>
            <w:shd w:val="clear" w:color="auto" w:fill="FFFFFF" w:themeFill="background1"/>
          </w:tcPr>
          <w:p>
            <w:pPr>
              <w:spacing w:before="40" w:after="40"/>
              <w:jc w:val="both"/>
              <w:rPr>
                <w:rFonts w:ascii="Times New Roman" w:hAnsi="Times New Roman" w:cs="Times New Roman"/>
                <w:noProof/>
              </w:rPr>
            </w:pPr>
            <w:r>
              <w:rPr>
                <w:rFonts w:ascii="Times New Roman" w:hAnsi="Times New Roman" w:cs="Times New Roman"/>
                <w:noProof/>
              </w:rPr>
              <w:t>Companies’ compliance costs are not expected to be major. Social and environmental impacts are expected to be neutral or even positive; there could be costs for national administrations (below).</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b/>
                <w:noProof/>
                <w:sz w:val="23"/>
                <w:szCs w:val="23"/>
              </w:rPr>
            </w:pPr>
            <w:r>
              <w:rPr>
                <w:b/>
                <w:bCs/>
                <w:noProof/>
                <w:sz w:val="23"/>
                <w:szCs w:val="23"/>
              </w:rPr>
              <w:t xml:space="preserve">What are the impacts on </w:t>
            </w:r>
            <w:r>
              <w:rPr>
                <w:b/>
                <w:noProof/>
                <w:sz w:val="23"/>
                <w:szCs w:val="23"/>
              </w:rPr>
              <w:t>SMEs</w:t>
            </w:r>
            <w:r>
              <w:rPr>
                <w:b/>
                <w:bCs/>
                <w:noProof/>
                <w:sz w:val="23"/>
                <w:szCs w:val="23"/>
              </w:rPr>
              <w:t xml:space="preserve"> and competitiveness?</w:t>
            </w:r>
          </w:p>
        </w:tc>
      </w:tr>
      <w:tr>
        <w:trPr>
          <w:cantSplit/>
        </w:trPr>
        <w:tc>
          <w:tcPr>
            <w:tcW w:w="9128" w:type="dxa"/>
            <w:shd w:val="clear" w:color="auto" w:fill="FFFFFF" w:themeFill="background1"/>
          </w:tcPr>
          <w:p>
            <w:pPr>
              <w:spacing w:before="40" w:after="40"/>
              <w:jc w:val="both"/>
              <w:rPr>
                <w:rFonts w:ascii="Times New Roman" w:hAnsi="Times New Roman" w:cs="Times New Roman"/>
                <w:noProof/>
              </w:rPr>
            </w:pPr>
            <w:r>
              <w:rPr>
                <w:rFonts w:ascii="Times New Roman" w:hAnsi="Times New Roman" w:cs="Times New Roman"/>
                <w:noProof/>
              </w:rPr>
              <w:t xml:space="preserve">SMEs would be better protected, overall competitiveness is expected to increase.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bCs/>
                <w:noProof/>
                <w:sz w:val="23"/>
                <w:szCs w:val="23"/>
              </w:rPr>
              <w:t xml:space="preserve">Will there be significant impacts on national budgets and administrations? </w:t>
            </w:r>
          </w:p>
        </w:tc>
      </w:tr>
      <w:tr>
        <w:trPr>
          <w:cantSplit/>
        </w:trPr>
        <w:tc>
          <w:tcPr>
            <w:tcW w:w="9128" w:type="dxa"/>
            <w:shd w:val="clear" w:color="auto" w:fill="FFFFFF" w:themeFill="background1"/>
          </w:tcPr>
          <w:p>
            <w:pPr>
              <w:spacing w:before="40" w:after="40"/>
              <w:jc w:val="both"/>
              <w:rPr>
                <w:rFonts w:ascii="Times New Roman" w:hAnsi="Times New Roman" w:cs="Times New Roman"/>
                <w:noProof/>
                <w:highlight w:val="yellow"/>
              </w:rPr>
            </w:pPr>
            <w:r>
              <w:rPr>
                <w:rFonts w:ascii="Times New Roman" w:hAnsi="Times New Roman" w:cs="Times New Roman"/>
                <w:noProof/>
              </w:rPr>
              <w:t>A majority of MS already have some form of UTP rules in place; for them administrative costs will be limited. For other MS costs would be somewhat higher, but the experience of MS with UTP legislation shows that implementation costs are generally low and can be absorbed by existing structures.</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bCs/>
                <w:noProof/>
                <w:sz w:val="23"/>
                <w:szCs w:val="23"/>
              </w:rPr>
              <w:lastRenderedPageBreak/>
              <w:t xml:space="preserve">Will there be other significant impacts? </w:t>
            </w:r>
          </w:p>
        </w:tc>
      </w:tr>
      <w:tr>
        <w:trPr>
          <w:cantSplit/>
        </w:trPr>
        <w:tc>
          <w:tcPr>
            <w:tcW w:w="9128" w:type="dxa"/>
            <w:shd w:val="clear" w:color="auto" w:fill="FFFFFF" w:themeFill="background1"/>
          </w:tcPr>
          <w:p>
            <w:pPr>
              <w:spacing w:before="40" w:after="40"/>
              <w:jc w:val="both"/>
              <w:rPr>
                <w:rFonts w:ascii="Times New Roman" w:hAnsi="Times New Roman" w:cs="Times New Roman"/>
                <w:noProof/>
                <w:highlight w:val="yellow"/>
              </w:rPr>
            </w:pPr>
            <w:r>
              <w:rPr>
                <w:rFonts w:ascii="Times New Roman" w:hAnsi="Times New Roman" w:cs="Times New Roman"/>
                <w:noProof/>
              </w:rPr>
              <w:t xml:space="preserve">Third-country suppliers will also be covered.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bCs/>
                <w:noProof/>
                <w:sz w:val="23"/>
                <w:szCs w:val="23"/>
              </w:rPr>
              <w:t xml:space="preserve">Proportionality? </w:t>
            </w:r>
          </w:p>
        </w:tc>
      </w:tr>
      <w:tr>
        <w:trPr>
          <w:cantSplit/>
        </w:trPr>
        <w:tc>
          <w:tcPr>
            <w:tcW w:w="9128" w:type="dxa"/>
            <w:shd w:val="clear" w:color="auto" w:fill="FFFFFF" w:themeFill="background1"/>
          </w:tcPr>
          <w:p>
            <w:pPr>
              <w:spacing w:before="40" w:after="40"/>
              <w:jc w:val="both"/>
              <w:rPr>
                <w:rFonts w:ascii="Times New Roman" w:hAnsi="Times New Roman" w:cs="Times New Roman"/>
                <w:noProof/>
              </w:rPr>
            </w:pPr>
            <w:r>
              <w:rPr>
                <w:rFonts w:ascii="Times New Roman" w:hAnsi="Times New Roman" w:cs="Times New Roman"/>
                <w:noProof/>
              </w:rPr>
              <w:t xml:space="preserve">Only SMEs, the most damaging UTPs, and areas where MS cannot achieve the objectives on their own are covered. Expected costs are minimal. MS can maintain their regimes and legislate beyond the policy’s scope. </w:t>
            </w:r>
          </w:p>
        </w:tc>
      </w:tr>
      <w:tr>
        <w:trPr>
          <w:cantSplit/>
        </w:trPr>
        <w:tc>
          <w:tcPr>
            <w:tcW w:w="9128" w:type="dxa"/>
            <w:shd w:val="clear" w:color="auto" w:fill="BFBFBF" w:themeFill="background1" w:themeFillShade="BF"/>
          </w:tcPr>
          <w:p>
            <w:pPr>
              <w:pStyle w:val="Default"/>
              <w:keepNext/>
              <w:spacing w:before="60" w:after="60"/>
              <w:jc w:val="both"/>
              <w:rPr>
                <w:noProof/>
              </w:rPr>
            </w:pPr>
            <w:r>
              <w:rPr>
                <w:b/>
                <w:bCs/>
                <w:noProof/>
                <w:sz w:val="23"/>
                <w:szCs w:val="23"/>
              </w:rPr>
              <w:t xml:space="preserve">D. Follow up </w:t>
            </w:r>
          </w:p>
        </w:tc>
      </w:tr>
      <w:tr>
        <w:trPr>
          <w:cantSplit/>
        </w:trPr>
        <w:tc>
          <w:tcPr>
            <w:tcW w:w="9128" w:type="dxa"/>
            <w:tcBorders>
              <w:bottom w:val="single" w:sz="4" w:space="0" w:color="auto"/>
            </w:tcBorders>
            <w:shd w:val="clear" w:color="auto" w:fill="D9D9D9" w:themeFill="background1" w:themeFillShade="D9"/>
          </w:tcPr>
          <w:p>
            <w:pPr>
              <w:pStyle w:val="Default"/>
              <w:keepNext/>
              <w:spacing w:before="60" w:after="60"/>
              <w:jc w:val="both"/>
              <w:rPr>
                <w:noProof/>
                <w:sz w:val="23"/>
                <w:szCs w:val="23"/>
              </w:rPr>
            </w:pPr>
            <w:r>
              <w:rPr>
                <w:b/>
                <w:bCs/>
                <w:noProof/>
                <w:sz w:val="23"/>
                <w:szCs w:val="23"/>
              </w:rPr>
              <w:t>When will the policy be reviewed?</w:t>
            </w:r>
          </w:p>
        </w:tc>
      </w:tr>
      <w:tr>
        <w:trPr>
          <w:cantSplit/>
        </w:trPr>
        <w:tc>
          <w:tcPr>
            <w:tcW w:w="9128" w:type="dxa"/>
            <w:shd w:val="clear" w:color="auto" w:fill="FFFFFF" w:themeFill="background1"/>
          </w:tcPr>
          <w:p>
            <w:pPr>
              <w:spacing w:before="40" w:after="40"/>
              <w:jc w:val="both"/>
              <w:rPr>
                <w:rFonts w:ascii="Times New Roman" w:hAnsi="Times New Roman" w:cs="Times New Roman"/>
                <w:noProof/>
              </w:rPr>
            </w:pPr>
            <w:r>
              <w:rPr>
                <w:rFonts w:ascii="Times New Roman" w:hAnsi="Times New Roman" w:cs="Times New Roman"/>
                <w:noProof/>
              </w:rPr>
              <w:t xml:space="preserve">Based on MS reports the policy will be monitored annually by an </w:t>
            </w:r>
            <w:r>
              <w:rPr>
                <w:rFonts w:ascii="Times New Roman" w:hAnsi="Times New Roman" w:cs="Times New Roman"/>
                <w:i/>
                <w:noProof/>
              </w:rPr>
              <w:t>ad hoc</w:t>
            </w:r>
            <w:r>
              <w:rPr>
                <w:rFonts w:ascii="Times New Roman" w:hAnsi="Times New Roman" w:cs="Times New Roman"/>
                <w:noProof/>
              </w:rPr>
              <w:t xml:space="preserve"> expert group. A full review will be conducted after four years. </w:t>
            </w:r>
          </w:p>
        </w:tc>
      </w:tr>
    </w:tbl>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03950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69F9714-A0BE-4328-8EB0-F1193BFC0516"/>
    <w:docVar w:name="LW_COVERPAGE_TYPE" w:val="1"/>
    <w:docVar w:name="LW_CROSSREFERENCE" w:val="{COM(2018) 173 final}_x000b_{SWD(2018) 91 final}_x000b_{SWD(2018) 92 final}"/>
    <w:docVar w:name="LW_DocType" w:val="NORMAL"/>
    <w:docVar w:name="LW_EMISSION" w:val="12.4.2018"/>
    <w:docVar w:name="LW_EMISSION_ISODATE" w:val="2018-04-12"/>
    <w:docVar w:name="LW_EMISSION_LOCATION" w:val="BRX"/>
    <w:docVar w:name="LW_EMISSION_PREFIX" w:val="Brussels,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on unfair trading practices in business-to-business relationships in the food supply chain"/>
    <w:docVar w:name="LW_PART_NBR" w:val="1"/>
    <w:docVar w:name="LW_PART_NBR_TOTAL" w:val="1"/>
    <w:docVar w:name="LW_REF.INST.NEW" w:val="SWD"/>
    <w:docVar w:name="LW_REF.INST.NEW_ADOPTED" w:val="final"/>
    <w:docVar w:name="LW_REF.INST.NEW_TEXT" w:val="(2018) 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Initiative to improve the food supply chain (unfair trading practices)"/>
    <w:docVar w:name="LW_TYPE.DOC.CP" w:val="COMMISSION STAFF WORKING DOCUMENT_x000b__x000b_EXECUTIVE SUMMARY OF THE IMPACT ASSESSMENT_x000b_"/>
    <w:docVar w:name="LW_TYPEACTEPRINCIPAL.CP" w:val="Proposal for a _x000b__x000b_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548</Words>
  <Characters>3048</Characters>
  <Application>Microsoft Office Word</Application>
  <DocSecurity>0</DocSecurity>
  <Lines>52</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2018-03-28T10:00:00Z</cp:lastPrinted>
  <dcterms:created xsi:type="dcterms:W3CDTF">2018-03-27T06:43:00Z</dcterms:created>
  <dcterms:modified xsi:type="dcterms:W3CDTF">2018-04-11T07:07:00Z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