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0DD" w:rsidRDefault="0008761B">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7D8C755E-7645-4C7B-81FD-4D3835E4E87F" style="width:450.75pt;height:538.5pt">
            <v:imagedata r:id="rId12" o:title=""/>
          </v:shape>
        </w:pict>
      </w:r>
    </w:p>
    <w:bookmarkEnd w:id="0"/>
    <w:p w:rsidR="002430DD" w:rsidRDefault="002430DD">
      <w:pPr>
        <w:pStyle w:val="Pagedecouverture"/>
        <w:rPr>
          <w:noProof/>
        </w:rPr>
        <w:sectPr w:rsidR="002430DD">
          <w:headerReference w:type="even" r:id="rId13"/>
          <w:headerReference w:type="default" r:id="rId14"/>
          <w:footerReference w:type="even" r:id="rId15"/>
          <w:footerReference w:type="default" r:id="rId16"/>
          <w:headerReference w:type="first" r:id="rId17"/>
          <w:footerReference w:type="first" r:id="rId18"/>
          <w:pgSz w:w="11906" w:h="16838" w:code="9"/>
          <w:pgMar w:top="1134" w:right="1417" w:bottom="1134" w:left="1417" w:header="709" w:footer="709" w:gutter="0"/>
          <w:pgNumType w:start="0"/>
          <w:cols w:space="720"/>
          <w:docGrid w:linePitch="360"/>
        </w:sectPr>
      </w:pPr>
    </w:p>
    <w:p w:rsidR="002430DD" w:rsidRDefault="002430DD">
      <w:pPr>
        <w:rPr>
          <w:noProof/>
        </w:rPr>
      </w:pPr>
    </w:p>
    <w:sdt>
      <w:sdtPr>
        <w:rPr>
          <w:b/>
          <w:bCs/>
          <w:noProof/>
        </w:rPr>
        <w:id w:val="-498500468"/>
        <w:docPartObj>
          <w:docPartGallery w:val="Table of Contents"/>
          <w:docPartUnique/>
        </w:docPartObj>
      </w:sdtPr>
      <w:sdtEndPr>
        <w:rPr>
          <w:b w:val="0"/>
          <w:bCs w:val="0"/>
        </w:rPr>
      </w:sdtEndPr>
      <w:sdtContent>
        <w:p w:rsidR="002430DD" w:rsidRDefault="0008761B">
          <w:pPr>
            <w:ind w:left="432"/>
            <w:jc w:val="center"/>
            <w:rPr>
              <w:b/>
              <w:noProof/>
              <w:lang w:val="en-GB"/>
            </w:rPr>
          </w:pPr>
          <w:r>
            <w:rPr>
              <w:b/>
              <w:noProof/>
              <w:lang w:val="en-GB"/>
            </w:rPr>
            <w:t>Table of contents</w:t>
          </w:r>
        </w:p>
        <w:p w:rsidR="002430DD" w:rsidRDefault="0008761B">
          <w:pPr>
            <w:pStyle w:val="TOC1"/>
            <w:rPr>
              <w:rFonts w:asciiTheme="minorHAnsi" w:eastAsiaTheme="minorEastAsia" w:hAnsiTheme="minorHAnsi" w:cstheme="minorBidi"/>
              <w:noProof/>
              <w:sz w:val="22"/>
              <w:szCs w:val="22"/>
              <w:lang w:val="en-GB" w:eastAsia="en-GB"/>
            </w:rPr>
          </w:pPr>
          <w:r>
            <w:rPr>
              <w:noProof/>
            </w:rPr>
            <w:fldChar w:fldCharType="begin"/>
          </w:r>
          <w:r>
            <w:rPr>
              <w:noProof/>
            </w:rPr>
            <w:instrText xml:space="preserve"> TOC \o "1-3" \h \z \u </w:instrText>
          </w:r>
          <w:r>
            <w:rPr>
              <w:noProof/>
            </w:rPr>
            <w:fldChar w:fldCharType="separate"/>
          </w:r>
          <w:hyperlink w:anchor="_Toc510018318" w:history="1">
            <w:r>
              <w:rPr>
                <w:rStyle w:val="Hyperlink"/>
                <w:noProof/>
              </w:rPr>
              <w:t>Annex 11: Additional data on "free" digital services</w:t>
            </w:r>
            <w:r>
              <w:rPr>
                <w:noProof/>
                <w:webHidden/>
              </w:rPr>
              <w:tab/>
            </w:r>
            <w:r>
              <w:rPr>
                <w:noProof/>
                <w:webHidden/>
              </w:rPr>
              <w:fldChar w:fldCharType="begin"/>
            </w:r>
            <w:r>
              <w:rPr>
                <w:noProof/>
                <w:webHidden/>
              </w:rPr>
              <w:instrText xml:space="preserve"> PAGEREF _Toc510018318 \h </w:instrText>
            </w:r>
            <w:r>
              <w:rPr>
                <w:noProof/>
                <w:webHidden/>
              </w:rPr>
            </w:r>
            <w:r>
              <w:rPr>
                <w:noProof/>
                <w:webHidden/>
              </w:rPr>
              <w:fldChar w:fldCharType="separate"/>
            </w:r>
            <w:r>
              <w:rPr>
                <w:noProof/>
                <w:webHidden/>
              </w:rPr>
              <w:t>2</w:t>
            </w:r>
            <w:r>
              <w:rPr>
                <w:noProof/>
                <w:webHidden/>
              </w:rPr>
              <w:fldChar w:fldCharType="end"/>
            </w:r>
          </w:hyperlink>
        </w:p>
        <w:p w:rsidR="002430DD" w:rsidRDefault="0008761B">
          <w:pPr>
            <w:pStyle w:val="TOC2"/>
            <w:tabs>
              <w:tab w:val="right" w:leader="dot" w:pos="9628"/>
            </w:tabs>
            <w:rPr>
              <w:rFonts w:asciiTheme="minorHAnsi" w:eastAsiaTheme="minorEastAsia" w:hAnsiTheme="minorHAnsi" w:cstheme="minorBidi"/>
              <w:noProof/>
              <w:sz w:val="22"/>
              <w:szCs w:val="22"/>
              <w:lang w:val="en-GB" w:eastAsia="en-GB"/>
            </w:rPr>
          </w:pPr>
          <w:hyperlink w:anchor="_Toc510018319" w:history="1">
            <w:r>
              <w:rPr>
                <w:rStyle w:val="Hyperlink"/>
                <w:noProof/>
              </w:rPr>
              <w:t>1. Detailed problem description</w:t>
            </w:r>
            <w:r>
              <w:rPr>
                <w:noProof/>
                <w:webHidden/>
              </w:rPr>
              <w:tab/>
            </w:r>
            <w:r>
              <w:rPr>
                <w:noProof/>
                <w:webHidden/>
              </w:rPr>
              <w:fldChar w:fldCharType="begin"/>
            </w:r>
            <w:r>
              <w:rPr>
                <w:noProof/>
                <w:webHidden/>
              </w:rPr>
              <w:instrText xml:space="preserve"> PAGEREF _Toc510018319 \h </w:instrText>
            </w:r>
            <w:r>
              <w:rPr>
                <w:noProof/>
                <w:webHidden/>
              </w:rPr>
            </w:r>
            <w:r>
              <w:rPr>
                <w:noProof/>
                <w:webHidden/>
              </w:rPr>
              <w:fldChar w:fldCharType="separate"/>
            </w:r>
            <w:r>
              <w:rPr>
                <w:noProof/>
                <w:webHidden/>
              </w:rPr>
              <w:t>2</w:t>
            </w:r>
            <w:r>
              <w:rPr>
                <w:noProof/>
                <w:webHidden/>
              </w:rPr>
              <w:fldChar w:fldCharType="end"/>
            </w:r>
          </w:hyperlink>
        </w:p>
        <w:p w:rsidR="002430DD" w:rsidRDefault="0008761B">
          <w:pPr>
            <w:pStyle w:val="TOC2"/>
            <w:tabs>
              <w:tab w:val="right" w:leader="dot" w:pos="9628"/>
            </w:tabs>
            <w:rPr>
              <w:rFonts w:asciiTheme="minorHAnsi" w:eastAsiaTheme="minorEastAsia" w:hAnsiTheme="minorHAnsi" w:cstheme="minorBidi"/>
              <w:noProof/>
              <w:sz w:val="22"/>
              <w:szCs w:val="22"/>
              <w:lang w:val="en-GB" w:eastAsia="en-GB"/>
            </w:rPr>
          </w:pPr>
          <w:hyperlink w:anchor="_Toc510018320" w:history="1">
            <w:r>
              <w:rPr>
                <w:rStyle w:val="Hyperlink"/>
                <w:noProof/>
              </w:rPr>
              <w:t>2. Additional data</w:t>
            </w:r>
            <w:r>
              <w:rPr>
                <w:noProof/>
                <w:webHidden/>
              </w:rPr>
              <w:tab/>
            </w:r>
            <w:r>
              <w:rPr>
                <w:noProof/>
                <w:webHidden/>
              </w:rPr>
              <w:fldChar w:fldCharType="begin"/>
            </w:r>
            <w:r>
              <w:rPr>
                <w:noProof/>
                <w:webHidden/>
              </w:rPr>
              <w:instrText xml:space="preserve"> PAGEREF _Toc510018320 \h </w:instrText>
            </w:r>
            <w:r>
              <w:rPr>
                <w:noProof/>
                <w:webHidden/>
              </w:rPr>
            </w:r>
            <w:r>
              <w:rPr>
                <w:noProof/>
                <w:webHidden/>
              </w:rPr>
              <w:fldChar w:fldCharType="separate"/>
            </w:r>
            <w:r>
              <w:rPr>
                <w:noProof/>
                <w:webHidden/>
              </w:rPr>
              <w:t>6</w:t>
            </w:r>
            <w:r>
              <w:rPr>
                <w:noProof/>
                <w:webHidden/>
              </w:rPr>
              <w:fldChar w:fldCharType="end"/>
            </w:r>
          </w:hyperlink>
        </w:p>
        <w:p w:rsidR="002430DD" w:rsidRDefault="0008761B">
          <w:pPr>
            <w:pStyle w:val="TOC2"/>
            <w:tabs>
              <w:tab w:val="right" w:leader="dot" w:pos="9628"/>
            </w:tabs>
            <w:rPr>
              <w:rFonts w:asciiTheme="minorHAnsi" w:eastAsiaTheme="minorEastAsia" w:hAnsiTheme="minorHAnsi" w:cstheme="minorBidi"/>
              <w:noProof/>
              <w:sz w:val="22"/>
              <w:szCs w:val="22"/>
              <w:lang w:val="en-GB" w:eastAsia="en-GB"/>
            </w:rPr>
          </w:pPr>
          <w:hyperlink w:anchor="_Toc510018321" w:history="1">
            <w:r>
              <w:rPr>
                <w:rStyle w:val="Hyperlink"/>
                <w:noProof/>
              </w:rPr>
              <w:t>3. Stakeholder views</w:t>
            </w:r>
            <w:r>
              <w:rPr>
                <w:noProof/>
                <w:webHidden/>
              </w:rPr>
              <w:tab/>
            </w:r>
            <w:r>
              <w:rPr>
                <w:noProof/>
                <w:webHidden/>
              </w:rPr>
              <w:fldChar w:fldCharType="begin"/>
            </w:r>
            <w:r>
              <w:rPr>
                <w:noProof/>
                <w:webHidden/>
              </w:rPr>
              <w:instrText xml:space="preserve"> PAGEREF _Toc510018321 \h </w:instrText>
            </w:r>
            <w:r>
              <w:rPr>
                <w:noProof/>
                <w:webHidden/>
              </w:rPr>
            </w:r>
            <w:r>
              <w:rPr>
                <w:noProof/>
                <w:webHidden/>
              </w:rPr>
              <w:fldChar w:fldCharType="separate"/>
            </w:r>
            <w:r>
              <w:rPr>
                <w:noProof/>
                <w:webHidden/>
              </w:rPr>
              <w:t>16</w:t>
            </w:r>
            <w:r>
              <w:rPr>
                <w:noProof/>
                <w:webHidden/>
              </w:rPr>
              <w:fldChar w:fldCharType="end"/>
            </w:r>
          </w:hyperlink>
        </w:p>
        <w:p w:rsidR="002430DD" w:rsidRDefault="0008761B">
          <w:pPr>
            <w:pStyle w:val="TOC1"/>
            <w:rPr>
              <w:rFonts w:asciiTheme="minorHAnsi" w:eastAsiaTheme="minorEastAsia" w:hAnsiTheme="minorHAnsi" w:cstheme="minorBidi"/>
              <w:noProof/>
              <w:sz w:val="22"/>
              <w:szCs w:val="22"/>
              <w:lang w:val="en-GB" w:eastAsia="en-GB"/>
            </w:rPr>
          </w:pPr>
          <w:hyperlink w:anchor="_Toc510018322" w:history="1">
            <w:r>
              <w:rPr>
                <w:rStyle w:val="Hyperlink"/>
                <w:noProof/>
              </w:rPr>
              <w:t>Annex 12: Additional data on information requirements</w:t>
            </w:r>
            <w:r>
              <w:rPr>
                <w:noProof/>
                <w:webHidden/>
              </w:rPr>
              <w:tab/>
            </w:r>
            <w:r>
              <w:rPr>
                <w:noProof/>
                <w:webHidden/>
              </w:rPr>
              <w:fldChar w:fldCharType="begin"/>
            </w:r>
            <w:r>
              <w:rPr>
                <w:noProof/>
                <w:webHidden/>
              </w:rPr>
              <w:instrText xml:space="preserve"> PAGEREF _Toc510018322 \h </w:instrText>
            </w:r>
            <w:r>
              <w:rPr>
                <w:noProof/>
                <w:webHidden/>
              </w:rPr>
            </w:r>
            <w:r>
              <w:rPr>
                <w:noProof/>
                <w:webHidden/>
              </w:rPr>
              <w:fldChar w:fldCharType="separate"/>
            </w:r>
            <w:r>
              <w:rPr>
                <w:noProof/>
                <w:webHidden/>
              </w:rPr>
              <w:t>27</w:t>
            </w:r>
            <w:r>
              <w:rPr>
                <w:noProof/>
                <w:webHidden/>
              </w:rPr>
              <w:fldChar w:fldCharType="end"/>
            </w:r>
          </w:hyperlink>
        </w:p>
        <w:p w:rsidR="002430DD" w:rsidRDefault="0008761B">
          <w:pPr>
            <w:pStyle w:val="TOC1"/>
            <w:rPr>
              <w:rFonts w:asciiTheme="minorHAnsi" w:eastAsiaTheme="minorEastAsia" w:hAnsiTheme="minorHAnsi" w:cstheme="minorBidi"/>
              <w:noProof/>
              <w:sz w:val="22"/>
              <w:szCs w:val="22"/>
              <w:lang w:val="en-GB" w:eastAsia="en-GB"/>
            </w:rPr>
          </w:pPr>
          <w:hyperlink w:anchor="_Toc510018323" w:history="1">
            <w:r>
              <w:rPr>
                <w:rStyle w:val="Hyperlink"/>
                <w:noProof/>
              </w:rPr>
              <w:t>Annex 13: Additional data on rules on the right to withdraw</w:t>
            </w:r>
            <w:r>
              <w:rPr>
                <w:noProof/>
                <w:webHidden/>
              </w:rPr>
              <w:tab/>
            </w:r>
            <w:r>
              <w:rPr>
                <w:noProof/>
                <w:webHidden/>
              </w:rPr>
              <w:fldChar w:fldCharType="begin"/>
            </w:r>
            <w:r>
              <w:rPr>
                <w:noProof/>
                <w:webHidden/>
              </w:rPr>
              <w:instrText xml:space="preserve"> PAGEREF _Toc510018323 \h </w:instrText>
            </w:r>
            <w:r>
              <w:rPr>
                <w:noProof/>
                <w:webHidden/>
              </w:rPr>
            </w:r>
            <w:r>
              <w:rPr>
                <w:noProof/>
                <w:webHidden/>
              </w:rPr>
              <w:fldChar w:fldCharType="separate"/>
            </w:r>
            <w:r>
              <w:rPr>
                <w:noProof/>
                <w:webHidden/>
              </w:rPr>
              <w:t>29</w:t>
            </w:r>
            <w:r>
              <w:rPr>
                <w:noProof/>
                <w:webHidden/>
              </w:rPr>
              <w:fldChar w:fldCharType="end"/>
            </w:r>
          </w:hyperlink>
        </w:p>
        <w:p w:rsidR="002430DD" w:rsidRDefault="0008761B">
          <w:pPr>
            <w:pStyle w:val="TOC1"/>
            <w:rPr>
              <w:rFonts w:asciiTheme="minorHAnsi" w:eastAsiaTheme="minorEastAsia" w:hAnsiTheme="minorHAnsi" w:cstheme="minorBidi"/>
              <w:noProof/>
              <w:sz w:val="22"/>
              <w:szCs w:val="22"/>
              <w:lang w:val="en-GB" w:eastAsia="en-GB"/>
            </w:rPr>
          </w:pPr>
          <w:hyperlink w:anchor="_Toc510018324" w:history="1">
            <w:r>
              <w:rPr>
                <w:rStyle w:val="Hyperlink"/>
                <w:noProof/>
              </w:rPr>
              <w:t>Annex 14 JRC Technical Report: "An analy</w:t>
            </w:r>
            <w:r>
              <w:rPr>
                <w:rStyle w:val="Hyperlink"/>
                <w:noProof/>
              </w:rPr>
              <w:t>sis of the influence of remedies and sanctions on consumers' exposure to unfair commercial practices and shopping problems"</w:t>
            </w:r>
            <w:r>
              <w:rPr>
                <w:noProof/>
                <w:webHidden/>
              </w:rPr>
              <w:tab/>
            </w:r>
            <w:r>
              <w:rPr>
                <w:noProof/>
                <w:webHidden/>
              </w:rPr>
              <w:fldChar w:fldCharType="begin"/>
            </w:r>
            <w:r>
              <w:rPr>
                <w:noProof/>
                <w:webHidden/>
              </w:rPr>
              <w:instrText xml:space="preserve"> PAGEREF _Toc510018324 \h </w:instrText>
            </w:r>
            <w:r>
              <w:rPr>
                <w:noProof/>
                <w:webHidden/>
              </w:rPr>
            </w:r>
            <w:r>
              <w:rPr>
                <w:noProof/>
                <w:webHidden/>
              </w:rPr>
              <w:fldChar w:fldCharType="separate"/>
            </w:r>
            <w:r>
              <w:rPr>
                <w:noProof/>
                <w:webHidden/>
              </w:rPr>
              <w:t>31</w:t>
            </w:r>
            <w:r>
              <w:rPr>
                <w:noProof/>
                <w:webHidden/>
              </w:rPr>
              <w:fldChar w:fldCharType="end"/>
            </w:r>
          </w:hyperlink>
        </w:p>
        <w:p w:rsidR="002430DD" w:rsidRDefault="0008761B">
          <w:pPr>
            <w:pStyle w:val="TOC1"/>
            <w:rPr>
              <w:rFonts w:asciiTheme="minorHAnsi" w:eastAsiaTheme="minorEastAsia" w:hAnsiTheme="minorHAnsi" w:cstheme="minorBidi"/>
              <w:noProof/>
              <w:sz w:val="22"/>
              <w:szCs w:val="22"/>
              <w:lang w:val="en-GB" w:eastAsia="en-GB"/>
            </w:rPr>
          </w:pPr>
          <w:hyperlink w:anchor="_Toc510018325" w:history="1">
            <w:r>
              <w:rPr>
                <w:rStyle w:val="Hyperlink"/>
                <w:noProof/>
                <w:lang w:val="en-GB"/>
              </w:rPr>
              <w:t>Acknowledgements</w:t>
            </w:r>
            <w:r>
              <w:rPr>
                <w:noProof/>
                <w:webHidden/>
              </w:rPr>
              <w:tab/>
            </w:r>
            <w:r>
              <w:rPr>
                <w:noProof/>
                <w:webHidden/>
              </w:rPr>
              <w:fldChar w:fldCharType="begin"/>
            </w:r>
            <w:r>
              <w:rPr>
                <w:noProof/>
                <w:webHidden/>
              </w:rPr>
              <w:instrText xml:space="preserve"> PAGEREF _Toc510018325 \h </w:instrText>
            </w:r>
            <w:r>
              <w:rPr>
                <w:noProof/>
                <w:webHidden/>
              </w:rPr>
            </w:r>
            <w:r>
              <w:rPr>
                <w:noProof/>
                <w:webHidden/>
              </w:rPr>
              <w:fldChar w:fldCharType="separate"/>
            </w:r>
            <w:r>
              <w:rPr>
                <w:noProof/>
                <w:webHidden/>
              </w:rPr>
              <w:t>2</w:t>
            </w:r>
            <w:r>
              <w:rPr>
                <w:noProof/>
                <w:webHidden/>
              </w:rPr>
              <w:fldChar w:fldCharType="end"/>
            </w:r>
          </w:hyperlink>
        </w:p>
        <w:p w:rsidR="002430DD" w:rsidRDefault="0008761B">
          <w:pPr>
            <w:pStyle w:val="TOC1"/>
            <w:rPr>
              <w:rFonts w:asciiTheme="minorHAnsi" w:eastAsiaTheme="minorEastAsia" w:hAnsiTheme="minorHAnsi" w:cstheme="minorBidi"/>
              <w:noProof/>
              <w:sz w:val="22"/>
              <w:szCs w:val="22"/>
              <w:lang w:val="en-GB" w:eastAsia="en-GB"/>
            </w:rPr>
          </w:pPr>
          <w:hyperlink w:anchor="_Toc510018326" w:history="1">
            <w:r>
              <w:rPr>
                <w:rStyle w:val="Hyperlink"/>
                <w:noProof/>
                <w:lang w:val="en-GB"/>
              </w:rPr>
              <w:t>Executive summary</w:t>
            </w:r>
            <w:bookmarkStart w:id="1" w:name="_GoBack"/>
            <w:bookmarkEnd w:id="1"/>
            <w:r>
              <w:rPr>
                <w:noProof/>
                <w:webHidden/>
              </w:rPr>
              <w:tab/>
            </w:r>
            <w:r>
              <w:rPr>
                <w:noProof/>
                <w:webHidden/>
              </w:rPr>
              <w:fldChar w:fldCharType="begin"/>
            </w:r>
            <w:r>
              <w:rPr>
                <w:noProof/>
                <w:webHidden/>
              </w:rPr>
              <w:instrText xml:space="preserve"> PAGEREF _Toc510018326 \h </w:instrText>
            </w:r>
            <w:r>
              <w:rPr>
                <w:noProof/>
                <w:webHidden/>
              </w:rPr>
            </w:r>
            <w:r>
              <w:rPr>
                <w:noProof/>
                <w:webHidden/>
              </w:rPr>
              <w:fldChar w:fldCharType="separate"/>
            </w:r>
            <w:r>
              <w:rPr>
                <w:noProof/>
                <w:webHidden/>
              </w:rPr>
              <w:t>3</w:t>
            </w:r>
            <w:r>
              <w:rPr>
                <w:noProof/>
                <w:webHidden/>
              </w:rPr>
              <w:fldChar w:fldCharType="end"/>
            </w:r>
          </w:hyperlink>
        </w:p>
        <w:p w:rsidR="002430DD" w:rsidRDefault="0008761B">
          <w:pPr>
            <w:pStyle w:val="TOC1"/>
            <w:rPr>
              <w:rFonts w:asciiTheme="minorHAnsi" w:eastAsiaTheme="minorEastAsia" w:hAnsiTheme="minorHAnsi" w:cstheme="minorBidi"/>
              <w:noProof/>
              <w:sz w:val="22"/>
              <w:szCs w:val="22"/>
              <w:lang w:val="en-GB" w:eastAsia="en-GB"/>
            </w:rPr>
          </w:pPr>
          <w:hyperlink w:anchor="_Toc510018327" w:history="1">
            <w:r>
              <w:rPr>
                <w:rStyle w:val="Hyperlink"/>
                <w:noProof/>
              </w:rPr>
              <w:t>1</w:t>
            </w:r>
            <w:r>
              <w:rPr>
                <w:rFonts w:asciiTheme="minorHAnsi" w:eastAsiaTheme="minorEastAsia" w:hAnsiTheme="minorHAnsi" w:cstheme="minorBidi"/>
                <w:noProof/>
                <w:sz w:val="22"/>
                <w:szCs w:val="22"/>
                <w:lang w:val="en-GB" w:eastAsia="en-GB"/>
              </w:rPr>
              <w:tab/>
            </w:r>
            <w:r>
              <w:rPr>
                <w:rStyle w:val="Hyperlink"/>
                <w:noProof/>
              </w:rPr>
              <w:t>Introduction</w:t>
            </w:r>
            <w:r>
              <w:rPr>
                <w:noProof/>
                <w:webHidden/>
              </w:rPr>
              <w:tab/>
            </w:r>
            <w:r>
              <w:rPr>
                <w:noProof/>
                <w:webHidden/>
              </w:rPr>
              <w:fldChar w:fldCharType="begin"/>
            </w:r>
            <w:r>
              <w:rPr>
                <w:noProof/>
                <w:webHidden/>
              </w:rPr>
              <w:instrText xml:space="preserve"> PAGEREF _Toc510018327 \h </w:instrText>
            </w:r>
            <w:r>
              <w:rPr>
                <w:noProof/>
                <w:webHidden/>
              </w:rPr>
            </w:r>
            <w:r>
              <w:rPr>
                <w:noProof/>
                <w:webHidden/>
              </w:rPr>
              <w:fldChar w:fldCharType="separate"/>
            </w:r>
            <w:r>
              <w:rPr>
                <w:noProof/>
                <w:webHidden/>
              </w:rPr>
              <w:t>4</w:t>
            </w:r>
            <w:r>
              <w:rPr>
                <w:noProof/>
                <w:webHidden/>
              </w:rPr>
              <w:fldChar w:fldCharType="end"/>
            </w:r>
          </w:hyperlink>
        </w:p>
        <w:p w:rsidR="002430DD" w:rsidRDefault="0008761B">
          <w:pPr>
            <w:pStyle w:val="TOC1"/>
            <w:rPr>
              <w:rFonts w:asciiTheme="minorHAnsi" w:eastAsiaTheme="minorEastAsia" w:hAnsiTheme="minorHAnsi" w:cstheme="minorBidi"/>
              <w:noProof/>
              <w:sz w:val="22"/>
              <w:szCs w:val="22"/>
              <w:lang w:val="en-GB" w:eastAsia="en-GB"/>
            </w:rPr>
          </w:pPr>
          <w:hyperlink w:anchor="_Toc510018328" w:history="1">
            <w:r>
              <w:rPr>
                <w:rStyle w:val="Hyperlink"/>
                <w:noProof/>
              </w:rPr>
              <w:t>2</w:t>
            </w:r>
            <w:r>
              <w:rPr>
                <w:rFonts w:asciiTheme="minorHAnsi" w:eastAsiaTheme="minorEastAsia" w:hAnsiTheme="minorHAnsi" w:cstheme="minorBidi"/>
                <w:noProof/>
                <w:sz w:val="22"/>
                <w:szCs w:val="22"/>
                <w:lang w:val="en-GB" w:eastAsia="en-GB"/>
              </w:rPr>
              <w:tab/>
            </w:r>
            <w:r>
              <w:rPr>
                <w:rStyle w:val="Hyperlink"/>
                <w:noProof/>
              </w:rPr>
              <w:t>Estimation a</w:t>
            </w:r>
            <w:r>
              <w:rPr>
                <w:rStyle w:val="Hyperlink"/>
                <w:noProof/>
              </w:rPr>
              <w:t>pproach</w:t>
            </w:r>
            <w:r>
              <w:rPr>
                <w:noProof/>
                <w:webHidden/>
              </w:rPr>
              <w:tab/>
            </w:r>
            <w:r>
              <w:rPr>
                <w:noProof/>
                <w:webHidden/>
              </w:rPr>
              <w:fldChar w:fldCharType="begin"/>
            </w:r>
            <w:r>
              <w:rPr>
                <w:noProof/>
                <w:webHidden/>
              </w:rPr>
              <w:instrText xml:space="preserve"> PAGEREF _Toc510018328 \h </w:instrText>
            </w:r>
            <w:r>
              <w:rPr>
                <w:noProof/>
                <w:webHidden/>
              </w:rPr>
            </w:r>
            <w:r>
              <w:rPr>
                <w:noProof/>
                <w:webHidden/>
              </w:rPr>
              <w:fldChar w:fldCharType="separate"/>
            </w:r>
            <w:r>
              <w:rPr>
                <w:noProof/>
                <w:webHidden/>
              </w:rPr>
              <w:t>5</w:t>
            </w:r>
            <w:r>
              <w:rPr>
                <w:noProof/>
                <w:webHidden/>
              </w:rPr>
              <w:fldChar w:fldCharType="end"/>
            </w:r>
          </w:hyperlink>
        </w:p>
        <w:p w:rsidR="002430DD" w:rsidRDefault="0008761B">
          <w:pPr>
            <w:pStyle w:val="TOC2"/>
            <w:tabs>
              <w:tab w:val="right" w:leader="dot" w:pos="9628"/>
            </w:tabs>
            <w:rPr>
              <w:rFonts w:asciiTheme="minorHAnsi" w:eastAsiaTheme="minorEastAsia" w:hAnsiTheme="minorHAnsi" w:cstheme="minorBidi"/>
              <w:noProof/>
              <w:sz w:val="22"/>
              <w:szCs w:val="22"/>
              <w:lang w:val="en-GB" w:eastAsia="en-GB"/>
            </w:rPr>
          </w:pPr>
          <w:hyperlink w:anchor="_Toc510018329" w:history="1">
            <w:r>
              <w:rPr>
                <w:rStyle w:val="Hyperlink"/>
                <w:noProof/>
              </w:rPr>
              <w:t>2.1 Influence of penalties intensity on remedies implementation</w:t>
            </w:r>
            <w:r>
              <w:rPr>
                <w:noProof/>
                <w:webHidden/>
              </w:rPr>
              <w:tab/>
            </w:r>
            <w:r>
              <w:rPr>
                <w:noProof/>
                <w:webHidden/>
              </w:rPr>
              <w:fldChar w:fldCharType="begin"/>
            </w:r>
            <w:r>
              <w:rPr>
                <w:noProof/>
                <w:webHidden/>
              </w:rPr>
              <w:instrText xml:space="preserve"> PAGEREF _Toc510018329 \h </w:instrText>
            </w:r>
            <w:r>
              <w:rPr>
                <w:noProof/>
                <w:webHidden/>
              </w:rPr>
            </w:r>
            <w:r>
              <w:rPr>
                <w:noProof/>
                <w:webHidden/>
              </w:rPr>
              <w:fldChar w:fldCharType="separate"/>
            </w:r>
            <w:r>
              <w:rPr>
                <w:noProof/>
                <w:webHidden/>
              </w:rPr>
              <w:t>5</w:t>
            </w:r>
            <w:r>
              <w:rPr>
                <w:noProof/>
                <w:webHidden/>
              </w:rPr>
              <w:fldChar w:fldCharType="end"/>
            </w:r>
          </w:hyperlink>
        </w:p>
        <w:p w:rsidR="002430DD" w:rsidRDefault="0008761B">
          <w:pPr>
            <w:pStyle w:val="TOC1"/>
            <w:rPr>
              <w:rFonts w:asciiTheme="minorHAnsi" w:eastAsiaTheme="minorEastAsia" w:hAnsiTheme="minorHAnsi" w:cstheme="minorBidi"/>
              <w:noProof/>
              <w:sz w:val="22"/>
              <w:szCs w:val="22"/>
              <w:lang w:val="en-GB" w:eastAsia="en-GB"/>
            </w:rPr>
          </w:pPr>
          <w:hyperlink w:anchor="_Toc510018330" w:history="1">
            <w:r>
              <w:rPr>
                <w:rStyle w:val="Hyperlink"/>
                <w:noProof/>
              </w:rPr>
              <w:t>3</w:t>
            </w:r>
            <w:r>
              <w:rPr>
                <w:rFonts w:asciiTheme="minorHAnsi" w:eastAsiaTheme="minorEastAsia" w:hAnsiTheme="minorHAnsi" w:cstheme="minorBidi"/>
                <w:noProof/>
                <w:sz w:val="22"/>
                <w:szCs w:val="22"/>
                <w:lang w:val="en-GB" w:eastAsia="en-GB"/>
              </w:rPr>
              <w:tab/>
            </w:r>
            <w:r>
              <w:rPr>
                <w:rStyle w:val="Hyperlink"/>
                <w:noProof/>
              </w:rPr>
              <w:t>Data</w:t>
            </w:r>
            <w:r>
              <w:rPr>
                <w:noProof/>
                <w:webHidden/>
              </w:rPr>
              <w:tab/>
            </w:r>
            <w:r>
              <w:rPr>
                <w:noProof/>
                <w:webHidden/>
              </w:rPr>
              <w:fldChar w:fldCharType="begin"/>
            </w:r>
            <w:r>
              <w:rPr>
                <w:noProof/>
                <w:webHidden/>
              </w:rPr>
              <w:instrText xml:space="preserve"> PAGEREF _Toc510018330 \h </w:instrText>
            </w:r>
            <w:r>
              <w:rPr>
                <w:noProof/>
                <w:webHidden/>
              </w:rPr>
            </w:r>
            <w:r>
              <w:rPr>
                <w:noProof/>
                <w:webHidden/>
              </w:rPr>
              <w:fldChar w:fldCharType="separate"/>
            </w:r>
            <w:r>
              <w:rPr>
                <w:noProof/>
                <w:webHidden/>
              </w:rPr>
              <w:t>7</w:t>
            </w:r>
            <w:r>
              <w:rPr>
                <w:noProof/>
                <w:webHidden/>
              </w:rPr>
              <w:fldChar w:fldCharType="end"/>
            </w:r>
          </w:hyperlink>
        </w:p>
        <w:p w:rsidR="002430DD" w:rsidRDefault="0008761B">
          <w:pPr>
            <w:pStyle w:val="TOC1"/>
            <w:rPr>
              <w:rFonts w:asciiTheme="minorHAnsi" w:eastAsiaTheme="minorEastAsia" w:hAnsiTheme="minorHAnsi" w:cstheme="minorBidi"/>
              <w:noProof/>
              <w:sz w:val="22"/>
              <w:szCs w:val="22"/>
              <w:lang w:val="en-GB" w:eastAsia="en-GB"/>
            </w:rPr>
          </w:pPr>
          <w:hyperlink w:anchor="_Toc510018331" w:history="1">
            <w:r>
              <w:rPr>
                <w:rStyle w:val="Hyperlink"/>
                <w:noProof/>
              </w:rPr>
              <w:t>4</w:t>
            </w:r>
            <w:r>
              <w:rPr>
                <w:rFonts w:asciiTheme="minorHAnsi" w:eastAsiaTheme="minorEastAsia" w:hAnsiTheme="minorHAnsi" w:cstheme="minorBidi"/>
                <w:noProof/>
                <w:sz w:val="22"/>
                <w:szCs w:val="22"/>
                <w:lang w:val="en-GB" w:eastAsia="en-GB"/>
              </w:rPr>
              <w:tab/>
            </w:r>
            <w:r>
              <w:rPr>
                <w:rStyle w:val="Hyperlink"/>
                <w:noProof/>
              </w:rPr>
              <w:t>Results and interpretation</w:t>
            </w:r>
            <w:r>
              <w:rPr>
                <w:noProof/>
                <w:webHidden/>
              </w:rPr>
              <w:tab/>
            </w:r>
            <w:r>
              <w:rPr>
                <w:noProof/>
                <w:webHidden/>
              </w:rPr>
              <w:fldChar w:fldCharType="begin"/>
            </w:r>
            <w:r>
              <w:rPr>
                <w:noProof/>
                <w:webHidden/>
              </w:rPr>
              <w:instrText xml:space="preserve"> PAGEREF _Toc510018331 \h </w:instrText>
            </w:r>
            <w:r>
              <w:rPr>
                <w:noProof/>
                <w:webHidden/>
              </w:rPr>
            </w:r>
            <w:r>
              <w:rPr>
                <w:noProof/>
                <w:webHidden/>
              </w:rPr>
              <w:fldChar w:fldCharType="separate"/>
            </w:r>
            <w:r>
              <w:rPr>
                <w:noProof/>
                <w:webHidden/>
              </w:rPr>
              <w:t>9</w:t>
            </w:r>
            <w:r>
              <w:rPr>
                <w:noProof/>
                <w:webHidden/>
              </w:rPr>
              <w:fldChar w:fldCharType="end"/>
            </w:r>
          </w:hyperlink>
        </w:p>
        <w:p w:rsidR="002430DD" w:rsidRDefault="0008761B">
          <w:pPr>
            <w:pStyle w:val="TOC1"/>
            <w:rPr>
              <w:rFonts w:asciiTheme="minorHAnsi" w:eastAsiaTheme="minorEastAsia" w:hAnsiTheme="minorHAnsi" w:cstheme="minorBidi"/>
              <w:noProof/>
              <w:sz w:val="22"/>
              <w:szCs w:val="22"/>
              <w:lang w:val="en-GB" w:eastAsia="en-GB"/>
            </w:rPr>
          </w:pPr>
          <w:hyperlink w:anchor="_Toc510018332" w:history="1">
            <w:r>
              <w:rPr>
                <w:rStyle w:val="Hyperlink"/>
                <w:noProof/>
              </w:rPr>
              <w:t>5</w:t>
            </w:r>
            <w:r>
              <w:rPr>
                <w:rFonts w:asciiTheme="minorHAnsi" w:eastAsiaTheme="minorEastAsia" w:hAnsiTheme="minorHAnsi" w:cstheme="minorBidi"/>
                <w:noProof/>
                <w:sz w:val="22"/>
                <w:szCs w:val="22"/>
                <w:lang w:val="en-GB" w:eastAsia="en-GB"/>
              </w:rPr>
              <w:tab/>
            </w:r>
            <w:r>
              <w:rPr>
                <w:rStyle w:val="Hyperlink"/>
                <w:noProof/>
              </w:rPr>
              <w:t>Further extensions</w:t>
            </w:r>
            <w:r>
              <w:rPr>
                <w:noProof/>
                <w:webHidden/>
              </w:rPr>
              <w:tab/>
            </w:r>
            <w:r>
              <w:rPr>
                <w:noProof/>
                <w:webHidden/>
              </w:rPr>
              <w:fldChar w:fldCharType="begin"/>
            </w:r>
            <w:r>
              <w:rPr>
                <w:noProof/>
                <w:webHidden/>
              </w:rPr>
              <w:instrText xml:space="preserve"> PAGEREF _Toc510018332 \h </w:instrText>
            </w:r>
            <w:r>
              <w:rPr>
                <w:noProof/>
                <w:webHidden/>
              </w:rPr>
            </w:r>
            <w:r>
              <w:rPr>
                <w:noProof/>
                <w:webHidden/>
              </w:rPr>
              <w:fldChar w:fldCharType="separate"/>
            </w:r>
            <w:r>
              <w:rPr>
                <w:noProof/>
                <w:webHidden/>
              </w:rPr>
              <w:t>12</w:t>
            </w:r>
            <w:r>
              <w:rPr>
                <w:noProof/>
                <w:webHidden/>
              </w:rPr>
              <w:fldChar w:fldCharType="end"/>
            </w:r>
          </w:hyperlink>
        </w:p>
        <w:p w:rsidR="002430DD" w:rsidRDefault="0008761B">
          <w:pPr>
            <w:pStyle w:val="TOC1"/>
            <w:rPr>
              <w:rFonts w:asciiTheme="minorHAnsi" w:eastAsiaTheme="minorEastAsia" w:hAnsiTheme="minorHAnsi" w:cstheme="minorBidi"/>
              <w:noProof/>
              <w:sz w:val="22"/>
              <w:szCs w:val="22"/>
              <w:lang w:val="en-GB" w:eastAsia="en-GB"/>
            </w:rPr>
          </w:pPr>
          <w:hyperlink w:anchor="_Toc510018333" w:history="1">
            <w:r>
              <w:rPr>
                <w:rStyle w:val="Hyperlink"/>
                <w:noProof/>
                <w:lang w:val="pt-PT"/>
              </w:rPr>
              <w:t>List of figures</w:t>
            </w:r>
            <w:r>
              <w:rPr>
                <w:noProof/>
                <w:webHidden/>
              </w:rPr>
              <w:tab/>
            </w:r>
            <w:r>
              <w:rPr>
                <w:noProof/>
                <w:webHidden/>
              </w:rPr>
              <w:fldChar w:fldCharType="begin"/>
            </w:r>
            <w:r>
              <w:rPr>
                <w:noProof/>
                <w:webHidden/>
              </w:rPr>
              <w:instrText xml:space="preserve"> PAGEREF _Toc510018333 \h </w:instrText>
            </w:r>
            <w:r>
              <w:rPr>
                <w:noProof/>
                <w:webHidden/>
              </w:rPr>
            </w:r>
            <w:r>
              <w:rPr>
                <w:noProof/>
                <w:webHidden/>
              </w:rPr>
              <w:fldChar w:fldCharType="separate"/>
            </w:r>
            <w:r>
              <w:rPr>
                <w:noProof/>
                <w:webHidden/>
              </w:rPr>
              <w:t>13</w:t>
            </w:r>
            <w:r>
              <w:rPr>
                <w:noProof/>
                <w:webHidden/>
              </w:rPr>
              <w:fldChar w:fldCharType="end"/>
            </w:r>
          </w:hyperlink>
        </w:p>
        <w:p w:rsidR="002430DD" w:rsidRDefault="0008761B">
          <w:pPr>
            <w:pStyle w:val="TOC1"/>
            <w:rPr>
              <w:rFonts w:asciiTheme="minorHAnsi" w:eastAsiaTheme="minorEastAsia" w:hAnsiTheme="minorHAnsi" w:cstheme="minorBidi"/>
              <w:noProof/>
              <w:sz w:val="22"/>
              <w:szCs w:val="22"/>
              <w:lang w:val="en-GB" w:eastAsia="en-GB"/>
            </w:rPr>
          </w:pPr>
          <w:hyperlink w:anchor="_Toc510018334" w:history="1">
            <w:r>
              <w:rPr>
                <w:rStyle w:val="Hyperlink"/>
                <w:noProof/>
                <w:lang w:val="pt-PT"/>
              </w:rPr>
              <w:t>List of tables</w:t>
            </w:r>
            <w:r>
              <w:rPr>
                <w:noProof/>
                <w:webHidden/>
              </w:rPr>
              <w:tab/>
            </w:r>
            <w:r>
              <w:rPr>
                <w:noProof/>
                <w:webHidden/>
              </w:rPr>
              <w:fldChar w:fldCharType="begin"/>
            </w:r>
            <w:r>
              <w:rPr>
                <w:noProof/>
                <w:webHidden/>
              </w:rPr>
              <w:instrText xml:space="preserve"> PAGEREF _Toc510018334 \h </w:instrText>
            </w:r>
            <w:r>
              <w:rPr>
                <w:noProof/>
                <w:webHidden/>
              </w:rPr>
            </w:r>
            <w:r>
              <w:rPr>
                <w:noProof/>
                <w:webHidden/>
              </w:rPr>
              <w:fldChar w:fldCharType="separate"/>
            </w:r>
            <w:r>
              <w:rPr>
                <w:noProof/>
                <w:webHidden/>
              </w:rPr>
              <w:t>14</w:t>
            </w:r>
            <w:r>
              <w:rPr>
                <w:noProof/>
                <w:webHidden/>
              </w:rPr>
              <w:fldChar w:fldCharType="end"/>
            </w:r>
          </w:hyperlink>
        </w:p>
        <w:p w:rsidR="002430DD" w:rsidRDefault="0008761B">
          <w:pPr>
            <w:rPr>
              <w:noProof/>
            </w:rPr>
          </w:pPr>
          <w:r>
            <w:rPr>
              <w:b/>
              <w:bCs/>
              <w:noProof/>
            </w:rPr>
            <w:fldChar w:fldCharType="end"/>
          </w:r>
        </w:p>
      </w:sdtContent>
    </w:sdt>
    <w:p w:rsidR="002430DD" w:rsidRDefault="002430DD">
      <w:pPr>
        <w:rPr>
          <w:noProof/>
        </w:rPr>
      </w:pPr>
    </w:p>
    <w:p w:rsidR="002430DD" w:rsidRDefault="002430DD">
      <w:pPr>
        <w:rPr>
          <w:noProof/>
        </w:rPr>
      </w:pPr>
    </w:p>
    <w:p w:rsidR="002430DD" w:rsidRDefault="0008761B">
      <w:pPr>
        <w:rPr>
          <w:noProof/>
        </w:rPr>
      </w:pPr>
      <w:r>
        <w:rPr>
          <w:noProof/>
        </w:rPr>
        <w:br w:type="page"/>
      </w:r>
    </w:p>
    <w:p w:rsidR="002430DD" w:rsidRDefault="002430DD">
      <w:pPr>
        <w:rPr>
          <w:noProof/>
          <w:sz w:val="20"/>
        </w:rPr>
        <w:sectPr w:rsidR="002430DD">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1134" w:left="1134" w:header="567" w:footer="567" w:gutter="0"/>
          <w:cols w:space="720"/>
          <w:docGrid w:linePitch="360"/>
        </w:sectPr>
      </w:pPr>
    </w:p>
    <w:p w:rsidR="002430DD" w:rsidRDefault="002430DD">
      <w:pPr>
        <w:rPr>
          <w:noProof/>
        </w:rPr>
      </w:pPr>
      <w:bookmarkStart w:id="2" w:name="_Toc496880473"/>
      <w:bookmarkStart w:id="3" w:name="_Toc496884130"/>
      <w:bookmarkStart w:id="4" w:name="_Toc496884409"/>
      <w:bookmarkStart w:id="5" w:name="_Toc496884754"/>
      <w:bookmarkStart w:id="6" w:name="_Toc496885451"/>
      <w:bookmarkStart w:id="7" w:name="_Toc496885868"/>
      <w:bookmarkStart w:id="8" w:name="_Toc496891961"/>
      <w:bookmarkStart w:id="9" w:name="_Toc497128863"/>
      <w:bookmarkStart w:id="10" w:name="_Toc497130711"/>
      <w:bookmarkStart w:id="11" w:name="_Toc497147522"/>
      <w:bookmarkStart w:id="12" w:name="_Toc497147988"/>
      <w:bookmarkStart w:id="13" w:name="_Toc495656681"/>
      <w:bookmarkStart w:id="14" w:name="_Toc495661662"/>
      <w:bookmarkStart w:id="15" w:name="_Toc496198648"/>
      <w:bookmarkStart w:id="16" w:name="_Toc496201334"/>
      <w:bookmarkStart w:id="17" w:name="_Toc496203452"/>
      <w:bookmarkStart w:id="18" w:name="_Toc496270339"/>
      <w:bookmarkStart w:id="19" w:name="_Toc496283428"/>
      <w:bookmarkStart w:id="20" w:name="_Toc496284206"/>
      <w:bookmarkStart w:id="21" w:name="_Toc496284265"/>
      <w:bookmarkStart w:id="22" w:name="_Toc496534814"/>
      <w:bookmarkStart w:id="23" w:name="_Toc496542747"/>
      <w:bookmarkStart w:id="24" w:name="_Toc496522792"/>
      <w:bookmarkStart w:id="25" w:name="_Toc496523193"/>
      <w:bookmarkStart w:id="26" w:name="_Toc496626829"/>
      <w:bookmarkStart w:id="27" w:name="_Toc496628981"/>
      <w:bookmarkStart w:id="28" w:name="_Toc496631140"/>
      <w:bookmarkStart w:id="29" w:name="_Toc496632037"/>
      <w:bookmarkStart w:id="30" w:name="_Toc496711161"/>
      <w:bookmarkStart w:id="31" w:name="_Toc496716203"/>
      <w:bookmarkStart w:id="32" w:name="_Toc496717959"/>
      <w:bookmarkStart w:id="33" w:name="_Toc496720021"/>
      <w:bookmarkStart w:id="34" w:name="_Toc496869268"/>
      <w:bookmarkStart w:id="35" w:name="_Toc496869658"/>
      <w:bookmarkStart w:id="36" w:name="_Toc497233862"/>
      <w:bookmarkStart w:id="37" w:name="_Toc497235033"/>
      <w:bookmarkStart w:id="38" w:name="_Toc497236702"/>
      <w:bookmarkStart w:id="39" w:name="_Toc497251641"/>
    </w:p>
    <w:p w:rsidR="002430DD" w:rsidRDefault="0008761B">
      <w:pPr>
        <w:pStyle w:val="Heading1"/>
        <w:numPr>
          <w:ilvl w:val="0"/>
          <w:numId w:val="0"/>
        </w:numPr>
        <w:rPr>
          <w:noProof/>
        </w:rPr>
      </w:pPr>
      <w:bookmarkStart w:id="40" w:name="_Toc497752693"/>
      <w:bookmarkStart w:id="41" w:name="_Toc497752797"/>
      <w:bookmarkStart w:id="42" w:name="_Toc497753314"/>
      <w:bookmarkStart w:id="43" w:name="_Toc497820169"/>
      <w:bookmarkStart w:id="44" w:name="_Toc497821947"/>
      <w:bookmarkStart w:id="45" w:name="_Toc497823074"/>
      <w:bookmarkStart w:id="46" w:name="_Toc497839242"/>
      <w:bookmarkStart w:id="47" w:name="_Toc497839903"/>
      <w:bookmarkStart w:id="48" w:name="_Toc497840061"/>
      <w:bookmarkStart w:id="49" w:name="_Toc497840542"/>
      <w:bookmarkStart w:id="50" w:name="_Toc497842928"/>
      <w:bookmarkStart w:id="51" w:name="_Toc497910046"/>
      <w:bookmarkStart w:id="52" w:name="_Toc497926811"/>
      <w:bookmarkStart w:id="53" w:name="_Toc497927115"/>
      <w:bookmarkStart w:id="54" w:name="_Toc497927780"/>
      <w:bookmarkStart w:id="55" w:name="_Toc497928844"/>
      <w:bookmarkStart w:id="56" w:name="_Toc497930141"/>
      <w:bookmarkStart w:id="57" w:name="_Toc498014234"/>
      <w:bookmarkStart w:id="58" w:name="_Toc498016679"/>
      <w:bookmarkStart w:id="59" w:name="_Toc498339572"/>
      <w:bookmarkStart w:id="60" w:name="_Toc498339697"/>
      <w:bookmarkStart w:id="61" w:name="_Toc498347172"/>
      <w:bookmarkStart w:id="62" w:name="_Toc498355307"/>
      <w:bookmarkStart w:id="63" w:name="_Toc498359434"/>
      <w:bookmarkStart w:id="64" w:name="_Toc498359804"/>
      <w:bookmarkStart w:id="65" w:name="_Toc498360114"/>
      <w:bookmarkStart w:id="66" w:name="_Toc498362083"/>
      <w:bookmarkStart w:id="67" w:name="_Toc498365775"/>
      <w:bookmarkStart w:id="68" w:name="_Toc498415940"/>
      <w:bookmarkStart w:id="69" w:name="_Toc498426627"/>
      <w:bookmarkStart w:id="70" w:name="_Toc498444071"/>
      <w:bookmarkStart w:id="71" w:name="_Toc498444681"/>
      <w:bookmarkStart w:id="72" w:name="_Toc498445660"/>
      <w:bookmarkStart w:id="73" w:name="_Toc498449347"/>
      <w:bookmarkStart w:id="74" w:name="_Toc498453326"/>
      <w:bookmarkStart w:id="75" w:name="_Toc498453577"/>
      <w:bookmarkStart w:id="76" w:name="_Toc498513543"/>
      <w:bookmarkStart w:id="77" w:name="_Toc498519570"/>
      <w:bookmarkStart w:id="78" w:name="_Toc498520989"/>
      <w:bookmarkStart w:id="79" w:name="_Toc498521065"/>
      <w:bookmarkStart w:id="80" w:name="_Toc498521141"/>
      <w:bookmarkStart w:id="81" w:name="_Toc498521216"/>
      <w:bookmarkStart w:id="82" w:name="_Toc498521547"/>
      <w:bookmarkStart w:id="83" w:name="_Toc498532845"/>
      <w:bookmarkStart w:id="84" w:name="_Toc499110544"/>
      <w:bookmarkStart w:id="85" w:name="_Toc499134052"/>
      <w:bookmarkStart w:id="86" w:name="_Toc499134593"/>
      <w:bookmarkStart w:id="87" w:name="_Toc499135582"/>
      <w:bookmarkStart w:id="88" w:name="_Toc499137072"/>
      <w:bookmarkStart w:id="89" w:name="_Toc499138997"/>
      <w:bookmarkStart w:id="90" w:name="_Toc499139174"/>
      <w:bookmarkStart w:id="91" w:name="_Toc499139681"/>
      <w:bookmarkStart w:id="92" w:name="_Toc499198948"/>
      <w:bookmarkStart w:id="93" w:name="_Toc499201969"/>
      <w:bookmarkStart w:id="94" w:name="_Toc499206606"/>
      <w:bookmarkStart w:id="95" w:name="_Toc499219505"/>
      <w:bookmarkStart w:id="96" w:name="_Toc499221356"/>
      <w:bookmarkStart w:id="97" w:name="_Toc499221436"/>
      <w:bookmarkStart w:id="98" w:name="_Toc499225382"/>
      <w:bookmarkStart w:id="99" w:name="_Toc499226036"/>
      <w:bookmarkStart w:id="100" w:name="_Toc499226757"/>
      <w:bookmarkStart w:id="101" w:name="_Toc499228633"/>
      <w:bookmarkStart w:id="102" w:name="_Toc499553047"/>
      <w:bookmarkStart w:id="103" w:name="_Toc499563358"/>
      <w:bookmarkStart w:id="104" w:name="_Toc499565576"/>
      <w:bookmarkStart w:id="105" w:name="_Toc499566308"/>
      <w:bookmarkStart w:id="106" w:name="_Toc499567505"/>
      <w:bookmarkStart w:id="107" w:name="_Toc499569437"/>
      <w:bookmarkStart w:id="108" w:name="_Toc499570973"/>
      <w:bookmarkStart w:id="109" w:name="_Toc499571575"/>
      <w:bookmarkStart w:id="110" w:name="_Toc499632530"/>
      <w:bookmarkStart w:id="111" w:name="_Toc499632635"/>
      <w:bookmarkStart w:id="112" w:name="_Toc499637913"/>
      <w:bookmarkStart w:id="113" w:name="_Toc499645317"/>
      <w:bookmarkStart w:id="114" w:name="_Toc499645305"/>
      <w:bookmarkStart w:id="115" w:name="_Toc499657294"/>
      <w:bookmarkStart w:id="116" w:name="_Toc499662012"/>
      <w:bookmarkStart w:id="117" w:name="_Toc499663920"/>
      <w:bookmarkStart w:id="118" w:name="_Toc499664212"/>
      <w:bookmarkStart w:id="119" w:name="_Toc499664577"/>
      <w:bookmarkStart w:id="120" w:name="_Toc499667710"/>
      <w:bookmarkStart w:id="121" w:name="_Toc499667966"/>
      <w:bookmarkStart w:id="122" w:name="_Toc499732044"/>
      <w:bookmarkStart w:id="123" w:name="_Toc499740917"/>
      <w:bookmarkStart w:id="124" w:name="_Toc499741993"/>
      <w:bookmarkStart w:id="125" w:name="_Toc499742336"/>
      <w:bookmarkStart w:id="126" w:name="_Toc499818491"/>
      <w:bookmarkStart w:id="127" w:name="_Toc499820950"/>
      <w:bookmarkStart w:id="128" w:name="_Toc499821273"/>
      <w:bookmarkStart w:id="129" w:name="_Toc499821346"/>
      <w:bookmarkStart w:id="130" w:name="_Toc499821419"/>
      <w:bookmarkStart w:id="131" w:name="_Toc499821492"/>
      <w:bookmarkStart w:id="132" w:name="_Toc499909362"/>
      <w:bookmarkStart w:id="133" w:name="_Toc499910548"/>
      <w:bookmarkStart w:id="134" w:name="_Toc499913071"/>
      <w:bookmarkStart w:id="135" w:name="_Toc499913109"/>
      <w:bookmarkStart w:id="136" w:name="_Toc499915721"/>
      <w:bookmarkStart w:id="137" w:name="_Toc500153736"/>
      <w:bookmarkStart w:id="138" w:name="_Toc500154593"/>
      <w:bookmarkStart w:id="139" w:name="_Toc500158074"/>
      <w:bookmarkStart w:id="140" w:name="_Toc500168354"/>
      <w:bookmarkStart w:id="141" w:name="_Toc500174886"/>
      <w:bookmarkStart w:id="142" w:name="_Toc500176390"/>
      <w:bookmarkStart w:id="143" w:name="_Toc500181315"/>
      <w:bookmarkStart w:id="144" w:name="_Toc500181742"/>
      <w:bookmarkStart w:id="145" w:name="_Toc500182934"/>
      <w:bookmarkStart w:id="146" w:name="_Toc500259727"/>
      <w:bookmarkStart w:id="147" w:name="_Toc500261821"/>
      <w:bookmarkStart w:id="148" w:name="_Toc500262560"/>
      <w:bookmarkStart w:id="149" w:name="_Toc500264142"/>
      <w:bookmarkStart w:id="150" w:name="_Toc500265677"/>
      <w:bookmarkStart w:id="151" w:name="_Toc500266037"/>
      <w:bookmarkStart w:id="152" w:name="_Toc500265768"/>
      <w:bookmarkStart w:id="153" w:name="_Toc500348172"/>
      <w:bookmarkStart w:id="154" w:name="_Toc500349178"/>
      <w:bookmarkStart w:id="155" w:name="_Toc500349697"/>
      <w:bookmarkStart w:id="156" w:name="_Toc500412322"/>
      <w:bookmarkStart w:id="157" w:name="_Toc500414593"/>
      <w:bookmarkStart w:id="158" w:name="_Toc500414875"/>
      <w:bookmarkStart w:id="159" w:name="_Toc500414965"/>
      <w:bookmarkStart w:id="160" w:name="_Toc500422650"/>
      <w:bookmarkStart w:id="161" w:name="_Toc500430555"/>
      <w:bookmarkStart w:id="162" w:name="_Toc500435684"/>
      <w:bookmarkStart w:id="163" w:name="_Toc500436426"/>
      <w:bookmarkStart w:id="164" w:name="_Toc500436517"/>
      <w:bookmarkStart w:id="165" w:name="_Toc500437365"/>
      <w:bookmarkStart w:id="166" w:name="_Toc500437595"/>
      <w:bookmarkStart w:id="167" w:name="_Toc500440962"/>
      <w:bookmarkStart w:id="168" w:name="_Toc500490209"/>
      <w:bookmarkStart w:id="169" w:name="_Toc500495011"/>
      <w:bookmarkStart w:id="170" w:name="_Toc500495235"/>
      <w:bookmarkStart w:id="171" w:name="_Toc500495935"/>
      <w:bookmarkStart w:id="172" w:name="_Toc500498732"/>
      <w:bookmarkStart w:id="173" w:name="_Toc500498823"/>
      <w:bookmarkStart w:id="174" w:name="_Toc500499911"/>
      <w:bookmarkStart w:id="175" w:name="_Toc500500002"/>
      <w:bookmarkStart w:id="176" w:name="_Toc504064432"/>
      <w:bookmarkStart w:id="177" w:name="_Toc504064816"/>
      <w:bookmarkStart w:id="178" w:name="_Toc504065731"/>
      <w:bookmarkStart w:id="179" w:name="_Toc504066367"/>
      <w:bookmarkStart w:id="180" w:name="_Toc504149874"/>
      <w:bookmarkStart w:id="181" w:name="_Toc504151588"/>
      <w:bookmarkStart w:id="182" w:name="_Toc504151936"/>
      <w:bookmarkStart w:id="183" w:name="_Toc504153968"/>
      <w:bookmarkStart w:id="184" w:name="_Toc504472276"/>
      <w:bookmarkStart w:id="185" w:name="_Toc504491511"/>
      <w:bookmarkStart w:id="186" w:name="_Toc504495214"/>
      <w:bookmarkStart w:id="187" w:name="_Toc504497144"/>
      <w:bookmarkStart w:id="188" w:name="_Toc504497240"/>
      <w:bookmarkStart w:id="189" w:name="_Toc504499827"/>
      <w:bookmarkStart w:id="190" w:name="_Toc504501843"/>
      <w:bookmarkStart w:id="191" w:name="_Toc504579134"/>
      <w:bookmarkStart w:id="192" w:name="_Toc504580291"/>
      <w:bookmarkStart w:id="193" w:name="_Toc504588049"/>
      <w:bookmarkStart w:id="194" w:name="_Toc504588981"/>
      <w:bookmarkStart w:id="195" w:name="_Toc504642061"/>
      <w:bookmarkStart w:id="196" w:name="_Toc504644156"/>
      <w:bookmarkStart w:id="197" w:name="_Toc504645740"/>
      <w:bookmarkStart w:id="198" w:name="_Toc504648516"/>
      <w:bookmarkStart w:id="199" w:name="_Toc504650490"/>
      <w:bookmarkStart w:id="200" w:name="_Toc504654523"/>
      <w:bookmarkStart w:id="201" w:name="_Toc504656052"/>
      <w:bookmarkStart w:id="202" w:name="_Toc504661196"/>
      <w:bookmarkStart w:id="203" w:name="_Toc504661451"/>
      <w:bookmarkStart w:id="204" w:name="_Toc504662525"/>
      <w:bookmarkStart w:id="205" w:name="_Toc504669652"/>
      <w:bookmarkStart w:id="206" w:name="_Toc504670654"/>
      <w:bookmarkStart w:id="207" w:name="_Toc504729960"/>
      <w:bookmarkStart w:id="208" w:name="_Toc504732925"/>
      <w:bookmarkStart w:id="209" w:name="_Toc504736032"/>
      <w:bookmarkStart w:id="210" w:name="_Toc504736383"/>
      <w:bookmarkStart w:id="211" w:name="_Toc504741171"/>
      <w:bookmarkStart w:id="212" w:name="_Toc506819317"/>
      <w:bookmarkStart w:id="213" w:name="_Toc506998756"/>
      <w:bookmarkStart w:id="214" w:name="_Toc507075848"/>
      <w:bookmarkStart w:id="215" w:name="_Toc507080592"/>
      <w:bookmarkStart w:id="216" w:name="_Toc507591878"/>
      <w:bookmarkStart w:id="217" w:name="_Toc510018318"/>
      <w:r>
        <w:rPr>
          <w:noProof/>
        </w:rPr>
        <w:t>Annex 11: Additional data on "free" digital services</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2430DD" w:rsidRDefault="0008761B">
      <w:pPr>
        <w:pStyle w:val="Heading2"/>
        <w:rPr>
          <w:noProof/>
        </w:rPr>
      </w:pPr>
      <w:bookmarkStart w:id="218" w:name="_Toc500168355"/>
      <w:bookmarkStart w:id="219" w:name="_Toc500174887"/>
      <w:bookmarkStart w:id="220" w:name="_Toc500176391"/>
      <w:bookmarkStart w:id="221" w:name="_Toc500181316"/>
      <w:bookmarkStart w:id="222" w:name="_Toc500181743"/>
      <w:bookmarkStart w:id="223" w:name="_Toc500182935"/>
      <w:bookmarkStart w:id="224" w:name="_Toc500259728"/>
      <w:bookmarkStart w:id="225" w:name="_Toc500261822"/>
      <w:bookmarkStart w:id="226" w:name="_Toc500262561"/>
      <w:bookmarkStart w:id="227" w:name="_Toc500264143"/>
      <w:bookmarkStart w:id="228" w:name="_Toc500265678"/>
      <w:bookmarkStart w:id="229" w:name="_Toc500266038"/>
      <w:bookmarkStart w:id="230" w:name="_Toc500265769"/>
      <w:bookmarkStart w:id="231" w:name="_Toc500348173"/>
      <w:bookmarkStart w:id="232" w:name="_Toc500349179"/>
      <w:bookmarkStart w:id="233" w:name="_Toc500349698"/>
      <w:bookmarkStart w:id="234" w:name="_Toc500412323"/>
      <w:bookmarkStart w:id="235" w:name="_Toc500414594"/>
      <w:bookmarkStart w:id="236" w:name="_Toc500414876"/>
      <w:bookmarkStart w:id="237" w:name="_Toc500414966"/>
      <w:bookmarkStart w:id="238" w:name="_Toc500422651"/>
      <w:bookmarkStart w:id="239" w:name="_Toc500430556"/>
      <w:bookmarkStart w:id="240" w:name="_Toc500435685"/>
      <w:bookmarkStart w:id="241" w:name="_Toc500436427"/>
      <w:bookmarkStart w:id="242" w:name="_Toc500436518"/>
      <w:bookmarkStart w:id="243" w:name="_Toc500437366"/>
      <w:bookmarkStart w:id="244" w:name="_Toc500437596"/>
      <w:bookmarkStart w:id="245" w:name="_Toc500440963"/>
      <w:bookmarkStart w:id="246" w:name="_Toc500490210"/>
      <w:bookmarkStart w:id="247" w:name="_Toc500495012"/>
      <w:bookmarkStart w:id="248" w:name="_Toc500495236"/>
      <w:bookmarkStart w:id="249" w:name="_Toc500495936"/>
      <w:bookmarkStart w:id="250" w:name="_Toc500498733"/>
      <w:bookmarkStart w:id="251" w:name="_Toc500498824"/>
      <w:bookmarkStart w:id="252" w:name="_Toc500499912"/>
      <w:bookmarkStart w:id="253" w:name="_Toc500500003"/>
      <w:bookmarkStart w:id="254" w:name="_Toc504064433"/>
      <w:bookmarkStart w:id="255" w:name="_Toc504064817"/>
      <w:bookmarkStart w:id="256" w:name="_Toc504065732"/>
      <w:bookmarkStart w:id="257" w:name="_Toc504066368"/>
      <w:bookmarkStart w:id="258" w:name="_Toc504149875"/>
      <w:bookmarkStart w:id="259" w:name="_Toc504151589"/>
      <w:bookmarkStart w:id="260" w:name="_Toc504151937"/>
      <w:bookmarkStart w:id="261" w:name="_Toc504153969"/>
      <w:bookmarkStart w:id="262" w:name="_Toc504472277"/>
      <w:bookmarkStart w:id="263" w:name="_Toc504491512"/>
      <w:bookmarkStart w:id="264" w:name="_Toc504495215"/>
      <w:bookmarkStart w:id="265" w:name="_Toc504497145"/>
      <w:bookmarkStart w:id="266" w:name="_Toc504497241"/>
      <w:bookmarkStart w:id="267" w:name="_Toc504497439"/>
      <w:bookmarkStart w:id="268" w:name="_Toc504499828"/>
      <w:bookmarkStart w:id="269" w:name="_Toc504501844"/>
      <w:bookmarkStart w:id="270" w:name="_Toc504579135"/>
      <w:bookmarkStart w:id="271" w:name="_Toc504580292"/>
      <w:bookmarkStart w:id="272" w:name="_Toc504588050"/>
      <w:bookmarkStart w:id="273" w:name="_Toc504588982"/>
      <w:bookmarkStart w:id="274" w:name="_Toc504642062"/>
      <w:bookmarkStart w:id="275" w:name="_Toc504644157"/>
      <w:bookmarkStart w:id="276" w:name="_Toc504645741"/>
      <w:bookmarkStart w:id="277" w:name="_Toc504648517"/>
      <w:bookmarkStart w:id="278" w:name="_Toc504650491"/>
      <w:bookmarkStart w:id="279" w:name="_Toc504654524"/>
      <w:bookmarkStart w:id="280" w:name="_Toc504656053"/>
      <w:bookmarkStart w:id="281" w:name="_Toc504661197"/>
      <w:bookmarkStart w:id="282" w:name="_Toc504661452"/>
      <w:bookmarkStart w:id="283" w:name="_Toc504662526"/>
      <w:bookmarkStart w:id="284" w:name="_Toc504669653"/>
      <w:bookmarkStart w:id="285" w:name="_Toc504670655"/>
      <w:bookmarkStart w:id="286" w:name="_Toc504729961"/>
      <w:bookmarkStart w:id="287" w:name="_Toc504732926"/>
      <w:bookmarkStart w:id="288" w:name="_Toc504736033"/>
      <w:bookmarkStart w:id="289" w:name="_Toc504736384"/>
      <w:bookmarkStart w:id="290" w:name="_Toc504741172"/>
      <w:bookmarkStart w:id="291" w:name="_Toc506819318"/>
      <w:bookmarkStart w:id="292" w:name="_Toc506998757"/>
      <w:bookmarkStart w:id="293" w:name="_Toc507075849"/>
      <w:bookmarkStart w:id="294" w:name="_Toc507080593"/>
      <w:bookmarkStart w:id="295" w:name="_Toc507591879"/>
      <w:bookmarkStart w:id="296" w:name="_Toc510018319"/>
      <w:r>
        <w:rPr>
          <w:noProof/>
        </w:rPr>
        <w:t>1. Detailed problem description</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Pr>
          <w:noProof/>
        </w:rPr>
        <w:t xml:space="preserve"> </w:t>
      </w:r>
    </w:p>
    <w:p w:rsidR="002430DD" w:rsidRDefault="0008761B">
      <w:pPr>
        <w:rPr>
          <w:noProof/>
        </w:rPr>
      </w:pPr>
      <w:r>
        <w:rPr>
          <w:noProof/>
        </w:rPr>
        <w:t xml:space="preserve">The EU is one of the largest e-commerce markets in the world and the percentage of </w:t>
      </w:r>
      <w:r>
        <w:rPr>
          <w:noProof/>
        </w:rPr>
        <w:t>consumers aged between 16 and 74 that have ordered goods or services over the internet has grown year</w:t>
      </w:r>
      <w:r>
        <w:rPr>
          <w:noProof/>
        </w:rPr>
        <w:noBreakHyphen/>
        <w:t>on-year from 30% in 2007 to 55% in 2016.</w:t>
      </w:r>
      <w:r>
        <w:rPr>
          <w:rStyle w:val="FootnoteReference"/>
          <w:noProof/>
        </w:rPr>
        <w:footnoteReference w:id="2"/>
      </w:r>
      <w:r>
        <w:rPr>
          <w:rStyle w:val="FootnoteReference"/>
          <w:noProof/>
        </w:rPr>
        <w:t xml:space="preserve"> </w:t>
      </w:r>
      <w:r>
        <w:rPr>
          <w:noProof/>
        </w:rPr>
        <w:t>Furthermore, the 2015 DSM consumer survey revealed that 93% of EU28 online respondents had used "free" digital s</w:t>
      </w:r>
      <w:r>
        <w:rPr>
          <w:noProof/>
        </w:rPr>
        <w:t>ervices at least once in the previous year (2014)</w:t>
      </w:r>
      <w:r>
        <w:rPr>
          <w:rStyle w:val="FootnoteReference"/>
          <w:noProof/>
        </w:rPr>
        <w:footnoteReference w:id="3"/>
      </w:r>
      <w:r>
        <w:rPr>
          <w:noProof/>
        </w:rPr>
        <w:t xml:space="preserve"> and 75% of the 91 respondents in the public consultation reported having used "free" digital services over the last 3 years (2015-2017).</w:t>
      </w:r>
    </w:p>
    <w:p w:rsidR="002430DD" w:rsidRDefault="0008761B">
      <w:pPr>
        <w:rPr>
          <w:noProof/>
        </w:rPr>
      </w:pPr>
      <w:r>
        <w:rPr>
          <w:noProof/>
        </w:rPr>
        <w:t xml:space="preserve">However, the existing EU consumer law does not yet offer adequate </w:t>
      </w:r>
      <w:r>
        <w:rPr>
          <w:noProof/>
        </w:rPr>
        <w:t>protection in all digital transactions. In its current form, the CRD applies to contracts for the supply of digital content</w:t>
      </w:r>
      <w:r>
        <w:rPr>
          <w:rStyle w:val="FootnoteReference"/>
          <w:noProof/>
        </w:rPr>
        <w:footnoteReference w:id="4"/>
      </w:r>
      <w:r>
        <w:rPr>
          <w:noProof/>
        </w:rPr>
        <w:t>, regardless of whether the consumer pays a price in money (paid digital content) or provides personal data ("free" digital content)</w:t>
      </w:r>
      <w:r>
        <w:rPr>
          <w:noProof/>
        </w:rPr>
        <w:t>, as explained in the CRD Guidance Document.</w:t>
      </w:r>
      <w:r>
        <w:rPr>
          <w:rStyle w:val="FootnoteReference"/>
          <w:noProof/>
        </w:rPr>
        <w:footnoteReference w:id="5"/>
      </w:r>
      <w:r>
        <w:rPr>
          <w:noProof/>
        </w:rPr>
        <w:t xml:space="preserve"> D</w:t>
      </w:r>
      <w:r>
        <w:rPr>
          <w:bCs/>
          <w:iCs/>
          <w:noProof/>
        </w:rPr>
        <w:t>igital content includes, for example, computer programs, applications, games, music, videos or texts, irrespective of whether they are accessed through downloading or streaming</w:t>
      </w:r>
      <w:r>
        <w:rPr>
          <w:iCs/>
          <w:noProof/>
        </w:rPr>
        <w:t xml:space="preserve"> from a tangible medium or throug</w:t>
      </w:r>
      <w:r>
        <w:rPr>
          <w:iCs/>
          <w:noProof/>
        </w:rPr>
        <w:t>h any other means</w:t>
      </w:r>
      <w:r>
        <w:rPr>
          <w:i/>
          <w:iCs/>
          <w:noProof/>
        </w:rPr>
        <w:t>.</w:t>
      </w:r>
      <w:r>
        <w:rPr>
          <w:rStyle w:val="FootnoteReference"/>
          <w:iCs/>
          <w:noProof/>
        </w:rPr>
        <w:footnoteReference w:id="6"/>
      </w:r>
      <w:r>
        <w:rPr>
          <w:i/>
          <w:iCs/>
          <w:noProof/>
        </w:rPr>
        <w:t xml:space="preserve"> </w:t>
      </w:r>
      <w:r>
        <w:rPr>
          <w:noProof/>
        </w:rPr>
        <w:t>If a contract for the supply of digital content is concluded the CRD provides consumers with EU</w:t>
      </w:r>
      <w:r>
        <w:rPr>
          <w:noProof/>
        </w:rPr>
        <w:noBreakHyphen/>
        <w:t>level rights to pre</w:t>
      </w:r>
      <w:r>
        <w:rPr>
          <w:noProof/>
        </w:rPr>
        <w:noBreakHyphen/>
        <w:t>contractual information and to withdraw from the contract. The CRD does not apply if a contract is not formed, for insta</w:t>
      </w:r>
      <w:r>
        <w:rPr>
          <w:noProof/>
        </w:rPr>
        <w:t>nce in case a consumer merely accesses a website, uses a search engine or downloads digital content from a website without providing anything in return.</w:t>
      </w:r>
      <w:r>
        <w:rPr>
          <w:rStyle w:val="FootnoteReference"/>
          <w:noProof/>
        </w:rPr>
        <w:footnoteReference w:id="7"/>
      </w:r>
      <w:r>
        <w:rPr>
          <w:noProof/>
        </w:rPr>
        <w:t xml:space="preserve"> </w:t>
      </w:r>
    </w:p>
    <w:p w:rsidR="002430DD" w:rsidRDefault="0008761B">
      <w:pPr>
        <w:rPr>
          <w:noProof/>
        </w:rPr>
      </w:pPr>
      <w:r>
        <w:rPr>
          <w:noProof/>
        </w:rPr>
        <w:t>In its current form, the CRD fails to offer adequate protection for contracts that do not concern a s</w:t>
      </w:r>
      <w:r>
        <w:rPr>
          <w:noProof/>
        </w:rPr>
        <w:t>pecific piece of digital content, but which involve digital services of a certain duration. Digital services include, for example, accessing, creating, processing, storing or sharing of data in digital form, such as subscription contracts to content platfo</w:t>
      </w:r>
      <w:r>
        <w:rPr>
          <w:noProof/>
        </w:rPr>
        <w:t>rms (e.g. iTunes, GooglePlay), cloud storage (e.g. Dropbox, iCloud), webmail (e.g. Hotmail, Gmail) and social media (Facebook, Instagram). The CRD only applies to digital service contracts supplied against the payment of a price in money (paid digital serv</w:t>
      </w:r>
      <w:r>
        <w:rPr>
          <w:noProof/>
        </w:rPr>
        <w:t xml:space="preserve">ice), but it is silent on the applicable rights for contracts where the consumer provides personal data ("free" digital service). </w:t>
      </w:r>
    </w:p>
    <w:p w:rsidR="002430DD" w:rsidRDefault="0008761B">
      <w:pPr>
        <w:rPr>
          <w:noProof/>
        </w:rPr>
      </w:pPr>
      <w:r>
        <w:rPr>
          <w:noProof/>
        </w:rPr>
        <w:t>It is challenging to justify the existence of this legal gap of consumer protection given the similarities between digital co</w:t>
      </w:r>
      <w:r>
        <w:rPr>
          <w:noProof/>
        </w:rPr>
        <w:t>ntent and digital service contracts, as well as the substantive interchangeability of paid digital services and "free" digital services.</w:t>
      </w:r>
    </w:p>
    <w:p w:rsidR="002430DD" w:rsidRDefault="0008761B">
      <w:pPr>
        <w:rPr>
          <w:noProof/>
        </w:rPr>
      </w:pPr>
      <w:r>
        <w:rPr>
          <w:noProof/>
        </w:rPr>
        <w:t>The CRD Report found that it is often difficult to distinguish between what qualifies as "free" digital content or a "f</w:t>
      </w:r>
      <w:r>
        <w:rPr>
          <w:noProof/>
        </w:rPr>
        <w:t>ree" digital service in practice.</w:t>
      </w:r>
      <w:r>
        <w:rPr>
          <w:rStyle w:val="FootnoteReference"/>
          <w:noProof/>
        </w:rPr>
        <w:footnoteReference w:id="8"/>
      </w:r>
      <w:r>
        <w:rPr>
          <w:noProof/>
        </w:rPr>
        <w:t xml:space="preserve"> As only one of these categories is currently covered by the CRD, there is significant legal uncertainty about the applicable rules and the legal protection afforded to the consumers that entered into such contracts differ</w:t>
      </w:r>
      <w:r>
        <w:rPr>
          <w:noProof/>
        </w:rPr>
        <w:t>s dramatically.</w:t>
      </w:r>
    </w:p>
    <w:p w:rsidR="002430DD" w:rsidRDefault="0008761B">
      <w:pPr>
        <w:rPr>
          <w:noProof/>
        </w:rPr>
      </w:pPr>
      <w:r>
        <w:rPr>
          <w:noProof/>
        </w:rPr>
        <w:lastRenderedPageBreak/>
        <w:t>These problems will be magnified by the upcoming Digital Content Directive (DCD), which, once adopted, will provide contractual remedies for consumers in case there has been a failure to supply or a lack of conformity with the digital conte</w:t>
      </w:r>
      <w:r>
        <w:rPr>
          <w:noProof/>
        </w:rPr>
        <w:t>nt or digital services, as well as a right to terminate long term contracts after 12 months. In situations where the consumer provides personal data for "free" digital content and "free" digital services, the remedies provided for in the DCD would apply in</w:t>
      </w:r>
      <w:r>
        <w:rPr>
          <w:noProof/>
        </w:rPr>
        <w:t xml:space="preserve"> parallel with the new General Data Protection Regulation</w:t>
      </w:r>
      <w:r>
        <w:rPr>
          <w:noProof/>
          <w:vertAlign w:val="superscript"/>
        </w:rPr>
        <w:footnoteReference w:id="9"/>
      </w:r>
      <w:r>
        <w:rPr>
          <w:noProof/>
        </w:rPr>
        <w:t>, which will be applicable as from 25 May 2018.</w:t>
      </w:r>
    </w:p>
    <w:p w:rsidR="002430DD" w:rsidRDefault="0008761B">
      <w:pPr>
        <w:keepNext/>
        <w:rPr>
          <w:noProof/>
        </w:rPr>
      </w:pPr>
      <w:r>
        <w:rPr>
          <w:noProof/>
        </w:rPr>
        <w:t xml:space="preserve">The interplay between the CRD, the DCD and the GDPR can be illustrated as follows: </w:t>
      </w:r>
    </w:p>
    <w:p w:rsidR="002430DD" w:rsidRDefault="002430DD">
      <w:pPr>
        <w:rPr>
          <w:noProof/>
        </w:rPr>
      </w:pPr>
    </w:p>
    <w:p w:rsidR="002430DD" w:rsidRDefault="0008761B">
      <w:pPr>
        <w:rPr>
          <w:noProof/>
        </w:rPr>
      </w:pPr>
      <w:r>
        <w:rPr>
          <w:noProof/>
          <w:lang w:val="en-GB" w:eastAsia="en-GB"/>
        </w:rPr>
        <w:drawing>
          <wp:inline distT="0" distB="0" distL="0" distR="0">
            <wp:extent cx="5511165" cy="3413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1165" cy="3413760"/>
                    </a:xfrm>
                    <a:prstGeom prst="rect">
                      <a:avLst/>
                    </a:prstGeom>
                    <a:noFill/>
                  </pic:spPr>
                </pic:pic>
              </a:graphicData>
            </a:graphic>
          </wp:inline>
        </w:drawing>
      </w:r>
    </w:p>
    <w:p w:rsidR="002430DD" w:rsidRDefault="0008761B">
      <w:pPr>
        <w:rPr>
          <w:noProof/>
        </w:rPr>
      </w:pPr>
      <w:r>
        <w:rPr>
          <w:noProof/>
        </w:rPr>
        <w:t xml:space="preserve">A detailed overview of the DCD and GDPR is included in </w:t>
      </w:r>
      <w:r>
        <w:rPr>
          <w:noProof/>
        </w:rPr>
        <w:t>subsection 2 of this Annex.</w:t>
      </w:r>
    </w:p>
    <w:p w:rsidR="002430DD" w:rsidRDefault="0008761B">
      <w:pPr>
        <w:rPr>
          <w:noProof/>
        </w:rPr>
      </w:pPr>
      <w:r>
        <w:rPr>
          <w:noProof/>
        </w:rPr>
        <w:t>Next to the problems that will emerge with the CRD once the DCD comes into force, the current situation already poses unnecessary costs for traders due to diverging national rules and an unclear legal framework. Replies to the t</w:t>
      </w:r>
      <w:r>
        <w:rPr>
          <w:noProof/>
        </w:rPr>
        <w:t>argeted consultations indicate that the rules on pre-contractual information and/or the right of withdrawal apply also to "free" digital services in at least three Member States.</w:t>
      </w:r>
      <w:r>
        <w:rPr>
          <w:noProof/>
          <w:vertAlign w:val="superscript"/>
        </w:rPr>
        <w:footnoteReference w:id="10"/>
      </w:r>
      <w:r>
        <w:rPr>
          <w:noProof/>
        </w:rPr>
        <w:t xml:space="preserve"> Latvia and Portugal have extended both the pre-contractual information requi</w:t>
      </w:r>
      <w:r>
        <w:rPr>
          <w:noProof/>
        </w:rPr>
        <w:t>rements and the right of withdrawal to "free" digital services, whereas France applied only the pre-contractual information requirements to online marketplaces by the means of the Digital Republic Bill</w:t>
      </w:r>
      <w:r>
        <w:rPr>
          <w:noProof/>
          <w:vertAlign w:val="superscript"/>
        </w:rPr>
        <w:footnoteReference w:id="11"/>
      </w:r>
      <w:r>
        <w:rPr>
          <w:noProof/>
        </w:rPr>
        <w:t>, which requires online marketplaces to provide consum</w:t>
      </w:r>
      <w:r>
        <w:rPr>
          <w:noProof/>
        </w:rPr>
        <w:t>ers with fair, clear and transparent information, including on general conditions of use of the proposed intermediation service.</w:t>
      </w:r>
    </w:p>
    <w:p w:rsidR="002430DD" w:rsidRDefault="0008761B">
      <w:pPr>
        <w:rPr>
          <w:noProof/>
        </w:rPr>
      </w:pPr>
      <w:r>
        <w:rPr>
          <w:noProof/>
        </w:rPr>
        <w:t>As a result of the fragmentation of national consumer laws, a trader wishing to sell cross</w:t>
      </w:r>
      <w:r>
        <w:rPr>
          <w:noProof/>
        </w:rPr>
        <w:noBreakHyphen/>
        <w:t>border to the consumers of another M</w:t>
      </w:r>
      <w:r>
        <w:rPr>
          <w:noProof/>
        </w:rPr>
        <w:t>ember State will have to incur legal and other compliance costs in order to make sure he is complying with the consumer protection rules of the Member State of the consumer, as required under the Rome I Regulation.</w:t>
      </w:r>
      <w:r>
        <w:rPr>
          <w:rStyle w:val="FootnoteReference"/>
          <w:noProof/>
        </w:rPr>
        <w:footnoteReference w:id="12"/>
      </w:r>
      <w:r>
        <w:rPr>
          <w:noProof/>
        </w:rPr>
        <w:t xml:space="preserve"> These barriers impede the provision of a</w:t>
      </w:r>
      <w:r>
        <w:rPr>
          <w:noProof/>
        </w:rPr>
        <w:t xml:space="preserve">nd the access to digital services for traders and consumers, and ultimately hinder the completion of the DSM. </w:t>
      </w:r>
    </w:p>
    <w:p w:rsidR="002430DD" w:rsidRDefault="0008761B">
      <w:pPr>
        <w:rPr>
          <w:noProof/>
        </w:rPr>
      </w:pPr>
      <w:r>
        <w:rPr>
          <w:noProof/>
        </w:rPr>
        <w:t>The relevance of such barriers was confirmed in the public consultation, where around 60% of business associations</w:t>
      </w:r>
      <w:r>
        <w:rPr>
          <w:rStyle w:val="FootnoteReference"/>
          <w:noProof/>
        </w:rPr>
        <w:footnoteReference w:id="13"/>
      </w:r>
      <w:r>
        <w:rPr>
          <w:noProof/>
        </w:rPr>
        <w:t xml:space="preserve"> reported that companies incur</w:t>
      </w:r>
      <w:r>
        <w:rPr>
          <w:noProof/>
        </w:rPr>
        <w:t xml:space="preserve"> costs to some or significant extent when trading cross-border due to a need to adapt to current different national laws related to pre</w:t>
      </w:r>
      <w:r>
        <w:rPr>
          <w:noProof/>
        </w:rPr>
        <w:noBreakHyphen/>
        <w:t>contractual information or right of withdrawal.</w:t>
      </w:r>
      <w:r>
        <w:rPr>
          <w:rStyle w:val="FootnoteReference"/>
          <w:noProof/>
        </w:rPr>
        <w:footnoteReference w:id="14"/>
      </w:r>
      <w:r>
        <w:rPr>
          <w:noProof/>
        </w:rPr>
        <w:t xml:space="preserve"> 7 out of 10 responding business associations consider these costs to be</w:t>
      </w:r>
      <w:r>
        <w:rPr>
          <w:noProof/>
        </w:rPr>
        <w:t xml:space="preserve"> unreasonable. Moreover, in the SME panel consultation, 10 out of 58 respondents</w:t>
      </w:r>
      <w:r>
        <w:rPr>
          <w:rStyle w:val="FootnoteReference"/>
          <w:noProof/>
        </w:rPr>
        <w:footnoteReference w:id="15"/>
      </w:r>
      <w:r>
        <w:rPr>
          <w:noProof/>
        </w:rPr>
        <w:t xml:space="preserve"> reported being discouraged from entering other EU markets due to these costs, while 28 respondents did not consider these costs to have significant impact on their decision-m</w:t>
      </w:r>
      <w:r>
        <w:rPr>
          <w:noProof/>
        </w:rPr>
        <w:t>aking. SMEs offering "free" digital services report costs when trading cross-border due to (1) replying to complaints and enquiries from consumers that did not get information about the service before concluding the contract (3 of 14 responding companies),</w:t>
      </w:r>
      <w:r>
        <w:rPr>
          <w:noProof/>
        </w:rPr>
        <w:t xml:space="preserve"> (2) would like to cancel the service (6 of 15) and (3) due to complying with rules other countries' national legislation on pre-contractual information and right of withdrawal (6 of 15)</w:t>
      </w:r>
      <w:r>
        <w:rPr>
          <w:rStyle w:val="FootnoteReference"/>
          <w:noProof/>
        </w:rPr>
        <w:footnoteReference w:id="16"/>
      </w:r>
      <w:r>
        <w:rPr>
          <w:noProof/>
        </w:rPr>
        <w:t>. In the SME test panel SMEs gave estimates regarding one-off costs b</w:t>
      </w:r>
      <w:r>
        <w:rPr>
          <w:noProof/>
        </w:rPr>
        <w:t>etween zero and EUR 48 000 (up to 16% in terms of turnover). Estimates for annual costs ranged from zero to EUR 20 000 (up to 6.67% in terms of turnover). The two responding large enterprises stated zero and EUR 299 respectively, both one-off and annual co</w:t>
      </w:r>
      <w:r>
        <w:rPr>
          <w:noProof/>
        </w:rPr>
        <w:t>sts.</w:t>
      </w:r>
      <w:r>
        <w:rPr>
          <w:rStyle w:val="FootnoteReference"/>
          <w:noProof/>
        </w:rPr>
        <w:footnoteReference w:id="17"/>
      </w:r>
    </w:p>
    <w:p w:rsidR="002430DD" w:rsidRDefault="0008761B">
      <w:pPr>
        <w:rPr>
          <w:noProof/>
        </w:rPr>
      </w:pPr>
      <w:r>
        <w:rPr>
          <w:noProof/>
        </w:rPr>
        <w:t xml:space="preserve">These costs are likely to increase in the future, as the targeted consultation points to ongoing discussions in a number of Member States about introducing new rules concerning the provision of personal data under the notion of "payment of a price", </w:t>
      </w:r>
      <w:r>
        <w:rPr>
          <w:noProof/>
        </w:rPr>
        <w:t xml:space="preserve">as laid down in the CRD in relation to the definition of service contracts. </w:t>
      </w:r>
    </w:p>
    <w:p w:rsidR="002430DD" w:rsidRDefault="0008761B">
      <w:pPr>
        <w:rPr>
          <w:noProof/>
        </w:rPr>
      </w:pPr>
      <w:r>
        <w:rPr>
          <w:noProof/>
        </w:rPr>
        <w:t xml:space="preserve">Furthermore, the current situation leads to a unfair competition between traders. Depending on whether they supply the exact same digital service against personal data or against </w:t>
      </w:r>
      <w:r>
        <w:rPr>
          <w:noProof/>
        </w:rPr>
        <w:t>payment of a price, traders are subject to different rules. Similarly, traders that supply digital content for "free" have to comply with the CRD rules, unlike traders that supply digital services for "free". Furthermore, these divergences create difficult</w:t>
      </w:r>
      <w:r>
        <w:rPr>
          <w:noProof/>
        </w:rPr>
        <w:t>ies for compliance with consumer law if the business model combines elements of "free" and paid digital services. For example, the so-called "freemium" model enables consumers to use an app without payment (e.g. play a game) but subsequently have the abili</w:t>
      </w:r>
      <w:r>
        <w:rPr>
          <w:noProof/>
        </w:rPr>
        <w:t>ty to buy paid elements through "in-app" purchases.</w:t>
      </w:r>
      <w:r>
        <w:rPr>
          <w:rStyle w:val="FootnoteReference"/>
          <w:noProof/>
        </w:rPr>
        <w:footnoteReference w:id="18"/>
      </w:r>
      <w:r>
        <w:rPr>
          <w:noProof/>
        </w:rPr>
        <w:t xml:space="preserve"> </w:t>
      </w:r>
    </w:p>
    <w:p w:rsidR="002430DD" w:rsidRDefault="0008761B">
      <w:pPr>
        <w:rPr>
          <w:noProof/>
        </w:rPr>
      </w:pPr>
      <w:r>
        <w:rPr>
          <w:noProof/>
        </w:rPr>
        <w:t xml:space="preserve">The lack of protection for "free" digital services also leads to tangible detriment for consumers. The CRD study found that </w:t>
      </w:r>
      <w:r>
        <w:rPr>
          <w:noProof/>
          <w:lang w:val="en-US"/>
        </w:rPr>
        <w:t>48% of the surveyed consumers experienced difficulties with unsubscribing from</w:t>
      </w:r>
      <w:r>
        <w:rPr>
          <w:noProof/>
          <w:lang w:val="en-US"/>
        </w:rPr>
        <w:t xml:space="preserve"> such services. Similarly, in the </w:t>
      </w:r>
      <w:r>
        <w:rPr>
          <w:noProof/>
        </w:rPr>
        <w:t>public consultation almost 70% of individuals indicated that the lack of pre-contractual information and the right of withdrawal is problematic and can create harm for consumers when using "free" digital services cross-bor</w:t>
      </w:r>
      <w:r>
        <w:rPr>
          <w:noProof/>
        </w:rPr>
        <w:t>der</w:t>
      </w:r>
      <w:r>
        <w:rPr>
          <w:noProof/>
          <w:vertAlign w:val="superscript"/>
        </w:rPr>
        <w:footnoteReference w:id="19"/>
      </w:r>
      <w:r>
        <w:rPr>
          <w:noProof/>
        </w:rPr>
        <w:t>. In particular, 23 out of 67 individuals reported having experienced detriment in the last three years when using "free" digital services due to the lack of pre-contractual information (33%), while 13 reported such harm due to the lack of a right of w</w:t>
      </w:r>
      <w:r>
        <w:rPr>
          <w:noProof/>
        </w:rPr>
        <w:t>ithdrawal (17%).</w:t>
      </w:r>
      <w:r>
        <w:rPr>
          <w:noProof/>
          <w:vertAlign w:val="superscript"/>
        </w:rPr>
        <w:footnoteReference w:id="20"/>
      </w:r>
    </w:p>
    <w:p w:rsidR="002430DD" w:rsidRDefault="0008761B">
      <w:pPr>
        <w:rPr>
          <w:noProof/>
        </w:rPr>
      </w:pPr>
      <w:r>
        <w:rPr>
          <w:noProof/>
        </w:rPr>
        <w:t>The IA for the DCD proposal estimated that almost 1 in 3 consumers across the EU (36%) had experienced at least one problem in the previous 12 months with contracts for digital products, including contracts for "free" digital services (su</w:t>
      </w:r>
      <w:r>
        <w:rPr>
          <w:noProof/>
        </w:rPr>
        <w:t>ch as cloud storage with which 30% reported problems)</w:t>
      </w:r>
      <w:r>
        <w:rPr>
          <w:noProof/>
          <w:vertAlign w:val="superscript"/>
        </w:rPr>
        <w:t xml:space="preserve"> </w:t>
      </w:r>
      <w:r>
        <w:rPr>
          <w:noProof/>
          <w:vertAlign w:val="superscript"/>
        </w:rPr>
        <w:footnoteReference w:id="21"/>
      </w:r>
      <w:r>
        <w:rPr>
          <w:noProof/>
        </w:rPr>
        <w:t>. In the public consultation, almost 100% of the respondent consumer associations agreed that consumers suffer harm when using "free" digital services due to the lack of pre</w:t>
      </w:r>
      <w:r>
        <w:rPr>
          <w:noProof/>
        </w:rPr>
        <w:noBreakHyphen/>
        <w:t>contractual information and</w:t>
      </w:r>
      <w:r>
        <w:rPr>
          <w:noProof/>
        </w:rPr>
        <w:t xml:space="preserve"> the right of withdrawal, whereas over 2/3 of them consider that this lack of rights discourages consumers from acquiring such services</w:t>
      </w:r>
      <w:r>
        <w:rPr>
          <w:noProof/>
          <w:vertAlign w:val="superscript"/>
        </w:rPr>
        <w:footnoteReference w:id="22"/>
      </w:r>
      <w:r>
        <w:rPr>
          <w:noProof/>
        </w:rPr>
        <w:t>.</w:t>
      </w:r>
      <w:r>
        <w:rPr>
          <w:noProof/>
          <w:vertAlign w:val="superscript"/>
        </w:rPr>
        <w:t xml:space="preserve"> </w:t>
      </w:r>
      <w:r>
        <w:rPr>
          <w:noProof/>
        </w:rPr>
        <w:t>In contrast, over 50% of business associations</w:t>
      </w:r>
      <w:r>
        <w:rPr>
          <w:noProof/>
          <w:vertAlign w:val="superscript"/>
        </w:rPr>
        <w:footnoteReference w:id="23"/>
      </w:r>
      <w:r>
        <w:rPr>
          <w:noProof/>
        </w:rPr>
        <w:t xml:space="preserve"> and traders</w:t>
      </w:r>
      <w:r>
        <w:rPr>
          <w:noProof/>
          <w:vertAlign w:val="superscript"/>
        </w:rPr>
        <w:footnoteReference w:id="24"/>
      </w:r>
      <w:r>
        <w:rPr>
          <w:noProof/>
        </w:rPr>
        <w:t xml:space="preserve"> replying to the public consultation rather disagreed that</w:t>
      </w:r>
      <w:r>
        <w:rPr>
          <w:noProof/>
        </w:rPr>
        <w:t xml:space="preserve"> consumers suffer detriment when using "free" digital services due to lack of rights. In the CPC/CPN/CMEG targeted consultation, Member State authorities did not provide considerable evidence of consumers suffering harm when using "free" services; however,</w:t>
      </w:r>
      <w:r>
        <w:rPr>
          <w:noProof/>
        </w:rPr>
        <w:t xml:space="preserve"> some of the responding Member States underlined that this lack of evidence could be due to the consumers' lower expectations about digital services that are offered for "free" and due to difficulties in assessing to whom a complaint can be addressed.</w:t>
      </w:r>
    </w:p>
    <w:p w:rsidR="002430DD" w:rsidRDefault="0008761B">
      <w:pPr>
        <w:rPr>
          <w:b/>
          <w:noProof/>
        </w:rPr>
      </w:pPr>
      <w:r>
        <w:rPr>
          <w:noProof/>
        </w:rPr>
        <w:t>Fina</w:t>
      </w:r>
      <w:r>
        <w:rPr>
          <w:noProof/>
        </w:rPr>
        <w:t>lly, in reply to the public consultation, no less than 48% of individuals</w:t>
      </w:r>
      <w:r>
        <w:rPr>
          <w:noProof/>
          <w:vertAlign w:val="superscript"/>
        </w:rPr>
        <w:footnoteReference w:id="25"/>
      </w:r>
      <w:r>
        <w:rPr>
          <w:noProof/>
        </w:rPr>
        <w:t xml:space="preserve"> reported that they would use "free" digital services even more often, if they had the right to pre</w:t>
      </w:r>
      <w:r>
        <w:rPr>
          <w:noProof/>
        </w:rPr>
        <w:noBreakHyphen/>
        <w:t>contractual information and to withdraw. This view is confirmed by more than 80% o</w:t>
      </w:r>
      <w:r>
        <w:rPr>
          <w:noProof/>
        </w:rPr>
        <w:t>f the consumer associations</w:t>
      </w:r>
      <w:r>
        <w:rPr>
          <w:noProof/>
          <w:vertAlign w:val="superscript"/>
        </w:rPr>
        <w:footnoteReference w:id="26"/>
      </w:r>
      <w:r>
        <w:rPr>
          <w:noProof/>
        </w:rPr>
        <w:t xml:space="preserve"> and more than 30% of MS authorities.</w:t>
      </w:r>
      <w:r>
        <w:rPr>
          <w:noProof/>
          <w:vertAlign w:val="superscript"/>
        </w:rPr>
        <w:footnoteReference w:id="27"/>
      </w:r>
      <w:r>
        <w:rPr>
          <w:noProof/>
        </w:rPr>
        <w:t xml:space="preserve">  </w:t>
      </w:r>
    </w:p>
    <w:p w:rsidR="002430DD" w:rsidRDefault="0008761B">
      <w:pPr>
        <w:pStyle w:val="Heading2"/>
        <w:rPr>
          <w:noProof/>
        </w:rPr>
      </w:pPr>
      <w:bookmarkStart w:id="297" w:name="_Toc500168356"/>
      <w:bookmarkStart w:id="298" w:name="_Toc500174888"/>
      <w:bookmarkStart w:id="299" w:name="_Toc500176392"/>
      <w:bookmarkStart w:id="300" w:name="_Toc500181317"/>
      <w:bookmarkStart w:id="301" w:name="_Toc500181744"/>
      <w:bookmarkStart w:id="302" w:name="_Toc500182936"/>
      <w:bookmarkStart w:id="303" w:name="_Toc500259729"/>
      <w:bookmarkStart w:id="304" w:name="_Toc500261823"/>
      <w:bookmarkStart w:id="305" w:name="_Toc500262562"/>
      <w:bookmarkStart w:id="306" w:name="_Toc500264144"/>
      <w:bookmarkStart w:id="307" w:name="_Toc500265679"/>
      <w:bookmarkStart w:id="308" w:name="_Toc500266039"/>
      <w:bookmarkStart w:id="309" w:name="_Toc500265770"/>
      <w:bookmarkStart w:id="310" w:name="_Toc500348174"/>
      <w:bookmarkStart w:id="311" w:name="_Toc500348267"/>
      <w:bookmarkStart w:id="312" w:name="_Toc500349180"/>
      <w:bookmarkStart w:id="313" w:name="_Toc500349699"/>
      <w:bookmarkStart w:id="314" w:name="_Toc500412324"/>
      <w:bookmarkStart w:id="315" w:name="_Toc500414595"/>
      <w:bookmarkStart w:id="316" w:name="_Toc500414877"/>
      <w:bookmarkStart w:id="317" w:name="_Toc500414967"/>
      <w:bookmarkStart w:id="318" w:name="_Toc500422652"/>
      <w:bookmarkStart w:id="319" w:name="_Toc500430557"/>
      <w:bookmarkStart w:id="320" w:name="_Toc500435686"/>
      <w:bookmarkStart w:id="321" w:name="_Toc500436428"/>
      <w:bookmarkStart w:id="322" w:name="_Toc500436519"/>
      <w:bookmarkStart w:id="323" w:name="_Toc500437367"/>
      <w:bookmarkStart w:id="324" w:name="_Toc500437597"/>
      <w:bookmarkStart w:id="325" w:name="_Toc500440964"/>
      <w:bookmarkStart w:id="326" w:name="_Toc500490211"/>
      <w:bookmarkStart w:id="327" w:name="_Toc500495013"/>
      <w:bookmarkStart w:id="328" w:name="_Toc500495237"/>
      <w:bookmarkStart w:id="329" w:name="_Toc500495937"/>
      <w:bookmarkStart w:id="330" w:name="_Toc500498734"/>
      <w:bookmarkStart w:id="331" w:name="_Toc500498825"/>
      <w:bookmarkStart w:id="332" w:name="_Toc500499913"/>
      <w:bookmarkStart w:id="333" w:name="_Toc500500004"/>
      <w:bookmarkStart w:id="334" w:name="_Toc504064434"/>
      <w:bookmarkStart w:id="335" w:name="_Toc504064818"/>
      <w:bookmarkStart w:id="336" w:name="_Toc504065733"/>
      <w:bookmarkStart w:id="337" w:name="_Toc504066369"/>
      <w:bookmarkStart w:id="338" w:name="_Toc504149876"/>
      <w:bookmarkStart w:id="339" w:name="_Toc504151590"/>
      <w:bookmarkStart w:id="340" w:name="_Toc504151938"/>
      <w:bookmarkStart w:id="341" w:name="_Toc504153970"/>
      <w:bookmarkStart w:id="342" w:name="_Toc504472278"/>
      <w:bookmarkStart w:id="343" w:name="_Toc504491513"/>
      <w:bookmarkStart w:id="344" w:name="_Toc504495216"/>
      <w:bookmarkStart w:id="345" w:name="_Toc504497146"/>
      <w:bookmarkStart w:id="346" w:name="_Toc504497242"/>
      <w:bookmarkStart w:id="347" w:name="_Toc504497440"/>
      <w:bookmarkStart w:id="348" w:name="_Toc504499829"/>
      <w:bookmarkStart w:id="349" w:name="_Toc504501845"/>
      <w:bookmarkStart w:id="350" w:name="_Toc504579136"/>
      <w:bookmarkStart w:id="351" w:name="_Toc504580293"/>
      <w:bookmarkStart w:id="352" w:name="_Toc504588051"/>
      <w:bookmarkStart w:id="353" w:name="_Toc504588983"/>
      <w:bookmarkStart w:id="354" w:name="_Toc504642063"/>
      <w:bookmarkStart w:id="355" w:name="_Toc504644158"/>
      <w:bookmarkStart w:id="356" w:name="_Toc504645742"/>
      <w:bookmarkStart w:id="357" w:name="_Toc504648518"/>
      <w:bookmarkStart w:id="358" w:name="_Toc504650492"/>
      <w:bookmarkStart w:id="359" w:name="_Toc504654525"/>
      <w:bookmarkStart w:id="360" w:name="_Toc504656054"/>
      <w:bookmarkStart w:id="361" w:name="_Toc504661198"/>
      <w:bookmarkStart w:id="362" w:name="_Toc504661453"/>
      <w:bookmarkStart w:id="363" w:name="_Toc504662527"/>
      <w:bookmarkStart w:id="364" w:name="_Toc504669654"/>
      <w:bookmarkStart w:id="365" w:name="_Toc504670656"/>
      <w:bookmarkStart w:id="366" w:name="_Toc504729962"/>
      <w:bookmarkStart w:id="367" w:name="_Toc504732927"/>
      <w:bookmarkStart w:id="368" w:name="_Toc504736034"/>
      <w:bookmarkStart w:id="369" w:name="_Toc504736385"/>
      <w:bookmarkStart w:id="370" w:name="_Toc504741173"/>
      <w:bookmarkStart w:id="371" w:name="_Toc506819319"/>
      <w:bookmarkStart w:id="372" w:name="_Toc506998758"/>
      <w:bookmarkStart w:id="373" w:name="_Toc507075850"/>
      <w:bookmarkStart w:id="374" w:name="_Toc507080594"/>
      <w:bookmarkStart w:id="375" w:name="_Toc507591880"/>
      <w:bookmarkStart w:id="376" w:name="_Toc510018320"/>
      <w:r>
        <w:rPr>
          <w:noProof/>
        </w:rPr>
        <w:t>2. Additional data</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2430DD" w:rsidRDefault="0008761B">
      <w:pPr>
        <w:rPr>
          <w:b/>
          <w:noProof/>
        </w:rPr>
      </w:pPr>
      <w:r>
        <w:rPr>
          <w:b/>
          <w:noProof/>
        </w:rPr>
        <w:t>Table 1: From the 2015 DSM consumer survey:</w:t>
      </w:r>
    </w:p>
    <w:p w:rsidR="002430DD" w:rsidRDefault="0008761B">
      <w:pPr>
        <w:rPr>
          <w:noProof/>
        </w:rPr>
      </w:pPr>
      <w:r>
        <w:rPr>
          <w:noProof/>
        </w:rPr>
        <w:t>Overall, 93% of EU28 online respondents (sample N =22,848, 2015 data) had used at least one of the concerned four online ser</w:t>
      </w:r>
      <w:r>
        <w:rPr>
          <w:noProof/>
        </w:rPr>
        <w:t xml:space="preserve">vices during the past year (2014). </w:t>
      </w:r>
    </w:p>
    <w:p w:rsidR="002430DD" w:rsidRDefault="0008761B">
      <w:pPr>
        <w:keepNext/>
        <w:rPr>
          <w:b/>
          <w:noProof/>
        </w:rPr>
      </w:pPr>
      <w:r>
        <w:rPr>
          <w:b/>
          <w:noProof/>
        </w:rPr>
        <w:t xml:space="preserve">Figure 1: Paid versus free usage of online services over the past year, by market </w:t>
      </w:r>
    </w:p>
    <w:p w:rsidR="002430DD" w:rsidRDefault="0008761B">
      <w:pPr>
        <w:rPr>
          <w:noProof/>
        </w:rPr>
      </w:pPr>
      <w:r>
        <w:rPr>
          <w:noProof/>
          <w:lang w:val="en-GB" w:eastAsia="en-GB"/>
        </w:rPr>
        <w:drawing>
          <wp:inline distT="0" distB="0" distL="0" distR="0">
            <wp:extent cx="6057900" cy="405160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8596"/>
                    <a:stretch/>
                  </pic:blipFill>
                  <pic:spPr bwMode="auto">
                    <a:xfrm>
                      <a:off x="0" y="0"/>
                      <a:ext cx="6066082" cy="4057081"/>
                    </a:xfrm>
                    <a:prstGeom prst="rect">
                      <a:avLst/>
                    </a:prstGeom>
                    <a:noFill/>
                    <a:ln>
                      <a:noFill/>
                    </a:ln>
                    <a:extLst>
                      <a:ext uri="{53640926-AAD7-44D8-BBD7-CCE9431645EC}">
                        <a14:shadowObscured xmlns:a14="http://schemas.microsoft.com/office/drawing/2010/main"/>
                      </a:ext>
                    </a:extLst>
                  </pic:spPr>
                </pic:pic>
              </a:graphicData>
            </a:graphic>
          </wp:inline>
        </w:drawing>
      </w:r>
    </w:p>
    <w:p w:rsidR="002430DD" w:rsidRDefault="0008761B">
      <w:pPr>
        <w:keepNext/>
        <w:rPr>
          <w:b/>
          <w:noProof/>
        </w:rPr>
      </w:pPr>
      <w:r>
        <w:rPr>
          <w:b/>
          <w:noProof/>
        </w:rPr>
        <w:t>Figure 2: Usage frequency of online services over the past year, by market</w:t>
      </w:r>
    </w:p>
    <w:p w:rsidR="002430DD" w:rsidRDefault="0008761B">
      <w:pPr>
        <w:rPr>
          <w:b/>
          <w:noProof/>
        </w:rPr>
      </w:pPr>
      <w:r>
        <w:rPr>
          <w:noProof/>
          <w:lang w:val="en-GB" w:eastAsia="en-GB"/>
        </w:rPr>
        <w:drawing>
          <wp:inline distT="0" distB="0" distL="0" distR="0">
            <wp:extent cx="6080760" cy="3928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7534"/>
                    <a:stretch/>
                  </pic:blipFill>
                  <pic:spPr bwMode="auto">
                    <a:xfrm>
                      <a:off x="0" y="0"/>
                      <a:ext cx="6084087" cy="3930239"/>
                    </a:xfrm>
                    <a:prstGeom prst="rect">
                      <a:avLst/>
                    </a:prstGeom>
                    <a:noFill/>
                    <a:ln>
                      <a:noFill/>
                    </a:ln>
                    <a:extLst>
                      <a:ext uri="{53640926-AAD7-44D8-BBD7-CCE9431645EC}">
                        <a14:shadowObscured xmlns:a14="http://schemas.microsoft.com/office/drawing/2010/main"/>
                      </a:ext>
                    </a:extLst>
                  </pic:spPr>
                </pic:pic>
              </a:graphicData>
            </a:graphic>
          </wp:inline>
        </w:drawing>
      </w:r>
    </w:p>
    <w:p w:rsidR="002430DD" w:rsidRDefault="002430DD">
      <w:pPr>
        <w:rPr>
          <w:b/>
          <w:noProof/>
        </w:rPr>
      </w:pPr>
    </w:p>
    <w:p w:rsidR="002430DD" w:rsidRDefault="0008761B">
      <w:pPr>
        <w:keepNext/>
        <w:rPr>
          <w:b/>
          <w:noProof/>
        </w:rPr>
      </w:pPr>
      <w:r>
        <w:rPr>
          <w:b/>
          <w:noProof/>
        </w:rPr>
        <w:t>I) Economic Study on Consumer Digital Content Products:</w:t>
      </w:r>
    </w:p>
    <w:p w:rsidR="002430DD" w:rsidRDefault="0008761B">
      <w:pPr>
        <w:rPr>
          <w:b/>
          <w:i/>
          <w:noProof/>
        </w:rPr>
      </w:pPr>
      <w:r>
        <w:rPr>
          <w:b/>
          <w:i/>
          <w:noProof/>
        </w:rPr>
        <w:t>NOTE: The data for the market analysis section are based on the DSM consumer survey</w:t>
      </w:r>
    </w:p>
    <w:p w:rsidR="002430DD" w:rsidRDefault="0008761B">
      <w:pPr>
        <w:rPr>
          <w:b/>
          <w:noProof/>
        </w:rPr>
      </w:pPr>
      <w:r>
        <w:rPr>
          <w:b/>
          <w:noProof/>
        </w:rPr>
        <w:t>A) Market analysis</w:t>
      </w:r>
    </w:p>
    <w:p w:rsidR="002430DD" w:rsidRDefault="0008761B">
      <w:pPr>
        <w:rPr>
          <w:noProof/>
        </w:rPr>
      </w:pPr>
      <w:r>
        <w:rPr>
          <w:noProof/>
        </w:rPr>
        <w:t xml:space="preserve">The market analysis of seven types of digital content and services (music, games, film and TV content, e-books/audiobooks, cloud storage, software/apps </w:t>
      </w:r>
      <w:r>
        <w:rPr>
          <w:noProof/>
        </w:rPr>
        <w:t>and streaming of sports events) showed that the vast majority of consumers who access these types of digital content and services online do not pay a price. The incidence of 'free' business models is predominant both for digital content (e.g. a download of</w:t>
      </w:r>
      <w:r>
        <w:rPr>
          <w:noProof/>
        </w:rPr>
        <w:t xml:space="preserve"> a specific music track) and digital services (e.g. a subscription for online music streaming). 90 to 92% of consumers  who access software &amp; apps or store digital content do it without paying with money; 77% of consumers who stream events do it without pa</w:t>
      </w:r>
      <w:r>
        <w:rPr>
          <w:noProof/>
        </w:rPr>
        <w:t>ying with money; and more than 50% of consumers who download music, film and television content, games and digital books do it without paying with money.</w:t>
      </w:r>
      <w:r>
        <w:rPr>
          <w:noProof/>
          <w:vertAlign w:val="superscript"/>
        </w:rPr>
        <w:footnoteReference w:id="28"/>
      </w:r>
    </w:p>
    <w:p w:rsidR="002430DD" w:rsidRDefault="0008761B">
      <w:pPr>
        <w:rPr>
          <w:noProof/>
        </w:rPr>
      </w:pPr>
      <w:r>
        <w:rPr>
          <w:noProof/>
        </w:rPr>
        <w:t>In particular:</w:t>
      </w:r>
    </w:p>
    <w:p w:rsidR="002430DD" w:rsidRDefault="0008761B">
      <w:pPr>
        <w:rPr>
          <w:noProof/>
        </w:rPr>
      </w:pPr>
      <w:r>
        <w:rPr>
          <w:noProof/>
        </w:rPr>
        <w:t>-</w:t>
      </w:r>
      <w:r>
        <w:rPr>
          <w:noProof/>
          <w:u w:val="single"/>
        </w:rPr>
        <w:t>Music (p. 68)</w:t>
      </w:r>
      <w:r>
        <w:rPr>
          <w:noProof/>
        </w:rPr>
        <w:t>: Free downloading is still the most common channel to access digital mu</w:t>
      </w:r>
      <w:r>
        <w:rPr>
          <w:noProof/>
        </w:rPr>
        <w:t>sic formats in Europe; more than half (58%) of EU consumers who accessed music online reported downloading music for free. Free streaming of music is also widespread; 44% of EU consumers who accessed music online reported free streaming of music. The study</w:t>
      </w:r>
      <w:r>
        <w:rPr>
          <w:noProof/>
        </w:rPr>
        <w:t xml:space="preserve"> estimates that only between 13% and 25% of European consumers accessing music online pay for music in digital format.   </w:t>
      </w:r>
    </w:p>
    <w:p w:rsidR="002430DD" w:rsidRDefault="0008761B">
      <w:pPr>
        <w:rPr>
          <w:noProof/>
        </w:rPr>
      </w:pPr>
      <w:r>
        <w:rPr>
          <w:noProof/>
        </w:rPr>
        <w:t>-</w:t>
      </w:r>
      <w:r>
        <w:rPr>
          <w:noProof/>
          <w:u w:val="single"/>
        </w:rPr>
        <w:t>Film and TV content</w:t>
      </w:r>
      <w:r>
        <w:rPr>
          <w:noProof/>
        </w:rPr>
        <w:t>: (p. 85) Free streaming and free downloading are the most common channels to access digital film and television c</w:t>
      </w:r>
      <w:r>
        <w:rPr>
          <w:noProof/>
        </w:rPr>
        <w:t>ontent  formats in Europe; 53 and 49% respectively of European consumers who accessed films and TV series online reported downloading or streaming films and TV series for free. Only 14%of European consumers who accessed film and television content online p</w:t>
      </w:r>
      <w:r>
        <w:rPr>
          <w:noProof/>
        </w:rPr>
        <w:t xml:space="preserve">ay for downloading videos and 18%pay for streaming videos. </w:t>
      </w:r>
    </w:p>
    <w:p w:rsidR="002430DD" w:rsidRDefault="0008761B">
      <w:pPr>
        <w:rPr>
          <w:noProof/>
        </w:rPr>
      </w:pPr>
      <w:r>
        <w:rPr>
          <w:noProof/>
        </w:rPr>
        <w:t>-</w:t>
      </w:r>
      <w:r>
        <w:rPr>
          <w:noProof/>
          <w:u w:val="single"/>
        </w:rPr>
        <w:t>Games</w:t>
      </w:r>
      <w:r>
        <w:rPr>
          <w:noProof/>
        </w:rPr>
        <w:t>: (p. 99) Free download of games is the preferred mode of access in Europe among users of digital games. 66% of EU consumers who accessed games online downloaded games for free and 32% repor</w:t>
      </w:r>
      <w:r>
        <w:rPr>
          <w:noProof/>
        </w:rPr>
        <w:t xml:space="preserve">ted streaming games for free. Only 21% reported paying for downloading and 11% paying for streaming a game online. </w:t>
      </w:r>
    </w:p>
    <w:p w:rsidR="002430DD" w:rsidRDefault="0008761B">
      <w:pPr>
        <w:rPr>
          <w:noProof/>
        </w:rPr>
      </w:pPr>
      <w:r>
        <w:rPr>
          <w:noProof/>
        </w:rPr>
        <w:t>-</w:t>
      </w:r>
      <w:r>
        <w:rPr>
          <w:noProof/>
          <w:u w:val="single"/>
        </w:rPr>
        <w:t>E-books and audiobooks</w:t>
      </w:r>
      <w:r>
        <w:rPr>
          <w:noProof/>
        </w:rPr>
        <w:t xml:space="preserve"> (p. 107):</w:t>
      </w:r>
    </w:p>
    <w:p w:rsidR="002430DD" w:rsidRDefault="0008761B">
      <w:pPr>
        <w:rPr>
          <w:noProof/>
        </w:rPr>
      </w:pPr>
      <w:r>
        <w:rPr>
          <w:noProof/>
        </w:rPr>
        <w:t>65% of EU consumers that accessed e-books online downloaded them for free;</w:t>
      </w:r>
    </w:p>
    <w:p w:rsidR="002430DD" w:rsidRDefault="0008761B">
      <w:pPr>
        <w:rPr>
          <w:noProof/>
        </w:rPr>
      </w:pPr>
      <w:r>
        <w:rPr>
          <w:noProof/>
        </w:rPr>
        <w:t>26% of EU consumers that access</w:t>
      </w:r>
      <w:r>
        <w:rPr>
          <w:noProof/>
        </w:rPr>
        <w:t>ed e-books online streamed them for free;</w:t>
      </w:r>
    </w:p>
    <w:p w:rsidR="002430DD" w:rsidRDefault="0008761B">
      <w:pPr>
        <w:rPr>
          <w:noProof/>
        </w:rPr>
      </w:pPr>
      <w:r>
        <w:rPr>
          <w:noProof/>
        </w:rPr>
        <w:t>Only 28% of EU consumers that accessed e-books online paid to download them, and 12%paid to stream them.</w:t>
      </w:r>
    </w:p>
    <w:p w:rsidR="002430DD" w:rsidRDefault="0008761B">
      <w:pPr>
        <w:rPr>
          <w:noProof/>
        </w:rPr>
      </w:pPr>
      <w:r>
        <w:rPr>
          <w:noProof/>
        </w:rPr>
        <w:t>-</w:t>
      </w:r>
      <w:r>
        <w:rPr>
          <w:noProof/>
          <w:u w:val="single"/>
        </w:rPr>
        <w:t>Software-apps</w:t>
      </w:r>
      <w:r>
        <w:rPr>
          <w:noProof/>
        </w:rPr>
        <w:t>: (p.123):</w:t>
      </w:r>
    </w:p>
    <w:p w:rsidR="002430DD" w:rsidRDefault="0008761B">
      <w:pPr>
        <w:rPr>
          <w:noProof/>
        </w:rPr>
      </w:pPr>
      <w:r>
        <w:rPr>
          <w:noProof/>
        </w:rPr>
        <w:t>Free downloading is still the most common channel to access software and apps in Eur</w:t>
      </w:r>
      <w:r>
        <w:rPr>
          <w:noProof/>
        </w:rPr>
        <w:t xml:space="preserve">ope. Between 90 and 91% of EU consumers that bought or accessed software and apps online reported downloading software and apps for free, while only between 21 and 23% of them pay for software and apps in digital format.  </w:t>
      </w:r>
    </w:p>
    <w:p w:rsidR="002430DD" w:rsidRDefault="0008761B">
      <w:pPr>
        <w:rPr>
          <w:noProof/>
        </w:rPr>
      </w:pPr>
      <w:r>
        <w:rPr>
          <w:noProof/>
        </w:rPr>
        <w:t>P.130: Concerning antivirus softw</w:t>
      </w:r>
      <w:r>
        <w:rPr>
          <w:noProof/>
        </w:rPr>
        <w:t>are, a survey found that in Western Europe, 26% of users pay for antivirus programs (the 74% others choose a free solution)</w:t>
      </w:r>
      <w:r>
        <w:rPr>
          <w:noProof/>
          <w:vertAlign w:val="superscript"/>
        </w:rPr>
        <w:footnoteReference w:id="29"/>
      </w:r>
      <w:r>
        <w:rPr>
          <w:noProof/>
        </w:rPr>
        <w:t xml:space="preserve"> which is in line with the estimated figures for software and apps market based on the DSM consumer survey.  Users tend to think tha</w:t>
      </w:r>
      <w:r>
        <w:rPr>
          <w:noProof/>
        </w:rPr>
        <w:t xml:space="preserve">t free solutions provide sufficient security. </w:t>
      </w:r>
    </w:p>
    <w:p w:rsidR="002430DD" w:rsidRDefault="0008761B">
      <w:pPr>
        <w:rPr>
          <w:noProof/>
        </w:rPr>
      </w:pPr>
      <w:r>
        <w:rPr>
          <w:noProof/>
        </w:rPr>
        <w:t xml:space="preserve">- </w:t>
      </w:r>
      <w:r>
        <w:rPr>
          <w:noProof/>
          <w:u w:val="single"/>
        </w:rPr>
        <w:t>Storage</w:t>
      </w:r>
      <w:r>
        <w:rPr>
          <w:noProof/>
        </w:rPr>
        <w:t>: (p.133)</w:t>
      </w:r>
    </w:p>
    <w:p w:rsidR="002430DD" w:rsidRDefault="0008761B">
      <w:pPr>
        <w:rPr>
          <w:noProof/>
        </w:rPr>
      </w:pPr>
      <w:r>
        <w:rPr>
          <w:noProof/>
        </w:rPr>
        <w:t>92% of European internet users who use storage services access these services for free</w:t>
      </w:r>
    </w:p>
    <w:p w:rsidR="002430DD" w:rsidRDefault="0008761B">
      <w:pPr>
        <w:rPr>
          <w:noProof/>
        </w:rPr>
      </w:pPr>
      <w:r>
        <w:rPr>
          <w:noProof/>
        </w:rPr>
        <w:t xml:space="preserve">Overall, the storage of digital content has been experiencing high growth in recent years, but most of </w:t>
      </w:r>
      <w:r>
        <w:rPr>
          <w:noProof/>
        </w:rPr>
        <w:t xml:space="preserve">the consumers access these services for free. As such, in terms of sales, online web services that provide server space for individuals to store data, photos, videos and other files, generate little revenues directly from consumers. </w:t>
      </w:r>
    </w:p>
    <w:p w:rsidR="002430DD" w:rsidRDefault="0008761B">
      <w:pPr>
        <w:rPr>
          <w:noProof/>
        </w:rPr>
      </w:pPr>
      <w:r>
        <w:rPr>
          <w:noProof/>
        </w:rPr>
        <w:t>p.136: Based on the DS</w:t>
      </w:r>
      <w:r>
        <w:rPr>
          <w:noProof/>
        </w:rPr>
        <w:t>M consumer survey, 92% of EU consumers who access storage of digital content online do so for free. Only 12 % of those who accessed digital content storage online reported paying for this service. This trend is confirmed by Eurostat's annual model question</w:t>
      </w:r>
      <w:r>
        <w:rPr>
          <w:noProof/>
        </w:rPr>
        <w:t>naires on ICT (Information and Communication Technologies) reporting that only one in ten cloud users paid for internet storage space to save or share their files.</w:t>
      </w:r>
    </w:p>
    <w:p w:rsidR="002430DD" w:rsidRDefault="0008761B">
      <w:pPr>
        <w:rPr>
          <w:noProof/>
        </w:rPr>
      </w:pPr>
      <w:r>
        <w:rPr>
          <w:noProof/>
        </w:rPr>
        <w:t xml:space="preserve">- </w:t>
      </w:r>
      <w:r>
        <w:rPr>
          <w:noProof/>
          <w:u w:val="single"/>
        </w:rPr>
        <w:t>Sport events</w:t>
      </w:r>
      <w:r>
        <w:rPr>
          <w:noProof/>
        </w:rPr>
        <w:t>: (p.141)</w:t>
      </w:r>
    </w:p>
    <w:p w:rsidR="002430DD" w:rsidRDefault="0008761B">
      <w:pPr>
        <w:rPr>
          <w:noProof/>
        </w:rPr>
      </w:pPr>
      <w:r>
        <w:rPr>
          <w:noProof/>
        </w:rPr>
        <w:t xml:space="preserve"> 77% of EU consumers who stream sports events do so without paying w</w:t>
      </w:r>
      <w:r>
        <w:rPr>
          <w:noProof/>
        </w:rPr>
        <w:t xml:space="preserve">ith money. </w:t>
      </w:r>
    </w:p>
    <w:p w:rsidR="002430DD" w:rsidRDefault="0008761B">
      <w:pPr>
        <w:rPr>
          <w:b/>
          <w:noProof/>
        </w:rPr>
      </w:pPr>
      <w:r>
        <w:rPr>
          <w:b/>
          <w:noProof/>
        </w:rPr>
        <w:t xml:space="preserve">B) Consumer Survey </w:t>
      </w:r>
    </w:p>
    <w:p w:rsidR="002430DD" w:rsidRDefault="0008761B">
      <w:pPr>
        <w:rPr>
          <w:b/>
          <w:noProof/>
        </w:rPr>
      </w:pPr>
      <w:r>
        <w:rPr>
          <w:noProof/>
        </w:rPr>
        <w:t>A consumer survey was conducted by Ipsos MediaCT in 15 sample countries. 1 000 consumers in each of the 15 Member States were asked about the type of problems they encountered when purchasing or otherwise accessing digital c</w:t>
      </w:r>
      <w:r>
        <w:rPr>
          <w:noProof/>
        </w:rPr>
        <w:t xml:space="preserve">ontent. </w:t>
      </w:r>
    </w:p>
    <w:p w:rsidR="002430DD" w:rsidRDefault="0008761B">
      <w:pPr>
        <w:rPr>
          <w:noProof/>
        </w:rPr>
      </w:pPr>
      <w:r>
        <w:rPr>
          <w:noProof/>
        </w:rPr>
        <w:t>Problems with free digital content/services:</w:t>
      </w:r>
    </w:p>
    <w:p w:rsidR="002430DD" w:rsidRDefault="0008761B">
      <w:pPr>
        <w:rPr>
          <w:noProof/>
        </w:rPr>
      </w:pPr>
      <w:r>
        <w:rPr>
          <w:noProof/>
        </w:rPr>
        <w:t>On average across all content types, almost 1 in 3 online users of digital content have experienced at least one problem with the digital content or service they used during the 12-month period precedin</w:t>
      </w:r>
      <w:r>
        <w:rPr>
          <w:noProof/>
        </w:rPr>
        <w:t xml:space="preserve">g the survey. It is estimated that </w:t>
      </w:r>
      <w:r>
        <w:rPr>
          <w:noProof/>
          <w:u w:val="single"/>
        </w:rPr>
        <w:t>at least</w:t>
      </w:r>
      <w:r>
        <w:rPr>
          <w:noProof/>
        </w:rPr>
        <w:t xml:space="preserve"> 70 million consumers</w:t>
      </w:r>
      <w:r>
        <w:rPr>
          <w:noProof/>
          <w:vertAlign w:val="superscript"/>
        </w:rPr>
        <w:footnoteReference w:id="30"/>
      </w:r>
      <w:r>
        <w:rPr>
          <w:noProof/>
        </w:rPr>
        <w:t xml:space="preserve"> across the EU have experienced one or the other problem with just the four types of digital content covered by the study.</w:t>
      </w:r>
    </w:p>
    <w:p w:rsidR="002430DD" w:rsidRDefault="0008761B">
      <w:pPr>
        <w:rPr>
          <w:noProof/>
        </w:rPr>
      </w:pPr>
      <w:r>
        <w:rPr>
          <w:noProof/>
        </w:rPr>
        <w:t>Although the incidence of reported problems was higher among consume</w:t>
      </w:r>
      <w:r>
        <w:rPr>
          <w:noProof/>
        </w:rPr>
        <w:t>rs who paid for digital content or services, the percentage of consumers reporting problems with "free" digital content or services was also very significant. In particular 49% of consumers who accessed digital content/services reported facing a problem wi</w:t>
      </w:r>
      <w:r>
        <w:rPr>
          <w:noProof/>
        </w:rPr>
        <w:t>th digital content/ services they paid for. At the same time 36% of consumers who accessed digital content/services reported facing a problem with digital content/ services which they accessed without paying a price.</w:t>
      </w:r>
      <w:r>
        <w:rPr>
          <w:noProof/>
          <w:vertAlign w:val="superscript"/>
        </w:rPr>
        <w:footnoteReference w:id="31"/>
      </w:r>
    </w:p>
    <w:p w:rsidR="002430DD" w:rsidRDefault="0008761B">
      <w:pPr>
        <w:rPr>
          <w:noProof/>
        </w:rPr>
      </w:pPr>
      <w:r>
        <w:rPr>
          <w:noProof/>
        </w:rPr>
        <w:t>The problems consumers faced with 'fre</w:t>
      </w:r>
      <w:r>
        <w:rPr>
          <w:noProof/>
        </w:rPr>
        <w:t xml:space="preserve">e' digital content or services related to three areas: quality, access and terms and conditions. </w:t>
      </w:r>
    </w:p>
    <w:p w:rsidR="002430DD" w:rsidRDefault="0008761B">
      <w:pPr>
        <w:rPr>
          <w:noProof/>
        </w:rPr>
      </w:pPr>
      <w:r>
        <w:rPr>
          <w:noProof/>
          <w:u w:val="single"/>
        </w:rPr>
        <w:t>Quality-related problems</w:t>
      </w:r>
      <w:r>
        <w:rPr>
          <w:noProof/>
        </w:rPr>
        <w:t xml:space="preserve"> included issues such as: </w:t>
      </w:r>
    </w:p>
    <w:p w:rsidR="002430DD" w:rsidRDefault="0008761B">
      <w:pPr>
        <w:numPr>
          <w:ilvl w:val="0"/>
          <w:numId w:val="12"/>
        </w:numPr>
        <w:rPr>
          <w:noProof/>
        </w:rPr>
      </w:pPr>
      <w:r>
        <w:rPr>
          <w:noProof/>
        </w:rPr>
        <w:t>damage to computers, mobile phones or other devices caused by the digital content;</w:t>
      </w:r>
    </w:p>
    <w:p w:rsidR="002430DD" w:rsidRDefault="0008761B">
      <w:pPr>
        <w:numPr>
          <w:ilvl w:val="0"/>
          <w:numId w:val="12"/>
        </w:numPr>
        <w:rPr>
          <w:noProof/>
        </w:rPr>
      </w:pPr>
      <w:r>
        <w:rPr>
          <w:noProof/>
        </w:rPr>
        <w:t>digital content not work</w:t>
      </w:r>
      <w:r>
        <w:rPr>
          <w:noProof/>
        </w:rPr>
        <w:t xml:space="preserve">ing properly and/or of poor quality compared to what was promised by the supplier; </w:t>
      </w:r>
    </w:p>
    <w:p w:rsidR="002430DD" w:rsidRDefault="0008761B">
      <w:pPr>
        <w:numPr>
          <w:ilvl w:val="0"/>
          <w:numId w:val="12"/>
        </w:numPr>
        <w:rPr>
          <w:noProof/>
        </w:rPr>
      </w:pPr>
      <w:r>
        <w:rPr>
          <w:noProof/>
        </w:rPr>
        <w:t xml:space="preserve">the digital content being incompatible with hardware/software, when information suggested it would be compatible; </w:t>
      </w:r>
    </w:p>
    <w:p w:rsidR="002430DD" w:rsidRDefault="0008761B">
      <w:pPr>
        <w:numPr>
          <w:ilvl w:val="0"/>
          <w:numId w:val="12"/>
        </w:numPr>
        <w:rPr>
          <w:noProof/>
        </w:rPr>
      </w:pPr>
      <w:r>
        <w:rPr>
          <w:noProof/>
        </w:rPr>
        <w:t xml:space="preserve">poor levels of quality compared to what one would </w:t>
      </w:r>
      <w:r>
        <w:rPr>
          <w:noProof/>
        </w:rPr>
        <w:t>normally expect from similar digital content;</w:t>
      </w:r>
    </w:p>
    <w:p w:rsidR="002430DD" w:rsidRDefault="0008761B">
      <w:pPr>
        <w:numPr>
          <w:ilvl w:val="0"/>
          <w:numId w:val="12"/>
        </w:numPr>
        <w:rPr>
          <w:noProof/>
        </w:rPr>
      </w:pPr>
      <w:r>
        <w:rPr>
          <w:noProof/>
        </w:rPr>
        <w:t>not receiving updates for the content as promised by the supplier; and</w:t>
      </w:r>
    </w:p>
    <w:p w:rsidR="002430DD" w:rsidRDefault="0008761B">
      <w:pPr>
        <w:numPr>
          <w:ilvl w:val="0"/>
          <w:numId w:val="12"/>
        </w:numPr>
        <w:rPr>
          <w:noProof/>
        </w:rPr>
      </w:pPr>
      <w:r>
        <w:rPr>
          <w:noProof/>
        </w:rPr>
        <w:t xml:space="preserve">receiving different/older versions of the content, rather than the one promised by the supplier. </w:t>
      </w:r>
    </w:p>
    <w:p w:rsidR="002430DD" w:rsidRDefault="0008761B">
      <w:pPr>
        <w:rPr>
          <w:noProof/>
        </w:rPr>
      </w:pPr>
      <w:r>
        <w:rPr>
          <w:noProof/>
        </w:rPr>
        <w:t>The incidence of quality-related problems</w:t>
      </w:r>
      <w:r>
        <w:rPr>
          <w:noProof/>
        </w:rPr>
        <w:t xml:space="preserve"> with 'free" digital content or services was significant: 20% of consumers who accessed music online had "quality related problems" with music they accessed without paying (p. 224), 22% of consumers who accessed games online had "quality related problems" </w:t>
      </w:r>
      <w:r>
        <w:rPr>
          <w:noProof/>
        </w:rPr>
        <w:t>with games they accessed without paying (p. 225), 18% of consumers who accessed antivirus software online had "quality related problems" with free antivirus (p. 225) and 16% of consumers who accessed cloud storage had "quality related problems" with free c</w:t>
      </w:r>
      <w:r>
        <w:rPr>
          <w:noProof/>
        </w:rPr>
        <w:t>loud storage (p. 226)</w:t>
      </w:r>
    </w:p>
    <w:p w:rsidR="002430DD" w:rsidRDefault="0008761B">
      <w:pPr>
        <w:rPr>
          <w:noProof/>
        </w:rPr>
      </w:pPr>
      <w:r>
        <w:rPr>
          <w:noProof/>
          <w:u w:val="single"/>
        </w:rPr>
        <w:t>Access-related problems</w:t>
      </w:r>
      <w:r>
        <w:rPr>
          <w:noProof/>
        </w:rPr>
        <w:t xml:space="preserve"> included issues such as:</w:t>
      </w:r>
    </w:p>
    <w:p w:rsidR="002430DD" w:rsidRDefault="0008761B">
      <w:pPr>
        <w:numPr>
          <w:ilvl w:val="0"/>
          <w:numId w:val="8"/>
        </w:numPr>
        <w:rPr>
          <w:noProof/>
        </w:rPr>
      </w:pPr>
      <w:r>
        <w:rPr>
          <w:noProof/>
        </w:rPr>
        <w:t>difficulties downloading or accessing the digital content because of unclear or incomplete instructions;</w:t>
      </w:r>
    </w:p>
    <w:p w:rsidR="002430DD" w:rsidRDefault="0008761B">
      <w:pPr>
        <w:numPr>
          <w:ilvl w:val="0"/>
          <w:numId w:val="8"/>
        </w:numPr>
        <w:rPr>
          <w:noProof/>
        </w:rPr>
      </w:pPr>
      <w:r>
        <w:rPr>
          <w:noProof/>
        </w:rPr>
        <w:t>unexpected interruptions (e.g. crashes, unannounced maintenance) which prevented</w:t>
      </w:r>
      <w:r>
        <w:rPr>
          <w:noProof/>
        </w:rPr>
        <w:t xml:space="preserve"> full use / access;</w:t>
      </w:r>
    </w:p>
    <w:p w:rsidR="002430DD" w:rsidRDefault="0008761B">
      <w:pPr>
        <w:numPr>
          <w:ilvl w:val="0"/>
          <w:numId w:val="8"/>
        </w:numPr>
        <w:rPr>
          <w:noProof/>
        </w:rPr>
      </w:pPr>
      <w:r>
        <w:rPr>
          <w:noProof/>
        </w:rPr>
        <w:t>inability to access the content or digital service in one or more countries where the supplier had promised that access would be available;</w:t>
      </w:r>
    </w:p>
    <w:p w:rsidR="002430DD" w:rsidRDefault="0008761B">
      <w:pPr>
        <w:numPr>
          <w:ilvl w:val="0"/>
          <w:numId w:val="8"/>
        </w:numPr>
        <w:rPr>
          <w:noProof/>
        </w:rPr>
      </w:pPr>
      <w:r>
        <w:rPr>
          <w:noProof/>
        </w:rPr>
        <w:t>not being able to access or retrieve data (e.g. photos) after ending contracts;</w:t>
      </w:r>
    </w:p>
    <w:p w:rsidR="002430DD" w:rsidRDefault="0008761B">
      <w:pPr>
        <w:numPr>
          <w:ilvl w:val="0"/>
          <w:numId w:val="8"/>
        </w:numPr>
        <w:rPr>
          <w:noProof/>
        </w:rPr>
      </w:pPr>
      <w:r>
        <w:rPr>
          <w:noProof/>
        </w:rPr>
        <w:t>more limited acc</w:t>
      </w:r>
      <w:r>
        <w:rPr>
          <w:noProof/>
        </w:rPr>
        <w:t>ess to a service or content than had been expected given the information received from the supplier; and</w:t>
      </w:r>
    </w:p>
    <w:p w:rsidR="002430DD" w:rsidRDefault="0008761B">
      <w:pPr>
        <w:numPr>
          <w:ilvl w:val="0"/>
          <w:numId w:val="8"/>
        </w:numPr>
        <w:rPr>
          <w:noProof/>
        </w:rPr>
      </w:pPr>
      <w:r>
        <w:rPr>
          <w:noProof/>
        </w:rPr>
        <w:t>not being able to download or access the digital content because of poor internet connections.</w:t>
      </w:r>
    </w:p>
    <w:p w:rsidR="002430DD" w:rsidRDefault="0008761B">
      <w:pPr>
        <w:rPr>
          <w:noProof/>
        </w:rPr>
      </w:pPr>
      <w:r>
        <w:rPr>
          <w:noProof/>
        </w:rPr>
        <w:t>The incidence of quality-related problems with 'free" di</w:t>
      </w:r>
      <w:r>
        <w:rPr>
          <w:noProof/>
        </w:rPr>
        <w:t>gital content or services was significant: 25% of consumers who accessed music online had "access-related problems" with free music (p. 231), 27% of consumers who accessed games online had "quality related problems" with free games (p. 232), 19% of consume</w:t>
      </w:r>
      <w:r>
        <w:rPr>
          <w:noProof/>
        </w:rPr>
        <w:t xml:space="preserve">rs who accessed antivirus online had "quality related problems" with free antivirus and 18% of consumers who accessed cloud storage online had "quality related problems" with free cloud storage. </w:t>
      </w:r>
    </w:p>
    <w:p w:rsidR="002430DD" w:rsidRDefault="0008761B">
      <w:pPr>
        <w:rPr>
          <w:noProof/>
        </w:rPr>
      </w:pPr>
      <w:r>
        <w:rPr>
          <w:noProof/>
          <w:u w:val="single"/>
        </w:rPr>
        <w:t>Problems related to terms &amp; conditions</w:t>
      </w:r>
      <w:r>
        <w:rPr>
          <w:noProof/>
        </w:rPr>
        <w:t xml:space="preserve"> of digital content pr</w:t>
      </w:r>
      <w:r>
        <w:rPr>
          <w:noProof/>
        </w:rPr>
        <w:t>oducts and services include issues such as:</w:t>
      </w:r>
    </w:p>
    <w:p w:rsidR="002430DD" w:rsidRDefault="0008761B">
      <w:pPr>
        <w:numPr>
          <w:ilvl w:val="0"/>
          <w:numId w:val="8"/>
        </w:numPr>
        <w:rPr>
          <w:noProof/>
        </w:rPr>
      </w:pPr>
      <w:r>
        <w:rPr>
          <w:noProof/>
        </w:rPr>
        <w:t>terms and conditions being too long and not being read;</w:t>
      </w:r>
    </w:p>
    <w:p w:rsidR="002430DD" w:rsidRDefault="0008761B">
      <w:pPr>
        <w:numPr>
          <w:ilvl w:val="0"/>
          <w:numId w:val="8"/>
        </w:numPr>
        <w:rPr>
          <w:noProof/>
        </w:rPr>
      </w:pPr>
      <w:r>
        <w:rPr>
          <w:noProof/>
        </w:rPr>
        <w:t>consumers not understanding their rights because the terms and conditions were unclear;</w:t>
      </w:r>
    </w:p>
    <w:p w:rsidR="002430DD" w:rsidRDefault="0008761B">
      <w:pPr>
        <w:numPr>
          <w:ilvl w:val="0"/>
          <w:numId w:val="8"/>
        </w:numPr>
        <w:rPr>
          <w:noProof/>
        </w:rPr>
      </w:pPr>
      <w:r>
        <w:rPr>
          <w:noProof/>
        </w:rPr>
        <w:t xml:space="preserve">terms and conditions excluding the supplier from most or all of any </w:t>
      </w:r>
      <w:r>
        <w:rPr>
          <w:noProof/>
        </w:rPr>
        <w:t>responsibility for problems arising with the digital service or content;</w:t>
      </w:r>
    </w:p>
    <w:p w:rsidR="002430DD" w:rsidRDefault="0008761B">
      <w:pPr>
        <w:numPr>
          <w:ilvl w:val="0"/>
          <w:numId w:val="8"/>
        </w:numPr>
        <w:rPr>
          <w:noProof/>
        </w:rPr>
      </w:pPr>
      <w:r>
        <w:rPr>
          <w:noProof/>
        </w:rPr>
        <w:t>terms and conditions giving the provider the right to remove or amend services or content without providing notice;</w:t>
      </w:r>
    </w:p>
    <w:p w:rsidR="002430DD" w:rsidRDefault="0008761B">
      <w:pPr>
        <w:numPr>
          <w:ilvl w:val="0"/>
          <w:numId w:val="8"/>
        </w:numPr>
        <w:rPr>
          <w:noProof/>
        </w:rPr>
      </w:pPr>
      <w:r>
        <w:rPr>
          <w:noProof/>
        </w:rPr>
        <w:t>terms and conditions entitling the supplier to close accounts witho</w:t>
      </w:r>
      <w:r>
        <w:rPr>
          <w:noProof/>
        </w:rPr>
        <w:t>ut giving consumers the opportunity to retrieve their data; and</w:t>
      </w:r>
    </w:p>
    <w:p w:rsidR="002430DD" w:rsidRDefault="0008761B">
      <w:pPr>
        <w:numPr>
          <w:ilvl w:val="0"/>
          <w:numId w:val="8"/>
        </w:numPr>
        <w:rPr>
          <w:noProof/>
        </w:rPr>
      </w:pPr>
      <w:r>
        <w:rPr>
          <w:noProof/>
        </w:rPr>
        <w:t>long term subscriptions that bind consumers to digital content or services (of more than one year) and cannot be terminated before the expiration of the term.</w:t>
      </w:r>
    </w:p>
    <w:p w:rsidR="002430DD" w:rsidRDefault="0008761B">
      <w:pPr>
        <w:rPr>
          <w:noProof/>
        </w:rPr>
      </w:pPr>
      <w:r>
        <w:rPr>
          <w:noProof/>
        </w:rPr>
        <w:t>The incidence of T&amp;C-related prob</w:t>
      </w:r>
      <w:r>
        <w:rPr>
          <w:noProof/>
        </w:rPr>
        <w:t>lems with 'free" digital content or services was even higher than the other categories: 24% of consumers who accessed music online had "T&amp;C related problems" with free music (p. 238), 27% of consumers who accessed games online had "T&amp;C related problems" wi</w:t>
      </w:r>
      <w:r>
        <w:rPr>
          <w:noProof/>
        </w:rPr>
        <w:t>th free games, 24% of consumers who accessed antivirus online had "T&amp;C related problems" with free antivirus and 25% of consumers who accessed cloud storage online had "T&amp;C related problems" with free cloud storage.</w:t>
      </w:r>
    </w:p>
    <w:p w:rsidR="002430DD" w:rsidRDefault="0008761B">
      <w:pPr>
        <w:rPr>
          <w:noProof/>
        </w:rPr>
      </w:pPr>
      <w:r>
        <w:rPr>
          <w:noProof/>
          <w:u w:val="single"/>
        </w:rPr>
        <w:t xml:space="preserve">Costs Resulting From Problems With Free </w:t>
      </w:r>
      <w:r>
        <w:rPr>
          <w:noProof/>
          <w:u w:val="single"/>
        </w:rPr>
        <w:t>Digital Content/Services:</w:t>
      </w:r>
      <w:r>
        <w:rPr>
          <w:noProof/>
        </w:rPr>
        <w:t xml:space="preserve"> (p.310 -321)</w:t>
      </w:r>
    </w:p>
    <w:p w:rsidR="002430DD" w:rsidRDefault="0008761B">
      <w:pPr>
        <w:rPr>
          <w:noProof/>
        </w:rPr>
      </w:pPr>
      <w:r>
        <w:rPr>
          <w:noProof/>
        </w:rPr>
        <w:t>Although consumers had accessed digital content or services without paying money, they reported costs as a result of the problems they encountered. In particular, the net cost incurred by consumers averaged EUR 5.79 p</w:t>
      </w:r>
      <w:r>
        <w:rPr>
          <w:noProof/>
        </w:rPr>
        <w:t>er consumer for ‘free’ music, EUR 6.42 for "free" games, EUR 8.80 for "free" antivirus and EUR 5.59 for "free" cloud storage. Although these costs were significantly lower than the ones reported as a result of problems with paid digital content/services (E</w:t>
      </w:r>
      <w:r>
        <w:rPr>
          <w:noProof/>
        </w:rPr>
        <w:t>UR 12.19, EUR 14.28, EUR 20.49 and EUR 32.99 respectively) it is important to note that consumers incur costs as a result of a problem also when no money was paid in exchange for the digital content or service. The costs reported by consumers included, amo</w:t>
      </w:r>
      <w:r>
        <w:rPr>
          <w:noProof/>
        </w:rPr>
        <w:t>ng others:</w:t>
      </w:r>
    </w:p>
    <w:p w:rsidR="002430DD" w:rsidRDefault="0008761B">
      <w:pPr>
        <w:numPr>
          <w:ilvl w:val="0"/>
          <w:numId w:val="9"/>
        </w:numPr>
        <w:rPr>
          <w:noProof/>
        </w:rPr>
      </w:pPr>
      <w:r>
        <w:rPr>
          <w:noProof/>
        </w:rPr>
        <w:t>Cost of telephone calls, postage or stationery</w:t>
      </w:r>
    </w:p>
    <w:p w:rsidR="002430DD" w:rsidRDefault="0008761B">
      <w:pPr>
        <w:numPr>
          <w:ilvl w:val="0"/>
          <w:numId w:val="9"/>
        </w:numPr>
        <w:rPr>
          <w:noProof/>
        </w:rPr>
      </w:pPr>
      <w:r>
        <w:rPr>
          <w:noProof/>
        </w:rPr>
        <w:t>Travel costs</w:t>
      </w:r>
    </w:p>
    <w:p w:rsidR="002430DD" w:rsidRDefault="0008761B">
      <w:pPr>
        <w:numPr>
          <w:ilvl w:val="0"/>
          <w:numId w:val="9"/>
        </w:numPr>
        <w:rPr>
          <w:noProof/>
        </w:rPr>
      </w:pPr>
      <w:r>
        <w:rPr>
          <w:noProof/>
        </w:rPr>
        <w:t>Costs of any legal matters or for legal advice</w:t>
      </w:r>
    </w:p>
    <w:p w:rsidR="002430DD" w:rsidRDefault="0008761B">
      <w:pPr>
        <w:numPr>
          <w:ilvl w:val="0"/>
          <w:numId w:val="9"/>
        </w:numPr>
        <w:rPr>
          <w:noProof/>
        </w:rPr>
      </w:pPr>
      <w:r>
        <w:rPr>
          <w:noProof/>
        </w:rPr>
        <w:t>Costs of getting any other type of expert advice or assistance</w:t>
      </w:r>
    </w:p>
    <w:p w:rsidR="002430DD" w:rsidRDefault="0008761B">
      <w:pPr>
        <w:numPr>
          <w:ilvl w:val="0"/>
          <w:numId w:val="9"/>
        </w:numPr>
        <w:rPr>
          <w:noProof/>
        </w:rPr>
      </w:pPr>
      <w:r>
        <w:rPr>
          <w:noProof/>
        </w:rPr>
        <w:t>Costs of any knock-on / consequential damage or inconvenience caused to you</w:t>
      </w:r>
      <w:r>
        <w:rPr>
          <w:noProof/>
        </w:rPr>
        <w:t xml:space="preserve"> or any of your possessions as a result of the problem</w:t>
      </w:r>
    </w:p>
    <w:p w:rsidR="002430DD" w:rsidRDefault="0008761B">
      <w:pPr>
        <w:numPr>
          <w:ilvl w:val="0"/>
          <w:numId w:val="9"/>
        </w:numPr>
        <w:rPr>
          <w:noProof/>
        </w:rPr>
      </w:pPr>
      <w:r>
        <w:rPr>
          <w:noProof/>
        </w:rPr>
        <w:t>Cost of lost earnings by not being able to work while taking time to resolve the problem</w:t>
      </w:r>
    </w:p>
    <w:p w:rsidR="002430DD" w:rsidRDefault="002430DD">
      <w:pPr>
        <w:rPr>
          <w:noProof/>
        </w:rPr>
      </w:pPr>
    </w:p>
    <w:p w:rsidR="002430DD" w:rsidRDefault="0008761B">
      <w:pPr>
        <w:rPr>
          <w:b/>
          <w:noProof/>
        </w:rPr>
      </w:pPr>
      <w:r>
        <w:rPr>
          <w:b/>
          <w:noProof/>
        </w:rPr>
        <w:t>II) Flash Eurobarometer 411 “Cross-border access to online content” (2015)</w:t>
      </w:r>
    </w:p>
    <w:p w:rsidR="002430DD" w:rsidRDefault="0008761B">
      <w:pPr>
        <w:rPr>
          <w:noProof/>
        </w:rPr>
      </w:pPr>
      <w:r>
        <w:rPr>
          <w:noProof/>
        </w:rPr>
        <w:t xml:space="preserve">This survey was carried out by TNS </w:t>
      </w:r>
      <w:r>
        <w:rPr>
          <w:noProof/>
        </w:rPr>
        <w:t>Political &amp; Social network in the 28 Member States of the European Union between 7 and 15 January 2015. Some 26,586 respondents from different social and demographic groups were interviewed via telephone</w:t>
      </w:r>
    </w:p>
    <w:p w:rsidR="002430DD" w:rsidRDefault="0008761B">
      <w:pPr>
        <w:rPr>
          <w:b/>
          <w:bCs/>
          <w:noProof/>
        </w:rPr>
      </w:pPr>
      <w:r>
        <w:rPr>
          <w:b/>
          <w:bCs/>
          <w:noProof/>
        </w:rPr>
        <w:t xml:space="preserve">- </w:t>
      </w:r>
      <w:r>
        <w:rPr>
          <w:bCs/>
          <w:noProof/>
          <w:u w:val="single"/>
        </w:rPr>
        <w:t>Key Findings</w:t>
      </w:r>
      <w:r>
        <w:rPr>
          <w:bCs/>
          <w:noProof/>
        </w:rPr>
        <w:t xml:space="preserve"> </w:t>
      </w:r>
    </w:p>
    <w:p w:rsidR="002430DD" w:rsidRDefault="0008761B">
      <w:pPr>
        <w:rPr>
          <w:b/>
          <w:bCs/>
          <w:noProof/>
        </w:rPr>
      </w:pPr>
      <w:r>
        <w:rPr>
          <w:b/>
          <w:bCs/>
          <w:noProof/>
        </w:rPr>
        <w:t>Access to the Internet</w:t>
      </w:r>
    </w:p>
    <w:p w:rsidR="002430DD" w:rsidRDefault="0008761B">
      <w:pPr>
        <w:numPr>
          <w:ilvl w:val="0"/>
          <w:numId w:val="10"/>
        </w:numPr>
        <w:rPr>
          <w:noProof/>
        </w:rPr>
      </w:pPr>
      <w:r>
        <w:rPr>
          <w:noProof/>
        </w:rPr>
        <w:t>82% of respon</w:t>
      </w:r>
      <w:r>
        <w:rPr>
          <w:noProof/>
        </w:rPr>
        <w:t>dents use the Internet. The countries with the highest proportion of Internet users are located in northern and western areas of the EU.</w:t>
      </w:r>
    </w:p>
    <w:p w:rsidR="002430DD" w:rsidRDefault="0008761B">
      <w:pPr>
        <w:numPr>
          <w:ilvl w:val="0"/>
          <w:numId w:val="10"/>
        </w:numPr>
        <w:rPr>
          <w:noProof/>
        </w:rPr>
      </w:pPr>
      <w:r>
        <w:rPr>
          <w:noProof/>
        </w:rPr>
        <w:t>69% of respondents use the Internet daily or almost daily.</w:t>
      </w:r>
    </w:p>
    <w:p w:rsidR="002430DD" w:rsidRDefault="0008761B">
      <w:pPr>
        <w:numPr>
          <w:ilvl w:val="0"/>
          <w:numId w:val="10"/>
        </w:numPr>
        <w:rPr>
          <w:noProof/>
        </w:rPr>
      </w:pPr>
      <w:r>
        <w:rPr>
          <w:noProof/>
        </w:rPr>
        <w:t>Respondents are most likely to access the Internet from a pe</w:t>
      </w:r>
      <w:r>
        <w:rPr>
          <w:noProof/>
        </w:rPr>
        <w:t>rsonal computer (desktop computer, laptop or netbook) (90%), a mobile device (tablet, mobile phone or e-reader) (73%) or a home entertainment device (Smart TV or game console) (21%).</w:t>
      </w:r>
    </w:p>
    <w:p w:rsidR="002430DD" w:rsidRDefault="0008761B">
      <w:pPr>
        <w:rPr>
          <w:b/>
          <w:bCs/>
          <w:noProof/>
        </w:rPr>
      </w:pPr>
      <w:r>
        <w:rPr>
          <w:b/>
          <w:bCs/>
          <w:noProof/>
        </w:rPr>
        <w:t>Access to digital content online</w:t>
      </w:r>
    </w:p>
    <w:p w:rsidR="002430DD" w:rsidRDefault="0008761B">
      <w:pPr>
        <w:numPr>
          <w:ilvl w:val="0"/>
          <w:numId w:val="10"/>
        </w:numPr>
        <w:rPr>
          <w:noProof/>
        </w:rPr>
      </w:pPr>
      <w:r>
        <w:rPr>
          <w:noProof/>
        </w:rPr>
        <w:t xml:space="preserve">Respondents are most likely to have </w:t>
      </w:r>
      <w:r>
        <w:rPr>
          <w:noProof/>
        </w:rPr>
        <w:t>accessed or downloaded music (60%) and audio-visual content (59%), followed by video games (37%), sports (35%) and e-books (27%) in the last twelve months.</w:t>
      </w:r>
    </w:p>
    <w:p w:rsidR="002430DD" w:rsidRDefault="0008761B">
      <w:pPr>
        <w:numPr>
          <w:ilvl w:val="0"/>
          <w:numId w:val="10"/>
        </w:numPr>
        <w:rPr>
          <w:noProof/>
        </w:rPr>
      </w:pPr>
      <w:r>
        <w:rPr>
          <w:noProof/>
        </w:rPr>
        <w:t>Music and audio-visual content are the most likely to be downloaded or streamed on a daily or weekly</w:t>
      </w:r>
      <w:r>
        <w:rPr>
          <w:noProof/>
        </w:rPr>
        <w:t xml:space="preserve"> basis.</w:t>
      </w:r>
    </w:p>
    <w:p w:rsidR="002430DD" w:rsidRDefault="0008761B">
      <w:pPr>
        <w:rPr>
          <w:noProof/>
          <w:u w:val="single"/>
        </w:rPr>
      </w:pPr>
      <w:r>
        <w:rPr>
          <w:noProof/>
        </w:rPr>
        <w:t xml:space="preserve">- </w:t>
      </w:r>
      <w:r>
        <w:rPr>
          <w:noProof/>
          <w:u w:val="single"/>
        </w:rPr>
        <w:t>Incidence of "free" digital content or services</w:t>
      </w:r>
    </w:p>
    <w:p w:rsidR="002430DD" w:rsidRDefault="0008761B">
      <w:pPr>
        <w:numPr>
          <w:ilvl w:val="0"/>
          <w:numId w:val="11"/>
        </w:numPr>
        <w:rPr>
          <w:noProof/>
        </w:rPr>
      </w:pPr>
      <w:r>
        <w:rPr>
          <w:noProof/>
        </w:rPr>
        <w:t>Audio-visual content, p. 23-24</w:t>
      </w:r>
    </w:p>
    <w:p w:rsidR="002430DD" w:rsidRDefault="0008761B">
      <w:pPr>
        <w:rPr>
          <w:noProof/>
        </w:rPr>
      </w:pPr>
      <w:r>
        <w:rPr>
          <w:noProof/>
        </w:rPr>
        <w:t>The large majority (80%) of consumers who accessed or downloaded audio-visual content online did so without paying a price, while 15% pay per item and 20% pay for an o</w:t>
      </w:r>
      <w:r>
        <w:rPr>
          <w:noProof/>
        </w:rPr>
        <w:t>nline subscription.</w:t>
      </w:r>
    </w:p>
    <w:p w:rsidR="002430DD" w:rsidRDefault="0008761B">
      <w:pPr>
        <w:rPr>
          <w:noProof/>
        </w:rPr>
      </w:pPr>
      <w:r>
        <w:rPr>
          <w:noProof/>
        </w:rPr>
        <w:t>In all Member States, the majority of respondents who had accessed or downloaded audio-visual content said the content was free; in fact in 27 Member States at least two thirds did so.</w:t>
      </w:r>
    </w:p>
    <w:p w:rsidR="002430DD" w:rsidRDefault="0008761B">
      <w:pPr>
        <w:numPr>
          <w:ilvl w:val="0"/>
          <w:numId w:val="11"/>
        </w:numPr>
        <w:rPr>
          <w:i/>
          <w:noProof/>
        </w:rPr>
      </w:pPr>
      <w:r>
        <w:rPr>
          <w:noProof/>
        </w:rPr>
        <w:t>Sports content</w:t>
      </w:r>
      <w:r>
        <w:rPr>
          <w:i/>
          <w:noProof/>
        </w:rPr>
        <w:t xml:space="preserve"> </w:t>
      </w:r>
      <w:r>
        <w:rPr>
          <w:noProof/>
        </w:rPr>
        <w:t>p. 32</w:t>
      </w:r>
    </w:p>
    <w:p w:rsidR="002430DD" w:rsidRDefault="0008761B">
      <w:pPr>
        <w:rPr>
          <w:noProof/>
        </w:rPr>
      </w:pPr>
      <w:r>
        <w:rPr>
          <w:noProof/>
        </w:rPr>
        <w:t>The large majority (82%) of co</w:t>
      </w:r>
      <w:r>
        <w:rPr>
          <w:noProof/>
        </w:rPr>
        <w:t>nsumers who accessed or downloaded sports content online did so without paying a price, while 19% paid in some way (paying a subscription was more common than paying per item, 14% vs. 7% respectively).</w:t>
      </w:r>
    </w:p>
    <w:p w:rsidR="002430DD" w:rsidRDefault="0008761B">
      <w:pPr>
        <w:numPr>
          <w:ilvl w:val="0"/>
          <w:numId w:val="11"/>
        </w:numPr>
        <w:rPr>
          <w:noProof/>
        </w:rPr>
      </w:pPr>
      <w:r>
        <w:rPr>
          <w:noProof/>
        </w:rPr>
        <w:t xml:space="preserve">Music p. 36: </w:t>
      </w:r>
    </w:p>
    <w:p w:rsidR="002430DD" w:rsidRDefault="0008761B">
      <w:pPr>
        <w:rPr>
          <w:noProof/>
        </w:rPr>
      </w:pPr>
      <w:r>
        <w:rPr>
          <w:noProof/>
        </w:rPr>
        <w:t>In all Member States at least half of al</w:t>
      </w:r>
      <w:r>
        <w:rPr>
          <w:noProof/>
        </w:rPr>
        <w:t xml:space="preserve">l Internet users say they have accessed or downloaded music at least once in the last 12 months, with those in Romania (79%), Cyprus (74%), and Greece and Slovenia (both 73%) the most likely to do so. </w:t>
      </w:r>
    </w:p>
    <w:p w:rsidR="002430DD" w:rsidRDefault="0008761B">
      <w:pPr>
        <w:rPr>
          <w:noProof/>
        </w:rPr>
      </w:pPr>
      <w:r>
        <w:rPr>
          <w:noProof/>
        </w:rPr>
        <w:t>p.40: The large majority (77%) of consumers who access</w:t>
      </w:r>
      <w:r>
        <w:rPr>
          <w:noProof/>
        </w:rPr>
        <w:t>ed or downloaded music are most likely to have done so for free (77%), while 19% paid per item and 12% paid a subscription. Overall, 29% paid in some way to access or download music.</w:t>
      </w:r>
    </w:p>
    <w:p w:rsidR="002430DD" w:rsidRDefault="0008761B">
      <w:pPr>
        <w:numPr>
          <w:ilvl w:val="0"/>
          <w:numId w:val="11"/>
        </w:numPr>
        <w:rPr>
          <w:b/>
          <w:bCs/>
          <w:i/>
          <w:iCs/>
          <w:noProof/>
        </w:rPr>
      </w:pPr>
      <w:r>
        <w:rPr>
          <w:noProof/>
        </w:rPr>
        <w:t>Digital books</w:t>
      </w:r>
      <w:r>
        <w:rPr>
          <w:i/>
          <w:noProof/>
        </w:rPr>
        <w:t xml:space="preserve"> </w:t>
      </w:r>
      <w:r>
        <w:rPr>
          <w:noProof/>
        </w:rPr>
        <w:t>p. 44</w:t>
      </w:r>
    </w:p>
    <w:p w:rsidR="002430DD" w:rsidRDefault="0008761B">
      <w:pPr>
        <w:rPr>
          <w:b/>
          <w:i/>
          <w:noProof/>
        </w:rPr>
      </w:pPr>
      <w:r>
        <w:rPr>
          <w:noProof/>
        </w:rPr>
        <w:t>Just over a quarter of Internet users have downloaded</w:t>
      </w:r>
      <w:r>
        <w:rPr>
          <w:noProof/>
        </w:rPr>
        <w:t xml:space="preserve"> or accessed an e-book at least once in the past 12 months (27%), although most had done so less than once a month (11%). Few (2%) accessed or downloaded e-books daily or almost daily, while 5% did so at least once a week and 9% at least once a month.</w:t>
      </w:r>
    </w:p>
    <w:p w:rsidR="002430DD" w:rsidRDefault="0008761B">
      <w:pPr>
        <w:rPr>
          <w:noProof/>
        </w:rPr>
      </w:pPr>
      <w:r>
        <w:rPr>
          <w:noProof/>
        </w:rPr>
        <w:t>p.47</w:t>
      </w:r>
      <w:r>
        <w:rPr>
          <w:noProof/>
        </w:rPr>
        <w:t>: Compared with the other kinds of content discussed, e-books are more likely to be paid for in some way (46%), generally per item rather than by subscription (39% vs. 8%). In spite of this, the majority (64%) still access or download e-books free of charg</w:t>
      </w:r>
      <w:r>
        <w:rPr>
          <w:noProof/>
        </w:rPr>
        <w:t>e.</w:t>
      </w:r>
    </w:p>
    <w:p w:rsidR="002430DD" w:rsidRDefault="0008761B">
      <w:pPr>
        <w:numPr>
          <w:ilvl w:val="0"/>
          <w:numId w:val="11"/>
        </w:numPr>
        <w:rPr>
          <w:i/>
          <w:noProof/>
        </w:rPr>
      </w:pPr>
      <w:r>
        <w:rPr>
          <w:noProof/>
        </w:rPr>
        <w:t>Video games p. 51</w:t>
      </w:r>
    </w:p>
    <w:p w:rsidR="002430DD" w:rsidRDefault="0008761B">
      <w:pPr>
        <w:rPr>
          <w:noProof/>
        </w:rPr>
      </w:pPr>
      <w:r>
        <w:rPr>
          <w:noProof/>
        </w:rPr>
        <w:t xml:space="preserve">More than one-third of Internet users have accessed or downloaded a video game online in the past 12 months (37%), although once again access is not as frequent as for other content types, such as sports or audio-visual. Almost one in </w:t>
      </w:r>
      <w:r>
        <w:rPr>
          <w:noProof/>
        </w:rPr>
        <w:t>ten (9%) say they access video games online every day or almost every day, while 9% do so at least once a week and 8% at least once a month. Just over one in ten (11%) access video games less than once a month.</w:t>
      </w:r>
    </w:p>
    <w:p w:rsidR="002430DD" w:rsidRDefault="0008761B">
      <w:pPr>
        <w:rPr>
          <w:noProof/>
        </w:rPr>
      </w:pPr>
      <w:r>
        <w:rPr>
          <w:noProof/>
        </w:rPr>
        <w:t>p.54: Just over one-third of those who access</w:t>
      </w:r>
      <w:r>
        <w:rPr>
          <w:noProof/>
        </w:rPr>
        <w:t xml:space="preserve"> video games online say they have paid in some way (34%): payment per item (20%) or the purchase of items related to the video game (16%) are both more common than payment by subscription (8%).</w:t>
      </w:r>
    </w:p>
    <w:p w:rsidR="002430DD" w:rsidRDefault="0008761B">
      <w:pPr>
        <w:rPr>
          <w:noProof/>
        </w:rPr>
      </w:pPr>
      <w:r>
        <w:rPr>
          <w:noProof/>
        </w:rPr>
        <w:t>Just over three-quarters (76%) have accessed or downloaded the</w:t>
      </w:r>
      <w:r>
        <w:rPr>
          <w:noProof/>
        </w:rPr>
        <w:t xml:space="preserve"> content they wanted free of charge.</w:t>
      </w:r>
    </w:p>
    <w:tbl>
      <w:tblPr>
        <w:tblStyle w:val="TableGrid"/>
        <w:tblW w:w="0" w:type="auto"/>
        <w:tblLook w:val="04A0" w:firstRow="1" w:lastRow="0" w:firstColumn="1" w:lastColumn="0" w:noHBand="0" w:noVBand="1"/>
      </w:tblPr>
      <w:tblGrid>
        <w:gridCol w:w="9288"/>
      </w:tblGrid>
      <w:tr w:rsidR="002430DD">
        <w:tc>
          <w:tcPr>
            <w:tcW w:w="9288" w:type="dxa"/>
          </w:tcPr>
          <w:p w:rsidR="002430DD" w:rsidRDefault="0008761B">
            <w:pPr>
              <w:spacing w:after="200"/>
              <w:rPr>
                <w:noProof/>
              </w:rPr>
            </w:pPr>
            <w:r>
              <w:rPr>
                <w:noProof/>
              </w:rPr>
              <w:t>-</w:t>
            </w:r>
            <w:r>
              <w:rPr>
                <w:i/>
                <w:noProof/>
              </w:rPr>
              <w:t xml:space="preserve"> Consumers who access paid digital content/services often also access "free" content/services and vice versa</w:t>
            </w:r>
          </w:p>
          <w:p w:rsidR="002430DD" w:rsidRDefault="0008761B">
            <w:pPr>
              <w:spacing w:after="200"/>
              <w:rPr>
                <w:noProof/>
              </w:rPr>
            </w:pPr>
            <w:r>
              <w:rPr>
                <w:noProof/>
                <w:u w:val="single"/>
              </w:rPr>
              <w:t>Data from Flash EB 411</w:t>
            </w:r>
            <w:r>
              <w:rPr>
                <w:noProof/>
              </w:rPr>
              <w:t>:</w:t>
            </w:r>
          </w:p>
          <w:p w:rsidR="002430DD" w:rsidRDefault="0008761B">
            <w:pPr>
              <w:spacing w:after="200"/>
              <w:rPr>
                <w:noProof/>
              </w:rPr>
            </w:pPr>
            <w:r>
              <w:rPr>
                <w:noProof/>
              </w:rPr>
              <w:t>-p. 26: 16% of respondents who have accessed free audio-visual content online have al</w:t>
            </w:r>
            <w:r>
              <w:rPr>
                <w:noProof/>
              </w:rPr>
              <w:t>so paid for this type of content (16%). And 43% of those who paid for audio-visual content have also accessed free audio-visual content.</w:t>
            </w:r>
          </w:p>
          <w:p w:rsidR="002430DD" w:rsidRDefault="0008761B">
            <w:pPr>
              <w:spacing w:after="200"/>
              <w:rPr>
                <w:noProof/>
              </w:rPr>
            </w:pPr>
            <w:r>
              <w:rPr>
                <w:noProof/>
              </w:rPr>
              <w:t>-p. 34: 6% of the respondents who accessed free sports content also paid for this type of content. And 27% of those who</w:t>
            </w:r>
            <w:r>
              <w:rPr>
                <w:noProof/>
              </w:rPr>
              <w:t xml:space="preserve"> paid for sports in some way shows that 27% also accessed free sports content</w:t>
            </w:r>
          </w:p>
          <w:p w:rsidR="002430DD" w:rsidRDefault="0008761B">
            <w:pPr>
              <w:spacing w:after="200"/>
              <w:rPr>
                <w:noProof/>
              </w:rPr>
            </w:pPr>
            <w:r>
              <w:rPr>
                <w:noProof/>
              </w:rPr>
              <w:t>-p.42: Just over one in ten of those who accessed free music online also paid for music (11%). And 28% of those who paid for music in some way also accessed free music online.</w:t>
            </w:r>
          </w:p>
          <w:p w:rsidR="002430DD" w:rsidRDefault="0008761B">
            <w:pPr>
              <w:spacing w:after="200"/>
              <w:rPr>
                <w:noProof/>
              </w:rPr>
            </w:pPr>
            <w:r>
              <w:rPr>
                <w:noProof/>
              </w:rPr>
              <w:t>-p</w:t>
            </w:r>
            <w:r>
              <w:rPr>
                <w:noProof/>
              </w:rPr>
              <w:t xml:space="preserve">.49: 22% of respondents accessing free e-books online have also paid for eBooks. And 30% of those who paid for e-books in some way also accessed free eBooks </w:t>
            </w:r>
          </w:p>
          <w:p w:rsidR="002430DD" w:rsidRDefault="0008761B">
            <w:pPr>
              <w:spacing w:after="200"/>
              <w:rPr>
                <w:noProof/>
              </w:rPr>
            </w:pPr>
            <w:r>
              <w:rPr>
                <w:noProof/>
              </w:rPr>
              <w:t>-p.56: 18% of respondents who accessed free video games also paid for video games. And 40% of thos</w:t>
            </w:r>
            <w:r>
              <w:rPr>
                <w:noProof/>
              </w:rPr>
              <w:t xml:space="preserve">e who paid for video games in some way also accessed free games online. </w:t>
            </w:r>
          </w:p>
        </w:tc>
      </w:tr>
      <w:tr w:rsidR="002430DD">
        <w:tc>
          <w:tcPr>
            <w:tcW w:w="9288" w:type="dxa"/>
          </w:tcPr>
          <w:p w:rsidR="002430DD" w:rsidRDefault="0008761B">
            <w:pPr>
              <w:spacing w:after="200"/>
              <w:rPr>
                <w:i/>
                <w:noProof/>
              </w:rPr>
            </w:pPr>
            <w:r>
              <w:rPr>
                <w:i/>
                <w:noProof/>
              </w:rPr>
              <w:t>Also, business models often combine elements of "free" and "paid" models, e.g. when consumers start playing a game without payment but subsequently start buying elements related to t</w:t>
            </w:r>
            <w:r>
              <w:rPr>
                <w:i/>
                <w:noProof/>
              </w:rPr>
              <w:t xml:space="preserve">he game. </w:t>
            </w:r>
          </w:p>
          <w:p w:rsidR="002430DD" w:rsidRDefault="0008761B">
            <w:pPr>
              <w:spacing w:after="200"/>
              <w:rPr>
                <w:noProof/>
              </w:rPr>
            </w:pPr>
            <w:r>
              <w:rPr>
                <w:noProof/>
                <w:u w:val="single"/>
              </w:rPr>
              <w:t>Data from Economic Study on Consumer Digital Content Products</w:t>
            </w:r>
            <w:r>
              <w:rPr>
                <w:noProof/>
              </w:rPr>
              <w:t>:</w:t>
            </w:r>
          </w:p>
          <w:p w:rsidR="002430DD" w:rsidRDefault="0008761B">
            <w:pPr>
              <w:spacing w:after="200"/>
              <w:rPr>
                <w:noProof/>
              </w:rPr>
            </w:pPr>
            <w:r>
              <w:rPr>
                <w:noProof/>
              </w:rPr>
              <w:t xml:space="preserve">-Freemium is currently one of the predominant business models especially for video games, software and applications. </w:t>
            </w:r>
          </w:p>
          <w:p w:rsidR="002430DD" w:rsidRDefault="0008761B">
            <w:pPr>
              <w:spacing w:after="200"/>
              <w:rPr>
                <w:noProof/>
              </w:rPr>
            </w:pPr>
            <w:r>
              <w:rPr>
                <w:noProof/>
              </w:rPr>
              <w:t xml:space="preserve">p. 100-101: In this model, software, media, games or web services are provided free of charge, but money (i.e. a premium) is charged for proprietary features and functionality (e.g. virtual goods, time reduction). </w:t>
            </w:r>
          </w:p>
          <w:p w:rsidR="002430DD" w:rsidRDefault="0008761B">
            <w:pPr>
              <w:spacing w:after="200"/>
              <w:rPr>
                <w:noProof/>
              </w:rPr>
            </w:pPr>
            <w:r>
              <w:rPr>
                <w:noProof/>
              </w:rPr>
              <w:t>The freemium model has become a widely-ad</w:t>
            </w:r>
            <w:r>
              <w:rPr>
                <w:noProof/>
              </w:rPr>
              <w:t>opted pricing strategy in the industry. Two types of freemium games have emerged in the process: (1) “pay-to-entertain” games, whereby premium content is purely decorative and serves as a way for consumers to individualise the game according to their prefe</w:t>
            </w:r>
            <w:r>
              <w:rPr>
                <w:noProof/>
              </w:rPr>
              <w:t>rences; and (2) “pay-to-progress” / “pay-to-win” games, whereby additional content is functional and allows premium consumers to progress faster in the game (e.g. by enhancing the performance of their in-game character);</w:t>
            </w:r>
          </w:p>
          <w:p w:rsidR="002430DD" w:rsidRDefault="0008761B">
            <w:pPr>
              <w:spacing w:after="200"/>
              <w:rPr>
                <w:noProof/>
              </w:rPr>
            </w:pPr>
            <w:r>
              <w:rPr>
                <w:noProof/>
              </w:rPr>
              <w:t>Trialware is also a predominant bus</w:t>
            </w:r>
            <w:r>
              <w:rPr>
                <w:noProof/>
              </w:rPr>
              <w:t xml:space="preserve">iness model especially for software and cloud storage. </w:t>
            </w:r>
          </w:p>
          <w:p w:rsidR="002430DD" w:rsidRDefault="0008761B">
            <w:pPr>
              <w:spacing w:after="200"/>
              <w:rPr>
                <w:noProof/>
              </w:rPr>
            </w:pPr>
            <w:r>
              <w:rPr>
                <w:noProof/>
              </w:rPr>
              <w:t>P.130: Trialware (for software in general): users can try out software during a trial period and when it is over they need to pay a licence fee to continue to access the software. According to Kaspers</w:t>
            </w:r>
            <w:r>
              <w:rPr>
                <w:noProof/>
              </w:rPr>
              <w:t>ky Labs, Trialware is commonly used as a pricing model for antivirus software. Many computers and laptops are sold with a pre-installed trial version of an antivirus program. It is estimated that about 60% of respondents use these programs, but that only 1</w:t>
            </w:r>
            <w:r>
              <w:rPr>
                <w:noProof/>
              </w:rPr>
              <w:t>3% purchase the licence one the trial period is over.</w:t>
            </w:r>
            <w:r>
              <w:rPr>
                <w:noProof/>
                <w:vertAlign w:val="superscript"/>
              </w:rPr>
              <w:footnoteReference w:id="32"/>
            </w:r>
            <w:r>
              <w:rPr>
                <w:noProof/>
              </w:rPr>
              <w:t xml:space="preserve">.  </w:t>
            </w:r>
          </w:p>
          <w:p w:rsidR="002430DD" w:rsidRDefault="0008761B">
            <w:pPr>
              <w:spacing w:after="200"/>
              <w:rPr>
                <w:noProof/>
              </w:rPr>
            </w:pPr>
            <w:r>
              <w:rPr>
                <w:noProof/>
              </w:rPr>
              <w:t>For cloud storage (p.137):</w:t>
            </w:r>
          </w:p>
          <w:p w:rsidR="002430DD" w:rsidRDefault="0008761B">
            <w:pPr>
              <w:spacing w:after="200"/>
              <w:rPr>
                <w:noProof/>
              </w:rPr>
            </w:pPr>
            <w:r>
              <w:rPr>
                <w:noProof/>
              </w:rPr>
              <w:t>The main types of pricing models are:</w:t>
            </w:r>
          </w:p>
          <w:p w:rsidR="002430DD" w:rsidRDefault="0008761B">
            <w:pPr>
              <w:spacing w:after="200"/>
              <w:rPr>
                <w:noProof/>
              </w:rPr>
            </w:pPr>
            <w:r>
              <w:rPr>
                <w:noProof/>
              </w:rPr>
              <w:t>14 to 30 days free trials followed by paid subscription based on storage capacity;</w:t>
            </w:r>
          </w:p>
          <w:p w:rsidR="002430DD" w:rsidRDefault="0008761B">
            <w:pPr>
              <w:spacing w:after="200"/>
              <w:rPr>
                <w:noProof/>
              </w:rPr>
            </w:pPr>
            <w:r>
              <w:rPr>
                <w:noProof/>
              </w:rPr>
              <w:t>Free service limiting storage capacity to 2 and 15</w:t>
            </w:r>
            <w:r>
              <w:rPr>
                <w:noProof/>
              </w:rPr>
              <w:t xml:space="preserve"> Gigabytes (GB)</w:t>
            </w:r>
            <w:r>
              <w:rPr>
                <w:noProof/>
                <w:vertAlign w:val="superscript"/>
              </w:rPr>
              <w:footnoteReference w:id="33"/>
            </w:r>
            <w:r>
              <w:rPr>
                <w:noProof/>
              </w:rPr>
              <w:t xml:space="preserve"> and paid subscription fee for larger storage capacity.</w:t>
            </w:r>
          </w:p>
        </w:tc>
      </w:tr>
    </w:tbl>
    <w:p w:rsidR="002430DD" w:rsidRDefault="002430DD">
      <w:pPr>
        <w:rPr>
          <w:rFonts w:ascii="Arial" w:eastAsia="Arial" w:hAnsi="Arial"/>
          <w:noProof/>
          <w:color w:val="58595B"/>
          <w:sz w:val="22"/>
        </w:rPr>
      </w:pPr>
    </w:p>
    <w:tbl>
      <w:tblPr>
        <w:tblStyle w:val="TableGrid"/>
        <w:tblW w:w="0" w:type="auto"/>
        <w:tblLook w:val="04A0" w:firstRow="1" w:lastRow="0" w:firstColumn="1" w:lastColumn="0" w:noHBand="0" w:noVBand="1"/>
      </w:tblPr>
      <w:tblGrid>
        <w:gridCol w:w="9519"/>
      </w:tblGrid>
      <w:tr w:rsidR="002430DD">
        <w:tc>
          <w:tcPr>
            <w:tcW w:w="9519" w:type="dxa"/>
          </w:tcPr>
          <w:p w:rsidR="002430DD" w:rsidRDefault="0008761B">
            <w:pPr>
              <w:rPr>
                <w:b/>
                <w:noProof/>
              </w:rPr>
            </w:pPr>
            <w:bookmarkStart w:id="377" w:name="_Toc504064435"/>
            <w:bookmarkStart w:id="378" w:name="_Toc504064819"/>
            <w:bookmarkStart w:id="379" w:name="_Toc504065734"/>
            <w:bookmarkStart w:id="380" w:name="_Toc504066370"/>
            <w:bookmarkStart w:id="381" w:name="_Toc504149877"/>
            <w:bookmarkStart w:id="382" w:name="_Toc504151591"/>
            <w:bookmarkStart w:id="383" w:name="_Toc504151939"/>
            <w:bookmarkStart w:id="384" w:name="_Toc504153971"/>
            <w:bookmarkStart w:id="385" w:name="_Toc504472279"/>
            <w:bookmarkStart w:id="386" w:name="_Toc504491514"/>
            <w:bookmarkStart w:id="387" w:name="_Toc504495217"/>
            <w:bookmarkStart w:id="388" w:name="_Toc504497147"/>
            <w:bookmarkStart w:id="389" w:name="_Toc504497243"/>
            <w:bookmarkStart w:id="390" w:name="_Toc504497441"/>
            <w:bookmarkStart w:id="391" w:name="_Toc504499830"/>
            <w:bookmarkStart w:id="392" w:name="_Toc504501846"/>
            <w:bookmarkStart w:id="393" w:name="_Toc504579137"/>
            <w:bookmarkStart w:id="394" w:name="_Toc504580294"/>
            <w:bookmarkStart w:id="395" w:name="_Toc504588052"/>
            <w:bookmarkStart w:id="396" w:name="_Toc504588984"/>
            <w:bookmarkStart w:id="397" w:name="_Toc504642064"/>
            <w:bookmarkStart w:id="398" w:name="_Toc504644159"/>
            <w:bookmarkStart w:id="399" w:name="_Toc504645743"/>
            <w:bookmarkStart w:id="400" w:name="_Toc504648519"/>
            <w:bookmarkStart w:id="401" w:name="_Toc504650493"/>
            <w:bookmarkStart w:id="402" w:name="_Toc504654526"/>
            <w:bookmarkStart w:id="403" w:name="_Toc504656055"/>
            <w:bookmarkStart w:id="404" w:name="_Toc504661199"/>
            <w:bookmarkStart w:id="405" w:name="_Toc504661454"/>
            <w:bookmarkStart w:id="406" w:name="_Toc504662528"/>
            <w:bookmarkStart w:id="407" w:name="_Toc504669655"/>
            <w:bookmarkStart w:id="408" w:name="_Toc504670657"/>
            <w:bookmarkStart w:id="409" w:name="_Toc504729963"/>
            <w:bookmarkStart w:id="410" w:name="_Toc504732928"/>
            <w:bookmarkStart w:id="411" w:name="_Toc504736035"/>
            <w:bookmarkStart w:id="412" w:name="_Toc504736386"/>
            <w:bookmarkStart w:id="413" w:name="_Toc504741174"/>
            <w:r>
              <w:rPr>
                <w:b/>
                <w:noProof/>
              </w:rPr>
              <w:t>Examples of consumer problems due to lack of protection in contracts for "free" digital services</w:t>
            </w:r>
          </w:p>
          <w:p w:rsidR="002430DD" w:rsidRDefault="0008761B">
            <w:pPr>
              <w:rPr>
                <w:noProof/>
              </w:rPr>
            </w:pPr>
            <w:r>
              <w:rPr>
                <w:noProof/>
              </w:rPr>
              <w:t xml:space="preserve">The absence of rights to pre-contractual information when subscribing to "free" </w:t>
            </w:r>
            <w:r>
              <w:rPr>
                <w:noProof/>
              </w:rPr>
              <w:t xml:space="preserve">digital services has the potential to lead to consumer detriment. For instance, a consumer who has not been informed about the duration of his contract for "free" email services might one day discover that he can no longer access his email account because </w:t>
            </w:r>
            <w:r>
              <w:rPr>
                <w:noProof/>
              </w:rPr>
              <w:t>the contract has lapsed. Hence, his time and effort invested in that service could be lost together with previous communication and contacts.</w:t>
            </w:r>
          </w:p>
          <w:p w:rsidR="002430DD" w:rsidRDefault="0008761B">
            <w:pPr>
              <w:rPr>
                <w:noProof/>
              </w:rPr>
            </w:pPr>
            <w:r>
              <w:rPr>
                <w:noProof/>
              </w:rPr>
              <w:t>A Commission study on terms and conditions found contractual rights of the supplier to remove or amend content wit</w:t>
            </w:r>
            <w:r>
              <w:rPr>
                <w:noProof/>
              </w:rPr>
              <w:t>hout notice, or to close accounts without giving users the opportunity to retrieve data, as one of the major problems encountered by consumers. This is more likely to happen to consumers entering into contracts for "free" digital services due to the lack o</w:t>
            </w:r>
            <w:r>
              <w:rPr>
                <w:noProof/>
              </w:rPr>
              <w:t xml:space="preserve">f pre contractual information obligations for the traders. This is also in line with the results of the Economic Study on Consumer Digital Content Products, whose consumer survey showed that the most often cited type of problem </w:t>
            </w:r>
          </w:p>
          <w:p w:rsidR="002430DD" w:rsidRDefault="0008761B">
            <w:pPr>
              <w:rPr>
                <w:noProof/>
              </w:rPr>
            </w:pPr>
            <w:r>
              <w:rPr>
                <w:noProof/>
              </w:rPr>
              <w:t>Another example of consumer</w:t>
            </w:r>
            <w:r>
              <w:rPr>
                <w:noProof/>
              </w:rPr>
              <w:t xml:space="preserve"> detriment can be inferred from a concrete case regarding terms and conditions used in "free" digital services. In 2017, the Italian Competition Authority (ICA) fined WhatsApp EUR 3 million for having forced its users to share their personal data with Face</w:t>
            </w:r>
            <w:r>
              <w:rPr>
                <w:noProof/>
              </w:rPr>
              <w:t xml:space="preserve">book. In particular, the ICA found that: </w:t>
            </w:r>
            <w:r>
              <w:rPr>
                <w:i/>
                <w:noProof/>
              </w:rPr>
              <w:t>WhatsApp de facto forced the users of its service WhatsApp Messenger to accept in full the new Terms of Use, and specifically a requirement to share their personal data with Facebook, by inducing them to believe tha</w:t>
            </w:r>
            <w:r>
              <w:rPr>
                <w:i/>
                <w:noProof/>
              </w:rPr>
              <w:t xml:space="preserve">t without granting such consent they would not have been able to use the service anymore. </w:t>
            </w:r>
            <w:r>
              <w:rPr>
                <w:noProof/>
              </w:rPr>
              <w:t>Furthermore, the ICA assessed as illicit some contractual clauses included in WhatsApp Messenger’s “Terms of Use”, such as the possibility for the trader to unilatera</w:t>
            </w:r>
            <w:r>
              <w:rPr>
                <w:noProof/>
              </w:rPr>
              <w:t>lly interrupt the service without reason or advance notice</w:t>
            </w:r>
            <w:r>
              <w:rPr>
                <w:rStyle w:val="FootnoteReference"/>
                <w:noProof/>
              </w:rPr>
              <w:footnoteReference w:id="34"/>
            </w:r>
            <w:r>
              <w:rPr>
                <w:noProof/>
              </w:rPr>
              <w:t>. Clearly this is a case of use of unfair terms, in breach of the UCTD, that are not binding on consumers. However, enforcing this right in a dispute with a trader may require time and resources. T</w:t>
            </w:r>
            <w:r>
              <w:rPr>
                <w:noProof/>
              </w:rPr>
              <w:t>herefore, ideally the consumers should refrain from engaging with traders who impose unfair contract terms. In this context, they obviously need to understand the terms and conditions. However, many consumers do not read the T&amp;Cs in particular because they</w:t>
            </w:r>
            <w:r>
              <w:rPr>
                <w:noProof/>
              </w:rPr>
              <w:t xml:space="preserve"> are too voluminous and difficult to read, this is why pre-contractual information is essential for consumers even when they conclude contracts for "free" digital services, since such information has to be provided upfront to the consumer and in an easily </w:t>
            </w:r>
            <w:r>
              <w:rPr>
                <w:noProof/>
              </w:rPr>
              <w:t>and comprehensible manner.</w:t>
            </w:r>
          </w:p>
          <w:p w:rsidR="002430DD" w:rsidRDefault="0008761B">
            <w:pPr>
              <w:rPr>
                <w:noProof/>
              </w:rPr>
            </w:pPr>
            <w:r>
              <w:rPr>
                <w:noProof/>
              </w:rPr>
              <w:t>In addition, in the framework of the Economic study on the consumer digital content products, it was found that roughly three per cent of all users said the digital content caused damage to their computer, mobile phone or other d</w:t>
            </w:r>
            <w:r>
              <w:rPr>
                <w:noProof/>
              </w:rPr>
              <w:t>evice: this might occur due to lack or improper information about the functionality and operability of the digital content or service, and is more likely to happen  when using digital free services for which consumers do not have a EU wide right to be info</w:t>
            </w:r>
            <w:r>
              <w:rPr>
                <w:noProof/>
              </w:rPr>
              <w:t xml:space="preserve">rmed about the characteristics of the free digital service they subscribe for.  </w:t>
            </w:r>
          </w:p>
          <w:p w:rsidR="002430DD" w:rsidRDefault="0008761B">
            <w:pPr>
              <w:rPr>
                <w:noProof/>
              </w:rPr>
            </w:pPr>
            <w:r>
              <w:rPr>
                <w:noProof/>
              </w:rPr>
              <w:t>Consumer detriment can also occur in social media. Here, consumers are usually not informed when they subscribe about main functions of the service, such as how social media o</w:t>
            </w:r>
            <w:r>
              <w:rPr>
                <w:noProof/>
              </w:rPr>
              <w:t>perators intend to use their "likes" (endorsements) of posts, brands and products for their own commercial purposes. "Likes" are often re used by operators to be displayed together with new ad posts from the brand that the consumer has endorsed, but the co</w:t>
            </w:r>
            <w:r>
              <w:rPr>
                <w:noProof/>
              </w:rPr>
              <w:t>nsumer is usually not made aware of this. In this way, a consumer's endorsements may be presented to his or her friends on the social media out of the context of the original "like". This may lead the consumer's friends to believe that the friend has endor</w:t>
            </w:r>
            <w:r>
              <w:rPr>
                <w:noProof/>
              </w:rPr>
              <w:t>sed posts, brands or products that the consumer has not really endorsed. Such situation can be embarrassing for the first consumer. It can also lead his or her friends to buy products they would not have bought if they had not been misled by the re-used en</w:t>
            </w:r>
            <w:r>
              <w:rPr>
                <w:noProof/>
              </w:rPr>
              <w:t xml:space="preserve">dorsement.  </w:t>
            </w:r>
          </w:p>
          <w:p w:rsidR="002430DD" w:rsidRDefault="0008761B">
            <w:pPr>
              <w:rPr>
                <w:noProof/>
              </w:rPr>
            </w:pPr>
            <w:r>
              <w:rPr>
                <w:noProof/>
              </w:rPr>
              <w:t>Recent research also found that consumers experience detriment due to a refusal of the right to withdraw from dating services</w:t>
            </w:r>
            <w:r>
              <w:rPr>
                <w:noProof/>
                <w:vertAlign w:val="superscript"/>
              </w:rPr>
              <w:footnoteReference w:id="35"/>
            </w:r>
            <w:r>
              <w:rPr>
                <w:noProof/>
              </w:rPr>
              <w:t>.</w:t>
            </w:r>
          </w:p>
        </w:tc>
      </w:tr>
    </w:tbl>
    <w:p w:rsidR="002430DD" w:rsidRDefault="002430DD">
      <w:pPr>
        <w:rPr>
          <w:noProof/>
        </w:rPr>
      </w:pPr>
    </w:p>
    <w:tbl>
      <w:tblPr>
        <w:tblStyle w:val="TableGrid"/>
        <w:tblW w:w="0" w:type="auto"/>
        <w:tblLook w:val="04A0" w:firstRow="1" w:lastRow="0" w:firstColumn="1" w:lastColumn="0" w:noHBand="0" w:noVBand="1"/>
      </w:tblPr>
      <w:tblGrid>
        <w:gridCol w:w="9519"/>
      </w:tblGrid>
      <w:tr w:rsidR="002430DD">
        <w:tc>
          <w:tcPr>
            <w:tcW w:w="9519" w:type="dxa"/>
          </w:tcPr>
          <w:p w:rsidR="002430DD" w:rsidRDefault="0008761B">
            <w:pPr>
              <w:rPr>
                <w:b/>
                <w:noProof/>
              </w:rPr>
            </w:pPr>
            <w:r>
              <w:rPr>
                <w:b/>
                <w:noProof/>
              </w:rPr>
              <w:t>Relevant provisions of the Digital Content Directive (DCD) and the General Data Protection Regulation</w:t>
            </w:r>
          </w:p>
          <w:p w:rsidR="002430DD" w:rsidRDefault="0008761B">
            <w:pPr>
              <w:rPr>
                <w:noProof/>
              </w:rPr>
            </w:pPr>
            <w:r>
              <w:rPr>
                <w:noProof/>
              </w:rPr>
              <w:t>The DCD wil</w:t>
            </w:r>
            <w:r>
              <w:rPr>
                <w:noProof/>
              </w:rPr>
              <w:t>l provide contractual remedies for consumers in case there has been a failure to supply or a lack of conformity with the digital content or digital services, such as getting a new copy of the content, a reduction of the price or the termination of the cont</w:t>
            </w:r>
            <w:r>
              <w:rPr>
                <w:noProof/>
              </w:rPr>
              <w:t xml:space="preserve">ract against a refund; the proposal also gives consumers the possibility to terminate long term contracts after 12 months. In situations where the consumer provides personal data to the supplier to access digital content or services, the remedies provided </w:t>
            </w:r>
            <w:r>
              <w:rPr>
                <w:noProof/>
              </w:rPr>
              <w:t>for in the DCD apply in parallel with the rules on the lawful processing of personal data under EU data protection legislation. As regards non</w:t>
            </w:r>
            <w:r>
              <w:rPr>
                <w:noProof/>
              </w:rPr>
              <w:noBreakHyphen/>
              <w:t>personal data, the Proposal aims to introduce similar rules to ensure that the supplier shall also refrain from t</w:t>
            </w:r>
            <w:r>
              <w:rPr>
                <w:noProof/>
              </w:rPr>
              <w:t>he use of such data and that the consumer shall be entitled to retrieve the data. (Non-paper of the Commission services on the relationship between the Proposal for a Directive on certain aspects concerning contracts for the supply of Digital content and E</w:t>
            </w:r>
            <w:r>
              <w:rPr>
                <w:noProof/>
              </w:rPr>
              <w:t>U Data protection. WK 680/2016 INIT).</w:t>
            </w:r>
          </w:p>
          <w:p w:rsidR="002430DD" w:rsidRDefault="0008761B">
            <w:pPr>
              <w:rPr>
                <w:noProof/>
              </w:rPr>
            </w:pPr>
            <w:r>
              <w:rPr>
                <w:noProof/>
              </w:rPr>
              <w:t xml:space="preserve">The European Commission put forward its EU Data Protection Reform in January 2012. The reform consists of two instruments published in the EU Official Journal on 4 May 2016: </w:t>
            </w:r>
            <w:hyperlink r:id="rId28" w:tgtFrame="_blank" w:history="1">
              <w:r>
                <w:rPr>
                  <w:noProof/>
                </w:rPr>
                <w:t xml:space="preserve">Regulation (EU) 2016/679 </w:t>
              </w:r>
            </w:hyperlink>
            <w:r>
              <w:rPr>
                <w:noProof/>
              </w:rPr>
              <w:t>of the European Parliament and of the Council of 27 April 2016 on the protection of natural persons with regard to the processing of per</w:t>
            </w:r>
            <w:r>
              <w:rPr>
                <w:noProof/>
              </w:rPr>
              <w:t xml:space="preserve">sonal data and on the free movement of such data, and repealing Directive 95/46/EC (General Data Protection Regulation), and </w:t>
            </w:r>
            <w:hyperlink r:id="rId29" w:tgtFrame="_blank" w:history="1">
              <w:r>
                <w:rPr>
                  <w:noProof/>
                </w:rPr>
                <w:t xml:space="preserve">Directive (EU) 2016/680 </w:t>
              </w:r>
            </w:hyperlink>
            <w:r>
              <w:rPr>
                <w:noProof/>
              </w:rPr>
              <w:t>of the European Parliament and of the Council of 27 April 2016 on the protection of natural persons with regard to the processing of personal data by competent authorities for the purposes of the prevention, investigation, d</w:t>
            </w:r>
            <w:r>
              <w:rPr>
                <w:noProof/>
              </w:rPr>
              <w:t xml:space="preserve">etection or prosecution of criminal offences or the execution of criminal penalties, and on the free movement of such data, and repealing Council Framework Decision 2008/977/JHA. The Regulation will replace the Data Protection directive 95/46/EC, and will </w:t>
            </w:r>
            <w:r>
              <w:rPr>
                <w:noProof/>
              </w:rPr>
              <w:t>be applicable as from 25 May 2018; it includes, inter alia, the right to receive information on the collected data in concise and transparent form, and in clear and plain language; the right to access collected personal data, and obtain the rectification o</w:t>
            </w:r>
            <w:r>
              <w:rPr>
                <w:noProof/>
              </w:rPr>
              <w:t xml:space="preserve">f inaccurate personal data without undue delay, and the possibility to "be forgotten", namely to have personal data erased if they are no longer needed for the purposes for which they were collected; the GDPR also includes a right to data portability. </w:t>
            </w:r>
          </w:p>
          <w:p w:rsidR="002430DD" w:rsidRDefault="0008761B">
            <w:pPr>
              <w:rPr>
                <w:noProof/>
              </w:rPr>
            </w:pPr>
            <w:r>
              <w:rPr>
                <w:noProof/>
              </w:rPr>
              <w:t>The</w:t>
            </w:r>
            <w:r>
              <w:rPr>
                <w:noProof/>
              </w:rPr>
              <w:t xml:space="preserve"> EU data protection law provides an exhaustive list of legal grounds for processing personal data. Processing can be based, for instance, on the consent of the data subject or where it is necessary for the performance of the contract: </w:t>
            </w:r>
          </w:p>
          <w:p w:rsidR="002430DD" w:rsidRDefault="0008761B">
            <w:pPr>
              <w:rPr>
                <w:noProof/>
              </w:rPr>
            </w:pPr>
            <w:r>
              <w:rPr>
                <w:noProof/>
              </w:rPr>
              <w:t>1) Article 6(1)(a) G</w:t>
            </w:r>
            <w:r>
              <w:rPr>
                <w:noProof/>
              </w:rPr>
              <w:t>DPR allows for processing of personal data where the data subject (the consumer) has given consent to the processing of his or her personal data for one or more specific purposes.</w:t>
            </w:r>
            <w:r>
              <w:rPr>
                <w:rFonts w:eastAsia="Calibri"/>
                <w:noProof/>
                <w:sz w:val="23"/>
              </w:rPr>
              <w:t xml:space="preserve"> </w:t>
            </w:r>
            <w:r>
              <w:rPr>
                <w:noProof/>
              </w:rPr>
              <w:t xml:space="preserve">In the event that the legal basis for processing consumer' personal data is </w:t>
            </w:r>
            <w:r>
              <w:rPr>
                <w:noProof/>
              </w:rPr>
              <w:t>the consent, such consent should be clearly distinguished and separate from the agreement necessary for the conclusion of a contract.</w:t>
            </w:r>
            <w:r>
              <w:rPr>
                <w:rStyle w:val="FootnoteReference"/>
                <w:noProof/>
              </w:rPr>
              <w:footnoteReference w:id="36"/>
            </w:r>
            <w:r>
              <w:rPr>
                <w:noProof/>
              </w:rPr>
              <w:t xml:space="preserve"> </w:t>
            </w:r>
          </w:p>
          <w:p w:rsidR="002430DD" w:rsidRDefault="0008761B">
            <w:pPr>
              <w:rPr>
                <w:noProof/>
              </w:rPr>
            </w:pPr>
            <w:r>
              <w:rPr>
                <w:noProof/>
              </w:rPr>
              <w:t>The consumer can at any time terminate such processing of his personal data by specific withdrawal of consent (Art. 7(3)</w:t>
            </w:r>
            <w:r>
              <w:rPr>
                <w:noProof/>
              </w:rPr>
              <w:t xml:space="preserve"> GDPR), which shall not affect the lawfulness of processing based on consent before its withdrawal. However, the GDPR does not provide for the consequences of such withdrawal of consent on the contract that may exist between the data controller and the dat</w:t>
            </w:r>
            <w:r>
              <w:rPr>
                <w:noProof/>
              </w:rPr>
              <w:t>a subject, such as a contract for the supply of digital content or services. For instance, when a consumer opens a social media account, his name and e-mail address may be necessary for the supplier to create and maintain the user's account. The consumer m</w:t>
            </w:r>
            <w:r>
              <w:rPr>
                <w:noProof/>
              </w:rPr>
              <w:t>ay at the same time give his consent for the supplier to use this personal data also for other reasons, e.g. for direct marketing purposes. If the consumer withdraws his consent, the supplier will only still be able to process the personal data as far as t</w:t>
            </w:r>
            <w:r>
              <w:rPr>
                <w:noProof/>
              </w:rPr>
              <w:t>his is necessary for the performance of the contract, i.e. for giving the consumer access to his account. Therefore, in the event of withdrawal of consent the contract for the supply of digital content or services would not be automatically terminated, and</w:t>
            </w:r>
            <w:r>
              <w:rPr>
                <w:noProof/>
              </w:rPr>
              <w:t xml:space="preserve"> such situations would be subject to interpretation under national general contract law rules. </w:t>
            </w:r>
          </w:p>
          <w:p w:rsidR="002430DD" w:rsidRDefault="0008761B">
            <w:pPr>
              <w:rPr>
                <w:noProof/>
              </w:rPr>
            </w:pPr>
            <w:r>
              <w:rPr>
                <w:noProof/>
              </w:rPr>
              <w:t xml:space="preserve">2) Personal data can also be processed where its processing is necessary for the performance of a contract pursuant to Article 6(1)(b) GDPR. In such cases the </w:t>
            </w:r>
            <w:r>
              <w:rPr>
                <w:noProof/>
              </w:rPr>
              <w:t>GDPR does not provide for a general right of the data subject to terminate the processing of personal data as long as the contract remains in force. The consumer can of course terminate the contract based on what the applicable legislation and the contract</w:t>
            </w:r>
            <w:r>
              <w:rPr>
                <w:noProof/>
              </w:rPr>
              <w:t xml:space="preserve"> itself lays down for its termination. If the consumer withdraws from or otherwise terminates the contract, the trader can no longer process such data, since the contract as legal basis for processing of the personal data will no longer exist.</w:t>
            </w:r>
          </w:p>
        </w:tc>
      </w:tr>
    </w:tbl>
    <w:p w:rsidR="002430DD" w:rsidRDefault="002430DD">
      <w:pPr>
        <w:rPr>
          <w:rFonts w:ascii="Arial" w:eastAsia="Arial" w:hAnsi="Arial"/>
          <w:noProof/>
          <w:color w:val="58595B"/>
          <w:sz w:val="22"/>
        </w:rPr>
      </w:pPr>
    </w:p>
    <w:p w:rsidR="002430DD" w:rsidRDefault="0008761B">
      <w:pPr>
        <w:pStyle w:val="Heading2"/>
        <w:rPr>
          <w:noProof/>
        </w:rPr>
      </w:pPr>
      <w:bookmarkStart w:id="414" w:name="_Toc506819320"/>
      <w:bookmarkStart w:id="415" w:name="_Toc506998759"/>
      <w:bookmarkStart w:id="416" w:name="_Toc507075851"/>
      <w:bookmarkStart w:id="417" w:name="_Toc507080595"/>
      <w:bookmarkStart w:id="418" w:name="_Toc507591881"/>
      <w:bookmarkStart w:id="419" w:name="_Toc510018321"/>
      <w:r>
        <w:rPr>
          <w:noProof/>
        </w:rPr>
        <w:t>3. Stakeho</w:t>
      </w:r>
      <w:r>
        <w:rPr>
          <w:noProof/>
        </w:rPr>
        <w:t>lder views</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rsidR="002430DD" w:rsidRDefault="0008761B">
      <w:pPr>
        <w:keepNext/>
        <w:rPr>
          <w:noProof/>
        </w:rPr>
      </w:pPr>
      <w:r>
        <w:rPr>
          <w:noProof/>
          <w:lang w:val="en-GB"/>
        </w:rPr>
        <w:t xml:space="preserve">In the </w:t>
      </w:r>
      <w:r>
        <w:rPr>
          <w:noProof/>
        </w:rPr>
        <w:t>public consultation almost 70% of individuals (58 out of 87) indicated that the lack of pre-contractual information and the right of withdrawal is problematic and can create harm for consumers when using "free" digital services cross-bord</w:t>
      </w:r>
      <w:r>
        <w:rPr>
          <w:noProof/>
        </w:rPr>
        <w:t>er.</w:t>
      </w:r>
      <w:r>
        <w:rPr>
          <w:noProof/>
          <w:vertAlign w:val="superscript"/>
        </w:rPr>
        <w:footnoteReference w:id="37"/>
      </w:r>
      <w:r>
        <w:rPr>
          <w:noProof/>
        </w:rPr>
        <w:t xml:space="preserve"> This was also strongly confirmed by 27 respondent consumer associations in the same consultation, where almost 100% of them strongly/tend to agree that consumers suffer harm when using "free" digital services, due to lack of pre</w:t>
      </w:r>
      <w:r>
        <w:rPr>
          <w:noProof/>
        </w:rPr>
        <w:noBreakHyphen/>
        <w:t>contractual informatio</w:t>
      </w:r>
      <w:r>
        <w:rPr>
          <w:noProof/>
        </w:rPr>
        <w:t>n and right of withdrawal.</w:t>
      </w:r>
      <w:r>
        <w:rPr>
          <w:noProof/>
          <w:vertAlign w:val="superscript"/>
        </w:rPr>
        <w:footnoteReference w:id="38"/>
      </w:r>
      <w:r>
        <w:rPr>
          <w:noProof/>
        </w:rPr>
        <w:t xml:space="preserve"> 19 of 27 MS authorities (70,4%) and 16 of 26 MS authorities (61,5%) strongly/tend to agree that consumers suffer harm when using "free" digital services, due to lack of pre</w:t>
      </w:r>
      <w:r>
        <w:rPr>
          <w:noProof/>
        </w:rPr>
        <w:noBreakHyphen/>
        <w:t>contractual information and right of withdrawal. Busine</w:t>
      </w:r>
      <w:r>
        <w:rPr>
          <w:noProof/>
        </w:rPr>
        <w:t>ss associations were not supportive, while companies expressed mixed views: 32 out of 62 and 32 out of 57 responding business associations strongly/tend to disagree that consumers suffer detriment due to respectively lack of pre-contractual information and</w:t>
      </w:r>
      <w:r>
        <w:rPr>
          <w:noProof/>
        </w:rPr>
        <w:t xml:space="preserve"> withdrawal right. 18 out of 54 and 18 out of 53 responding companies strongly/tend to disagree that consumers suffer detriment due to respectively lack of pre-contractual information and withdrawal right (respectively 16 and 17 (tend/strongly) agree).</w:t>
      </w:r>
    </w:p>
    <w:p w:rsidR="002430DD" w:rsidRDefault="0008761B">
      <w:pPr>
        <w:keepNext/>
        <w:rPr>
          <w:noProof/>
        </w:rPr>
      </w:pPr>
      <w:r>
        <w:rPr>
          <w:noProof/>
        </w:rPr>
        <w:t xml:space="preserve">In </w:t>
      </w:r>
      <w:r>
        <w:rPr>
          <w:noProof/>
        </w:rPr>
        <w:t>the OPC 48% of individuals (42 and 43 respectively), over 80% (22) of consumer associations and over 40% (11 and 13 respectively) of national authorities reported that "free" digital services would be used more often if consumers had the right to pre</w:t>
      </w:r>
      <w:r>
        <w:rPr>
          <w:noProof/>
        </w:rPr>
        <w:noBreakHyphen/>
        <w:t>contr</w:t>
      </w:r>
      <w:r>
        <w:rPr>
          <w:noProof/>
        </w:rPr>
        <w:t>actual information and to withdraw from such contracts.</w:t>
      </w:r>
    </w:p>
    <w:p w:rsidR="002430DD" w:rsidRDefault="0008761B">
      <w:pPr>
        <w:keepNext/>
        <w:rPr>
          <w:noProof/>
        </w:rPr>
      </w:pPr>
      <w:r>
        <w:rPr>
          <w:noProof/>
        </w:rPr>
        <w:t>In the public consultation 7 out of 10 of responding business associations considered the current costs due to diverging national requirements as unreasonable.</w:t>
      </w:r>
      <w:r>
        <w:rPr>
          <w:rStyle w:val="FootnoteReference"/>
          <w:noProof/>
        </w:rPr>
        <w:footnoteReference w:id="39"/>
      </w:r>
      <w:r>
        <w:rPr>
          <w:noProof/>
        </w:rPr>
        <w:t xml:space="preserve"> In the SME test panel, SMEs gave estima</w:t>
      </w:r>
      <w:r>
        <w:rPr>
          <w:noProof/>
        </w:rPr>
        <w:t>tes regarding current one-off cost between zero and EUR 48 000 (up to 16% in terms of turnover). In the same consultation, estimates for annual regular/running costs due to diverging national requirements ranged from zero to EUR 20 000 (up to 6.67% in term</w:t>
      </w:r>
      <w:r>
        <w:rPr>
          <w:noProof/>
        </w:rPr>
        <w:t xml:space="preserve">s of turnover). </w:t>
      </w:r>
      <w:r>
        <w:rPr>
          <w:b/>
          <w:noProof/>
        </w:rPr>
        <w:t xml:space="preserve"> </w:t>
      </w:r>
    </w:p>
    <w:p w:rsidR="002430DD" w:rsidRDefault="0008761B">
      <w:pPr>
        <w:rPr>
          <w:noProof/>
        </w:rPr>
      </w:pPr>
      <w:r>
        <w:rPr>
          <w:noProof/>
        </w:rPr>
        <w:t>67% of companies (12 out of 18) and 42% of business associations (19 out 45) agree with the extension of the pre-contractual information requirements, while around 38% of companies (7 out of 18) are in favour of the extension of the right</w:t>
      </w:r>
      <w:r>
        <w:rPr>
          <w:noProof/>
        </w:rPr>
        <w:t xml:space="preserve"> of withdrawal; When asked about the key reasons for introducing pre-contractual information obligations for such services, overall the majority of respondents 82.1% of individuals, 93.8% of consumer organisations, 94.1% of MS authorities, 38.9% of traders</w:t>
      </w:r>
      <w:r>
        <w:rPr>
          <w:noProof/>
        </w:rPr>
        <w:t>, 26.9% of business associations highlighted the better protection of consumers of digital services with similar functionalities. Similarly, 75.9% of individuals, all responding consumer organisations, 81.3% of MS authorities, 35.3% of traders and 19.6% of</w:t>
      </w:r>
      <w:r>
        <w:rPr>
          <w:noProof/>
        </w:rPr>
        <w:t xml:space="preserve"> business associations considered the same benefit for the introduction of the right of withdrawal.</w:t>
      </w:r>
    </w:p>
    <w:p w:rsidR="002430DD" w:rsidRDefault="002430DD">
      <w:pPr>
        <w:rPr>
          <w:noProof/>
        </w:rPr>
      </w:pPr>
    </w:p>
    <w:p w:rsidR="002430DD" w:rsidRDefault="002430DD">
      <w:pPr>
        <w:rPr>
          <w:noProof/>
        </w:rPr>
      </w:pPr>
    </w:p>
    <w:p w:rsidR="002430DD" w:rsidRDefault="0008761B">
      <w:pPr>
        <w:keepNext/>
        <w:rPr>
          <w:b/>
          <w:noProof/>
        </w:rPr>
      </w:pPr>
      <w:r>
        <w:rPr>
          <w:b/>
          <w:noProof/>
        </w:rPr>
        <w:t>Public Consultation:</w:t>
      </w:r>
    </w:p>
    <w:p w:rsidR="002430DD" w:rsidRDefault="0008761B">
      <w:pPr>
        <w:keepNext/>
        <w:rPr>
          <w:noProof/>
        </w:rPr>
      </w:pPr>
      <w:r>
        <w:rPr>
          <w:b/>
          <w:noProof/>
        </w:rPr>
        <w:t>Question 36</w:t>
      </w:r>
      <w:r>
        <w:rPr>
          <w:noProof/>
        </w:rPr>
        <w:t xml:space="preserve"> (291 responses) "In your view, is it problematic that consumers do not have the right to be informed (before acquiring the service) about the main features of "free" online services (e.g. on functionality and interoperability with hardware and software)?:</w:t>
      </w:r>
      <w:r>
        <w:rPr>
          <w:noProof/>
        </w:rPr>
        <w:t xml:space="preserve"> Yes, it discourages consumers from acquiring such online services</w:t>
      </w:r>
    </w:p>
    <w:p w:rsidR="002430DD" w:rsidRDefault="0008761B">
      <w:pPr>
        <w:keepNext/>
        <w:rPr>
          <w:b/>
          <w:noProof/>
        </w:rPr>
      </w:pPr>
      <w:r>
        <w:rPr>
          <w:b/>
          <w:noProof/>
        </w:rPr>
        <w:t>Figure 3: lack of pre-contractual information about "free" digital services is problematic</w:t>
      </w:r>
    </w:p>
    <w:p w:rsidR="002430DD" w:rsidRDefault="0008761B">
      <w:pPr>
        <w:rPr>
          <w:noProof/>
        </w:rPr>
      </w:pPr>
      <w:r>
        <w:rPr>
          <w:noProof/>
          <w:lang w:val="en-GB" w:eastAsia="en-GB"/>
        </w:rPr>
        <w:drawing>
          <wp:inline distT="0" distB="0" distL="0" distR="0">
            <wp:extent cx="5986780" cy="3267710"/>
            <wp:effectExtent l="0" t="0" r="0" b="889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6780" cy="3267710"/>
                    </a:xfrm>
                    <a:prstGeom prst="rect">
                      <a:avLst/>
                    </a:prstGeom>
                    <a:noFill/>
                  </pic:spPr>
                </pic:pic>
              </a:graphicData>
            </a:graphic>
          </wp:inline>
        </w:drawing>
      </w:r>
    </w:p>
    <w:p w:rsidR="002430DD" w:rsidRDefault="002430DD">
      <w:pPr>
        <w:rPr>
          <w:noProof/>
        </w:rPr>
      </w:pPr>
    </w:p>
    <w:p w:rsidR="002430DD" w:rsidRDefault="0008761B">
      <w:pPr>
        <w:keepNext/>
        <w:rPr>
          <w:noProof/>
        </w:rPr>
      </w:pPr>
      <w:r>
        <w:rPr>
          <w:b/>
          <w:noProof/>
        </w:rPr>
        <w:t>Question 39</w:t>
      </w:r>
      <w:r>
        <w:rPr>
          <w:noProof/>
        </w:rPr>
        <w:t xml:space="preserve"> (194 responses) "Based on your professional experience, would consumers use "free" </w:t>
      </w:r>
      <w:r>
        <w:rPr>
          <w:noProof/>
        </w:rPr>
        <w:t>online services more often if they had the right to be informed (before acquiring the service) about the main features of the service (e.g. on functionality and interoperability with hardware and software)?"</w:t>
      </w:r>
    </w:p>
    <w:p w:rsidR="002430DD" w:rsidRDefault="0008761B">
      <w:pPr>
        <w:keepNext/>
        <w:rPr>
          <w:noProof/>
        </w:rPr>
      </w:pPr>
      <w:r>
        <w:rPr>
          <w:b/>
          <w:noProof/>
        </w:rPr>
        <w:t>Figure 4: consumer use of "free" digital service</w:t>
      </w:r>
      <w:r>
        <w:rPr>
          <w:b/>
          <w:noProof/>
        </w:rPr>
        <w:t>s to increase if given pre-contractual information</w:t>
      </w:r>
    </w:p>
    <w:p w:rsidR="002430DD" w:rsidRDefault="0008761B">
      <w:pPr>
        <w:keepNext/>
        <w:rPr>
          <w:noProof/>
        </w:rPr>
      </w:pPr>
      <w:r>
        <w:rPr>
          <w:noProof/>
          <w:lang w:val="en-GB" w:eastAsia="en-GB"/>
        </w:rPr>
        <w:drawing>
          <wp:inline distT="0" distB="0" distL="0" distR="0">
            <wp:extent cx="5986780" cy="3274060"/>
            <wp:effectExtent l="0" t="0" r="0" b="254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6780" cy="3274060"/>
                    </a:xfrm>
                    <a:prstGeom prst="rect">
                      <a:avLst/>
                    </a:prstGeom>
                    <a:noFill/>
                  </pic:spPr>
                </pic:pic>
              </a:graphicData>
            </a:graphic>
          </wp:inline>
        </w:drawing>
      </w:r>
    </w:p>
    <w:p w:rsidR="002430DD" w:rsidRDefault="0008761B">
      <w:pPr>
        <w:keepNext/>
        <w:rPr>
          <w:noProof/>
        </w:rPr>
      </w:pPr>
      <w:r>
        <w:rPr>
          <w:b/>
          <w:noProof/>
        </w:rPr>
        <w:t>Question 40</w:t>
      </w:r>
      <w:r>
        <w:rPr>
          <w:noProof/>
        </w:rPr>
        <w:t xml:space="preserve"> (285 responses) "In your view, is it problematic that consumers do not have the right to cancel "free" online services within 14 days?: Yes, it discourages consumers from acquiring such onlin</w:t>
      </w:r>
      <w:r>
        <w:rPr>
          <w:noProof/>
        </w:rPr>
        <w:t>e services"</w:t>
      </w:r>
    </w:p>
    <w:p w:rsidR="002430DD" w:rsidRDefault="0008761B">
      <w:pPr>
        <w:keepNext/>
        <w:rPr>
          <w:b/>
          <w:noProof/>
        </w:rPr>
      </w:pPr>
      <w:r>
        <w:rPr>
          <w:b/>
          <w:noProof/>
        </w:rPr>
        <w:t>Figure 5: lack of right of withdrawal for "free" digital services is problematic</w:t>
      </w:r>
    </w:p>
    <w:p w:rsidR="002430DD" w:rsidRDefault="0008761B">
      <w:pPr>
        <w:keepNext/>
        <w:rPr>
          <w:noProof/>
        </w:rPr>
      </w:pPr>
      <w:r>
        <w:rPr>
          <w:noProof/>
          <w:lang w:val="en-GB" w:eastAsia="en-GB"/>
        </w:rPr>
        <w:drawing>
          <wp:inline distT="0" distB="0" distL="0" distR="0">
            <wp:extent cx="5986780" cy="3267710"/>
            <wp:effectExtent l="0" t="0" r="0" b="889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6780" cy="3267710"/>
                    </a:xfrm>
                    <a:prstGeom prst="rect">
                      <a:avLst/>
                    </a:prstGeom>
                    <a:noFill/>
                  </pic:spPr>
                </pic:pic>
              </a:graphicData>
            </a:graphic>
          </wp:inline>
        </w:drawing>
      </w:r>
    </w:p>
    <w:p w:rsidR="002430DD" w:rsidRDefault="002430DD">
      <w:pPr>
        <w:keepNext/>
        <w:rPr>
          <w:noProof/>
        </w:rPr>
      </w:pPr>
    </w:p>
    <w:p w:rsidR="002430DD" w:rsidRDefault="0008761B">
      <w:pPr>
        <w:keepNext/>
        <w:rPr>
          <w:noProof/>
        </w:rPr>
      </w:pPr>
      <w:r>
        <w:rPr>
          <w:b/>
          <w:noProof/>
        </w:rPr>
        <w:t>Question 43</w:t>
      </w:r>
      <w:r>
        <w:rPr>
          <w:noProof/>
        </w:rPr>
        <w:t xml:space="preserve"> (201 responses) "Based on your professional experience, would consumers use "free" online services more often if they had the right to cancel the se</w:t>
      </w:r>
      <w:r>
        <w:rPr>
          <w:noProof/>
        </w:rPr>
        <w:t>rvice within 14 days after acquiring it."</w:t>
      </w:r>
    </w:p>
    <w:p w:rsidR="002430DD" w:rsidRDefault="0008761B">
      <w:pPr>
        <w:keepNext/>
        <w:jc w:val="left"/>
        <w:rPr>
          <w:noProof/>
        </w:rPr>
      </w:pPr>
      <w:r>
        <w:rPr>
          <w:b/>
          <w:noProof/>
        </w:rPr>
        <w:t>Figure 6: consumer use of "free" digital services to increase if given right of withdrawal</w:t>
      </w:r>
      <w:r>
        <w:rPr>
          <w:noProof/>
          <w:lang w:eastAsia="en-GB"/>
        </w:rPr>
        <w:t xml:space="preserve"> </w:t>
      </w:r>
      <w:r>
        <w:rPr>
          <w:noProof/>
          <w:lang w:val="en-GB" w:eastAsia="en-GB"/>
        </w:rPr>
        <w:drawing>
          <wp:inline distT="0" distB="0" distL="0" distR="0">
            <wp:extent cx="5919470" cy="3230880"/>
            <wp:effectExtent l="0" t="0" r="5080" b="762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9470" cy="3230880"/>
                    </a:xfrm>
                    <a:prstGeom prst="rect">
                      <a:avLst/>
                    </a:prstGeom>
                    <a:noFill/>
                  </pic:spPr>
                </pic:pic>
              </a:graphicData>
            </a:graphic>
          </wp:inline>
        </w:drawing>
      </w:r>
    </w:p>
    <w:p w:rsidR="002430DD" w:rsidRDefault="0008761B">
      <w:pPr>
        <w:keepNext/>
        <w:rPr>
          <w:noProof/>
        </w:rPr>
      </w:pPr>
      <w:r>
        <w:rPr>
          <w:b/>
          <w:noProof/>
        </w:rPr>
        <w:t>Question 81</w:t>
      </w:r>
      <w:r>
        <w:rPr>
          <w:noProof/>
        </w:rPr>
        <w:t xml:space="preserve"> (134 responses) "In your opinion, should consumers benefit from the rights listed below when using "free" onl</w:t>
      </w:r>
      <w:r>
        <w:rPr>
          <w:noProof/>
        </w:rPr>
        <w:t>ine services?: The right to pre-contractual information (e.g. about functionality and interoperability of the service with hardware and software)".</w:t>
      </w:r>
    </w:p>
    <w:p w:rsidR="002430DD" w:rsidRDefault="0008761B">
      <w:pPr>
        <w:rPr>
          <w:b/>
          <w:noProof/>
        </w:rPr>
      </w:pPr>
      <w:r>
        <w:rPr>
          <w:b/>
          <w:noProof/>
        </w:rPr>
        <w:t>Figure 7: should consumers have pre-contractual information about "free" digital services</w:t>
      </w:r>
    </w:p>
    <w:p w:rsidR="002430DD" w:rsidRDefault="0008761B">
      <w:pPr>
        <w:rPr>
          <w:noProof/>
        </w:rPr>
      </w:pPr>
      <w:r>
        <w:rPr>
          <w:noProof/>
          <w:lang w:val="en-GB" w:eastAsia="en-GB"/>
        </w:rPr>
        <w:drawing>
          <wp:inline distT="0" distB="0" distL="0" distR="0">
            <wp:extent cx="5981700" cy="3000375"/>
            <wp:effectExtent l="0" t="0" r="0" b="9525"/>
            <wp:docPr id="9" name="Picture 9" descr="cid:image004.png@01D3AC00.6E401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cid:image004.png@01D3AC00.6E401FB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981700" cy="3000375"/>
                    </a:xfrm>
                    <a:prstGeom prst="rect">
                      <a:avLst/>
                    </a:prstGeom>
                    <a:noFill/>
                    <a:ln>
                      <a:noFill/>
                    </a:ln>
                  </pic:spPr>
                </pic:pic>
              </a:graphicData>
            </a:graphic>
          </wp:inline>
        </w:drawing>
      </w:r>
    </w:p>
    <w:p w:rsidR="002430DD" w:rsidRDefault="0008761B">
      <w:pPr>
        <w:keepNext/>
        <w:rPr>
          <w:noProof/>
        </w:rPr>
      </w:pPr>
      <w:r>
        <w:rPr>
          <w:b/>
          <w:noProof/>
        </w:rPr>
        <w:t>Question 81</w:t>
      </w:r>
      <w:r>
        <w:rPr>
          <w:noProof/>
        </w:rPr>
        <w:t xml:space="preserve"> (134</w:t>
      </w:r>
      <w:r>
        <w:rPr>
          <w:noProof/>
        </w:rPr>
        <w:t xml:space="preserve"> responses) "In your opinion, should consumers benefit from the rights listed below when using "free" online services?: The 14-day right of withdrawal (possibility to cancel the contract)".</w:t>
      </w:r>
    </w:p>
    <w:p w:rsidR="002430DD" w:rsidRDefault="0008761B">
      <w:pPr>
        <w:keepNext/>
        <w:rPr>
          <w:b/>
          <w:noProof/>
        </w:rPr>
      </w:pPr>
      <w:r>
        <w:rPr>
          <w:b/>
          <w:noProof/>
        </w:rPr>
        <w:t>Figure 8: should consumers have the right of withdrawal for "free"</w:t>
      </w:r>
      <w:r>
        <w:rPr>
          <w:b/>
          <w:noProof/>
        </w:rPr>
        <w:t xml:space="preserve"> digital services</w:t>
      </w:r>
    </w:p>
    <w:p w:rsidR="002430DD" w:rsidRDefault="0008761B">
      <w:pPr>
        <w:rPr>
          <w:noProof/>
        </w:rPr>
      </w:pPr>
      <w:r>
        <w:rPr>
          <w:noProof/>
          <w:lang w:val="en-GB" w:eastAsia="en-GB"/>
        </w:rPr>
        <w:drawing>
          <wp:inline distT="0" distB="0" distL="0" distR="0">
            <wp:extent cx="5986780" cy="238379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6780" cy="2383790"/>
                    </a:xfrm>
                    <a:prstGeom prst="rect">
                      <a:avLst/>
                    </a:prstGeom>
                    <a:noFill/>
                  </pic:spPr>
                </pic:pic>
              </a:graphicData>
            </a:graphic>
          </wp:inline>
        </w:drawing>
      </w:r>
    </w:p>
    <w:p w:rsidR="002430DD" w:rsidRDefault="0008761B">
      <w:pPr>
        <w:keepNext/>
        <w:rPr>
          <w:noProof/>
        </w:rPr>
      </w:pPr>
      <w:r>
        <w:rPr>
          <w:b/>
          <w:noProof/>
        </w:rPr>
        <w:t>Question 81</w:t>
      </w:r>
      <w:r>
        <w:rPr>
          <w:noProof/>
        </w:rPr>
        <w:t xml:space="preserve"> (44 responses) "In your opinion, should consumers benefit from the rights listed below when using "free" online services?: Other".</w:t>
      </w:r>
    </w:p>
    <w:p w:rsidR="002430DD" w:rsidRDefault="0008761B">
      <w:pPr>
        <w:rPr>
          <w:b/>
          <w:noProof/>
        </w:rPr>
      </w:pPr>
      <w:r>
        <w:rPr>
          <w:b/>
          <w:noProof/>
        </w:rPr>
        <w:t>Figure 9: should consumers have other rights for "free" digital services</w:t>
      </w:r>
    </w:p>
    <w:p w:rsidR="002430DD" w:rsidRDefault="0008761B">
      <w:pPr>
        <w:rPr>
          <w:noProof/>
        </w:rPr>
      </w:pPr>
      <w:r>
        <w:rPr>
          <w:noProof/>
          <w:lang w:val="en-GB" w:eastAsia="en-GB"/>
        </w:rPr>
        <w:drawing>
          <wp:inline distT="0" distB="0" distL="0" distR="0">
            <wp:extent cx="5981700" cy="2381250"/>
            <wp:effectExtent l="0" t="0" r="0" b="0"/>
            <wp:docPr id="22" name="Chart 1" descr="cid:image007.png@01D3AC00.6E401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7.png@01D3AC00.6E401FB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981700" cy="2381250"/>
                    </a:xfrm>
                    <a:prstGeom prst="rect">
                      <a:avLst/>
                    </a:prstGeom>
                    <a:noFill/>
                    <a:ln>
                      <a:noFill/>
                    </a:ln>
                  </pic:spPr>
                </pic:pic>
              </a:graphicData>
            </a:graphic>
          </wp:inline>
        </w:drawing>
      </w:r>
    </w:p>
    <w:p w:rsidR="002430DD" w:rsidRDefault="0008761B">
      <w:pPr>
        <w:keepNext/>
        <w:rPr>
          <w:noProof/>
        </w:rPr>
      </w:pPr>
      <w:r>
        <w:rPr>
          <w:b/>
          <w:noProof/>
        </w:rPr>
        <w:t>Question 83</w:t>
      </w:r>
      <w:r>
        <w:rPr>
          <w:noProof/>
        </w:rPr>
        <w:t xml:space="preserve"> (129 responses) "Why would it be important that consumers have a right to pre-contractual information for "free" online services?: To achieve a more level playing field between digital traders using different business models (services provided with or wit</w:t>
      </w:r>
      <w:r>
        <w:rPr>
          <w:noProof/>
        </w:rPr>
        <w:t>hout payment of money)".</w:t>
      </w:r>
    </w:p>
    <w:p w:rsidR="002430DD" w:rsidRDefault="0008761B">
      <w:pPr>
        <w:keepNext/>
        <w:rPr>
          <w:b/>
          <w:noProof/>
        </w:rPr>
      </w:pPr>
      <w:r>
        <w:rPr>
          <w:b/>
          <w:noProof/>
        </w:rPr>
        <w:t>Figure 10: impact of pre-contractual information for a more level playing field</w:t>
      </w:r>
    </w:p>
    <w:p w:rsidR="002430DD" w:rsidRDefault="0008761B">
      <w:pPr>
        <w:keepNext/>
        <w:rPr>
          <w:noProof/>
        </w:rPr>
      </w:pPr>
      <w:r>
        <w:rPr>
          <w:noProof/>
          <w:lang w:val="en-GB" w:eastAsia="en-GB"/>
        </w:rPr>
        <w:drawing>
          <wp:inline distT="0" distB="0" distL="0" distR="0">
            <wp:extent cx="5986780" cy="238379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6780" cy="2383790"/>
                    </a:xfrm>
                    <a:prstGeom prst="rect">
                      <a:avLst/>
                    </a:prstGeom>
                    <a:noFill/>
                  </pic:spPr>
                </pic:pic>
              </a:graphicData>
            </a:graphic>
          </wp:inline>
        </w:drawing>
      </w:r>
    </w:p>
    <w:p w:rsidR="002430DD" w:rsidRDefault="0008761B">
      <w:pPr>
        <w:rPr>
          <w:noProof/>
        </w:rPr>
      </w:pPr>
      <w:r>
        <w:rPr>
          <w:b/>
          <w:noProof/>
        </w:rPr>
        <w:t>Question 83</w:t>
      </w:r>
      <w:r>
        <w:rPr>
          <w:noProof/>
        </w:rPr>
        <w:t xml:space="preserve"> (130 responses) "Why would it be important that consumers have a right to pre-contractual information for "free" online services?: To bet</w:t>
      </w:r>
      <w:r>
        <w:rPr>
          <w:noProof/>
        </w:rPr>
        <w:t>ter protect the consumers of services with similar functionalities".</w:t>
      </w:r>
    </w:p>
    <w:p w:rsidR="002430DD" w:rsidRDefault="0008761B">
      <w:pPr>
        <w:rPr>
          <w:b/>
          <w:noProof/>
        </w:rPr>
      </w:pPr>
      <w:r>
        <w:rPr>
          <w:b/>
          <w:noProof/>
        </w:rPr>
        <w:t>Figure 11: impact of pre-contractual information on consumer protection for services with similar functionalities</w:t>
      </w:r>
    </w:p>
    <w:p w:rsidR="002430DD" w:rsidRDefault="0008761B">
      <w:pPr>
        <w:rPr>
          <w:noProof/>
        </w:rPr>
      </w:pPr>
      <w:r>
        <w:rPr>
          <w:noProof/>
          <w:lang w:val="en-GB" w:eastAsia="en-GB"/>
        </w:rPr>
        <w:drawing>
          <wp:inline distT="0" distB="0" distL="0" distR="0">
            <wp:extent cx="5986780" cy="238379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6780" cy="2383790"/>
                    </a:xfrm>
                    <a:prstGeom prst="rect">
                      <a:avLst/>
                    </a:prstGeom>
                    <a:noFill/>
                  </pic:spPr>
                </pic:pic>
              </a:graphicData>
            </a:graphic>
          </wp:inline>
        </w:drawing>
      </w:r>
    </w:p>
    <w:p w:rsidR="002430DD" w:rsidRDefault="0008761B">
      <w:pPr>
        <w:keepNext/>
        <w:rPr>
          <w:noProof/>
        </w:rPr>
      </w:pPr>
      <w:r>
        <w:rPr>
          <w:b/>
          <w:noProof/>
        </w:rPr>
        <w:t>Question 83</w:t>
      </w:r>
      <w:r>
        <w:rPr>
          <w:noProof/>
        </w:rPr>
        <w:t xml:space="preserve"> (131 responses) "Why would it be important that consumers have a right to pre-contractual information for "free" online services?: To ensure better synergies between EU consumer protection and the new EU personal data protection rules".</w:t>
      </w:r>
    </w:p>
    <w:p w:rsidR="002430DD" w:rsidRDefault="0008761B">
      <w:pPr>
        <w:keepNext/>
        <w:rPr>
          <w:b/>
          <w:noProof/>
        </w:rPr>
      </w:pPr>
      <w:r>
        <w:rPr>
          <w:b/>
          <w:noProof/>
        </w:rPr>
        <w:t xml:space="preserve">Figure 12: impact </w:t>
      </w:r>
      <w:r>
        <w:rPr>
          <w:b/>
          <w:noProof/>
        </w:rPr>
        <w:t>of pre-contractual information for better synergies with EU consumer protection and data protection rules</w:t>
      </w:r>
    </w:p>
    <w:p w:rsidR="002430DD" w:rsidRDefault="0008761B">
      <w:pPr>
        <w:rPr>
          <w:noProof/>
        </w:rPr>
      </w:pPr>
      <w:r>
        <w:rPr>
          <w:noProof/>
          <w:lang w:val="en-GB" w:eastAsia="en-GB"/>
        </w:rPr>
        <w:drawing>
          <wp:inline distT="0" distB="0" distL="0" distR="0">
            <wp:extent cx="5986780" cy="238379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6780" cy="2383790"/>
                    </a:xfrm>
                    <a:prstGeom prst="rect">
                      <a:avLst/>
                    </a:prstGeom>
                    <a:noFill/>
                  </pic:spPr>
                </pic:pic>
              </a:graphicData>
            </a:graphic>
          </wp:inline>
        </w:drawing>
      </w:r>
    </w:p>
    <w:p w:rsidR="002430DD" w:rsidRDefault="0008761B">
      <w:pPr>
        <w:keepNext/>
        <w:rPr>
          <w:noProof/>
        </w:rPr>
      </w:pPr>
      <w:r>
        <w:rPr>
          <w:b/>
          <w:noProof/>
        </w:rPr>
        <w:t>Question 85</w:t>
      </w:r>
      <w:r>
        <w:rPr>
          <w:noProof/>
        </w:rPr>
        <w:t xml:space="preserve"> (128 responses) "Why would it be important that consumers have a possibility to withdraw from contracts for "free" online services?: To </w:t>
      </w:r>
      <w:r>
        <w:rPr>
          <w:noProof/>
        </w:rPr>
        <w:t>achieve a more level playing field between digital traders using different business models (services provided with or without payment of money)".</w:t>
      </w:r>
    </w:p>
    <w:p w:rsidR="002430DD" w:rsidRDefault="0008761B">
      <w:pPr>
        <w:rPr>
          <w:b/>
          <w:noProof/>
        </w:rPr>
      </w:pPr>
      <w:r>
        <w:rPr>
          <w:b/>
          <w:noProof/>
        </w:rPr>
        <w:t>Figure 13: impact of right of withdrawal on a more level playing field</w:t>
      </w:r>
    </w:p>
    <w:p w:rsidR="002430DD" w:rsidRDefault="0008761B">
      <w:pPr>
        <w:rPr>
          <w:noProof/>
        </w:rPr>
      </w:pPr>
      <w:r>
        <w:rPr>
          <w:noProof/>
          <w:lang w:val="en-GB" w:eastAsia="en-GB"/>
        </w:rPr>
        <w:drawing>
          <wp:inline distT="0" distB="0" distL="0" distR="0">
            <wp:extent cx="5986780" cy="238379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6780" cy="2383790"/>
                    </a:xfrm>
                    <a:prstGeom prst="rect">
                      <a:avLst/>
                    </a:prstGeom>
                    <a:noFill/>
                  </pic:spPr>
                </pic:pic>
              </a:graphicData>
            </a:graphic>
          </wp:inline>
        </w:drawing>
      </w:r>
    </w:p>
    <w:p w:rsidR="002430DD" w:rsidRDefault="0008761B">
      <w:pPr>
        <w:keepNext/>
        <w:rPr>
          <w:noProof/>
        </w:rPr>
      </w:pPr>
      <w:r>
        <w:rPr>
          <w:b/>
          <w:noProof/>
        </w:rPr>
        <w:t>Question 85</w:t>
      </w:r>
      <w:r>
        <w:rPr>
          <w:noProof/>
        </w:rPr>
        <w:t xml:space="preserve"> (128 responses) "Why woul</w:t>
      </w:r>
      <w:r>
        <w:rPr>
          <w:noProof/>
        </w:rPr>
        <w:t>d it be important that consumers have a possibility to withdraw from contracts for "free" online services?: To better protect the consumers of services with similar functionalities".</w:t>
      </w:r>
    </w:p>
    <w:p w:rsidR="002430DD" w:rsidRDefault="002430DD">
      <w:pPr>
        <w:rPr>
          <w:b/>
          <w:noProof/>
        </w:rPr>
      </w:pPr>
    </w:p>
    <w:p w:rsidR="002430DD" w:rsidRDefault="002430DD">
      <w:pPr>
        <w:rPr>
          <w:b/>
          <w:noProof/>
        </w:rPr>
      </w:pPr>
    </w:p>
    <w:p w:rsidR="002430DD" w:rsidRDefault="002430DD">
      <w:pPr>
        <w:rPr>
          <w:b/>
          <w:noProof/>
        </w:rPr>
      </w:pPr>
    </w:p>
    <w:p w:rsidR="002430DD" w:rsidRDefault="002430DD">
      <w:pPr>
        <w:rPr>
          <w:b/>
          <w:noProof/>
        </w:rPr>
      </w:pPr>
    </w:p>
    <w:p w:rsidR="002430DD" w:rsidRDefault="002430DD">
      <w:pPr>
        <w:rPr>
          <w:b/>
          <w:noProof/>
        </w:rPr>
      </w:pPr>
    </w:p>
    <w:p w:rsidR="002430DD" w:rsidRDefault="002430DD">
      <w:pPr>
        <w:rPr>
          <w:b/>
          <w:noProof/>
        </w:rPr>
      </w:pPr>
    </w:p>
    <w:p w:rsidR="002430DD" w:rsidRDefault="0008761B">
      <w:pPr>
        <w:rPr>
          <w:b/>
          <w:noProof/>
        </w:rPr>
      </w:pPr>
      <w:r>
        <w:rPr>
          <w:b/>
          <w:noProof/>
        </w:rPr>
        <w:t>Figure 14: impact of right of withdrawal on consumer protection for</w:t>
      </w:r>
      <w:r>
        <w:rPr>
          <w:b/>
          <w:noProof/>
        </w:rPr>
        <w:t xml:space="preserve"> services with similar functionalities</w:t>
      </w:r>
    </w:p>
    <w:p w:rsidR="002430DD" w:rsidRDefault="0008761B">
      <w:pPr>
        <w:rPr>
          <w:b/>
          <w:noProof/>
        </w:rPr>
      </w:pPr>
      <w:r>
        <w:rPr>
          <w:noProof/>
          <w:lang w:val="en-GB" w:eastAsia="en-GB"/>
        </w:rPr>
        <w:drawing>
          <wp:inline distT="0" distB="0" distL="0" distR="0">
            <wp:extent cx="5972810" cy="2369185"/>
            <wp:effectExtent l="0" t="0" r="27940" b="1206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430DD" w:rsidRDefault="0008761B">
      <w:pPr>
        <w:keepNext/>
        <w:rPr>
          <w:noProof/>
        </w:rPr>
      </w:pPr>
      <w:r>
        <w:rPr>
          <w:b/>
          <w:noProof/>
        </w:rPr>
        <w:t>Question 85</w:t>
      </w:r>
      <w:r>
        <w:rPr>
          <w:noProof/>
        </w:rPr>
        <w:t xml:space="preserve"> (127 responses) "Why would it be important that consumers have a possibility to withdraw from contracts for "free" online services?: To ensure better synergies between EU consumer protection and the new </w:t>
      </w:r>
      <w:r>
        <w:rPr>
          <w:noProof/>
        </w:rPr>
        <w:t>EU personal data protection rules".</w:t>
      </w:r>
    </w:p>
    <w:p w:rsidR="002430DD" w:rsidRDefault="0008761B">
      <w:pPr>
        <w:rPr>
          <w:noProof/>
          <w:lang w:eastAsia="en-GB"/>
        </w:rPr>
      </w:pPr>
      <w:r>
        <w:rPr>
          <w:b/>
          <w:noProof/>
        </w:rPr>
        <w:t>Figure 15: impact of right of withdrawal for better synergies with EU consumer protection and data protection rules</w:t>
      </w:r>
      <w:r>
        <w:rPr>
          <w:noProof/>
          <w:lang w:eastAsia="en-GB"/>
        </w:rPr>
        <w:t xml:space="preserve"> </w:t>
      </w:r>
    </w:p>
    <w:p w:rsidR="002430DD" w:rsidRDefault="0008761B">
      <w:pPr>
        <w:rPr>
          <w:noProof/>
        </w:rPr>
      </w:pPr>
      <w:r>
        <w:rPr>
          <w:noProof/>
          <w:lang w:val="en-GB" w:eastAsia="en-GB"/>
        </w:rPr>
        <w:drawing>
          <wp:inline distT="0" distB="0" distL="0" distR="0">
            <wp:extent cx="5981700" cy="2381250"/>
            <wp:effectExtent l="0" t="0" r="0" b="0"/>
            <wp:docPr id="25" name="Chart 2" descr="cid:image012.png@01D3AC00.6E401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12.png@01D3AC00.6E401FB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981700" cy="2381250"/>
                    </a:xfrm>
                    <a:prstGeom prst="rect">
                      <a:avLst/>
                    </a:prstGeom>
                    <a:noFill/>
                    <a:ln>
                      <a:noFill/>
                    </a:ln>
                  </pic:spPr>
                </pic:pic>
              </a:graphicData>
            </a:graphic>
          </wp:inline>
        </w:drawing>
      </w:r>
    </w:p>
    <w:p w:rsidR="002430DD" w:rsidRDefault="0008761B">
      <w:pPr>
        <w:rPr>
          <w:noProof/>
        </w:rPr>
      </w:pPr>
      <w:r>
        <w:rPr>
          <w:b/>
          <w:noProof/>
        </w:rPr>
        <w:t>Question 36 in the public consultation</w:t>
      </w:r>
      <w:r>
        <w:rPr>
          <w:noProof/>
        </w:rPr>
        <w:t>: In your view, is it problematic that consumers do not have th</w:t>
      </w:r>
      <w:r>
        <w:rPr>
          <w:noProof/>
        </w:rPr>
        <w:t xml:space="preserve">e right to be informed (before acquiring the service) about the main features of "free" online services (e.g. on functionality and interoperability with hardware and software)? </w:t>
      </w:r>
    </w:p>
    <w:p w:rsidR="002430DD" w:rsidRDefault="0008761B">
      <w:pPr>
        <w:rPr>
          <w:noProof/>
        </w:rPr>
      </w:pPr>
      <w:r>
        <w:rPr>
          <w:noProof/>
        </w:rPr>
        <w:t>[ID142] Yes, it creates harm for consumers including when they use services cr</w:t>
      </w:r>
      <w:r>
        <w:rPr>
          <w:noProof/>
        </w:rPr>
        <w:t>oss-border</w:t>
      </w:r>
    </w:p>
    <w:p w:rsidR="002430DD" w:rsidRDefault="0008761B">
      <w:pPr>
        <w:rPr>
          <w:noProof/>
        </w:rPr>
      </w:pPr>
      <w:r>
        <w:rPr>
          <w:noProof/>
        </w:rPr>
        <w:t>68% of individuals (58 out of 85 respondents) strongly/tend to agree that lack of pre-contractual information is problematic and creates harm when using "free" digital services cross-border; similar percentage applies for lack of a withdrawal ri</w:t>
      </w:r>
      <w:r>
        <w:rPr>
          <w:noProof/>
        </w:rPr>
        <w:t>ght: 66% of individuals (57 out of 86 respondents) strongly/tend to agree this being problematic.</w:t>
      </w:r>
    </w:p>
    <w:p w:rsidR="002430DD" w:rsidRDefault="0008761B">
      <w:pPr>
        <w:rPr>
          <w:noProof/>
        </w:rPr>
      </w:pPr>
      <w:r>
        <w:rPr>
          <w:noProof/>
        </w:rPr>
        <w:t xml:space="preserve">[ID143] Yes, it discourages consumers from acquiring such online services </w:t>
      </w:r>
    </w:p>
    <w:p w:rsidR="002430DD" w:rsidRDefault="0008761B">
      <w:pPr>
        <w:pStyle w:val="FootnoteText"/>
        <w:keepLines/>
        <w:rPr>
          <w:noProof/>
          <w:sz w:val="24"/>
          <w:szCs w:val="24"/>
        </w:rPr>
      </w:pPr>
      <w:r>
        <w:rPr>
          <w:noProof/>
          <w:sz w:val="24"/>
          <w:szCs w:val="24"/>
        </w:rPr>
        <w:t>24 out of 27 responding consumer authorities strongly/tend to agree that lack of pr</w:t>
      </w:r>
      <w:r>
        <w:rPr>
          <w:noProof/>
          <w:sz w:val="24"/>
          <w:szCs w:val="24"/>
        </w:rPr>
        <w:t>e-contractual information discourage consumers from acquiring "free" digital services.</w:t>
      </w:r>
    </w:p>
    <w:p w:rsidR="002430DD" w:rsidRDefault="002430DD">
      <w:pPr>
        <w:rPr>
          <w:noProof/>
        </w:rPr>
      </w:pPr>
    </w:p>
    <w:p w:rsidR="002430DD" w:rsidRDefault="0008761B">
      <w:pPr>
        <w:rPr>
          <w:noProof/>
        </w:rPr>
      </w:pPr>
      <w:r>
        <w:rPr>
          <w:b/>
          <w:noProof/>
        </w:rPr>
        <w:t>Question 40 in the public consultation</w:t>
      </w:r>
      <w:r>
        <w:rPr>
          <w:noProof/>
        </w:rPr>
        <w:t>: In your view, is it problematic that consumers do not have the right to cancel "free" online services within 14 days?</w:t>
      </w:r>
    </w:p>
    <w:p w:rsidR="002430DD" w:rsidRDefault="0008761B">
      <w:pPr>
        <w:rPr>
          <w:noProof/>
        </w:rPr>
      </w:pPr>
      <w:r>
        <w:rPr>
          <w:noProof/>
        </w:rPr>
        <w:t>[ ID210] Y</w:t>
      </w:r>
      <w:r>
        <w:rPr>
          <w:noProof/>
        </w:rPr>
        <w:t>es, it creates harm for consumers including when they use services cross-border.</w:t>
      </w:r>
    </w:p>
    <w:p w:rsidR="002430DD" w:rsidRDefault="0008761B">
      <w:pPr>
        <w:rPr>
          <w:noProof/>
        </w:rPr>
      </w:pPr>
      <w:r>
        <w:rPr>
          <w:noProof/>
        </w:rPr>
        <w:t>66% of individuals (57 out of 86 respondents) strongly/tend to agree.</w:t>
      </w:r>
    </w:p>
    <w:p w:rsidR="002430DD" w:rsidRDefault="0008761B">
      <w:pPr>
        <w:rPr>
          <w:noProof/>
        </w:rPr>
      </w:pPr>
      <w:r>
        <w:rPr>
          <w:noProof/>
        </w:rPr>
        <w:t>[ID211] Yes, it discourages consumers from acquiring such online services</w:t>
      </w:r>
    </w:p>
    <w:p w:rsidR="002430DD" w:rsidRDefault="0008761B">
      <w:pPr>
        <w:pStyle w:val="FootnoteText"/>
        <w:keepLines/>
        <w:rPr>
          <w:noProof/>
          <w:sz w:val="24"/>
          <w:szCs w:val="24"/>
        </w:rPr>
      </w:pPr>
      <w:r>
        <w:rPr>
          <w:noProof/>
          <w:sz w:val="24"/>
          <w:szCs w:val="24"/>
        </w:rPr>
        <w:t xml:space="preserve">20 out of 27 responding </w:t>
      </w:r>
      <w:r>
        <w:rPr>
          <w:noProof/>
          <w:sz w:val="24"/>
          <w:szCs w:val="24"/>
        </w:rPr>
        <w:t>consumer authorities strongly/tend to agree that lack of right of withdrawal discourage consumers from acquiring "free" digital services.</w:t>
      </w:r>
    </w:p>
    <w:p w:rsidR="002430DD" w:rsidRDefault="002430DD">
      <w:pPr>
        <w:pStyle w:val="FootnoteText"/>
        <w:keepLines/>
        <w:rPr>
          <w:noProof/>
          <w:sz w:val="24"/>
          <w:szCs w:val="24"/>
        </w:rPr>
      </w:pPr>
    </w:p>
    <w:p w:rsidR="002430DD" w:rsidRDefault="0008761B">
      <w:pPr>
        <w:pStyle w:val="FootnoteText"/>
        <w:keepLines/>
        <w:rPr>
          <w:b/>
          <w:noProof/>
          <w:sz w:val="24"/>
          <w:szCs w:val="24"/>
        </w:rPr>
      </w:pPr>
      <w:r>
        <w:rPr>
          <w:b/>
          <w:noProof/>
          <w:sz w:val="24"/>
          <w:szCs w:val="24"/>
        </w:rPr>
        <w:t>SME panel consultation</w:t>
      </w:r>
    </w:p>
    <w:p w:rsidR="002430DD" w:rsidRDefault="002430DD">
      <w:pPr>
        <w:pStyle w:val="FootnoteText"/>
        <w:keepLines/>
        <w:rPr>
          <w:noProof/>
          <w:sz w:val="24"/>
          <w:szCs w:val="24"/>
        </w:rPr>
      </w:pPr>
    </w:p>
    <w:p w:rsidR="002430DD" w:rsidRDefault="0008761B">
      <w:pPr>
        <w:rPr>
          <w:noProof/>
        </w:rPr>
      </w:pPr>
      <w:r>
        <w:rPr>
          <w:b/>
          <w:noProof/>
        </w:rPr>
        <w:t>Question 3 in section C.3 of the SME panel consultation:</w:t>
      </w:r>
      <w:r>
        <w:rPr>
          <w:noProof/>
        </w:rPr>
        <w:t xml:space="preserve"> How much staff time or other resourc</w:t>
      </w:r>
      <w:r>
        <w:rPr>
          <w:noProof/>
        </w:rPr>
        <w:t>es does your enterprise need, when entering another EU country's market, for complying with national rules of the other Member State requiring you to give pre- contractual information to consumers and/or enabling them to withdraw from their "free" online s</w:t>
      </w:r>
      <w:r>
        <w:rPr>
          <w:noProof/>
        </w:rPr>
        <w:t>ervice contracts shortly after having concluded the contact (e.g. within 14 days)?</w:t>
      </w:r>
    </w:p>
    <w:p w:rsidR="002430DD" w:rsidRDefault="0008761B">
      <w:pPr>
        <w:rPr>
          <w:noProof/>
        </w:rPr>
      </w:pPr>
      <w:r>
        <w:rPr>
          <w:noProof/>
        </w:rPr>
        <w:t>One-off costs: Please estimate the one-off resources you need to invest in order to enter a new EU market, on average per Member State (e.g. checking compliance with nationa</w:t>
      </w:r>
      <w:r>
        <w:rPr>
          <w:noProof/>
        </w:rPr>
        <w:t xml:space="preserve">l rules and adjusting business practices as a result (e.g. update your website), costs of legal/technical advice). </w:t>
      </w:r>
    </w:p>
    <w:p w:rsidR="002430DD" w:rsidRDefault="0008761B">
      <w:pPr>
        <w:rPr>
          <w:noProof/>
        </w:rPr>
      </w:pPr>
      <w:r>
        <w:rPr>
          <w:noProof/>
        </w:rPr>
        <w:t>Regular costs: Please estimate the resources you need to invest on a regular basis to comply with different national rules, on average per c</w:t>
      </w:r>
      <w:r>
        <w:rPr>
          <w:noProof/>
        </w:rPr>
        <w:t xml:space="preserve">ountry (e.g. handling consumer complaints/ enquiries, monitoring national rules). </w:t>
      </w:r>
    </w:p>
    <w:p w:rsidR="002430DD" w:rsidRDefault="0008761B">
      <w:pPr>
        <w:rPr>
          <w:noProof/>
        </w:rPr>
      </w:pPr>
      <w:r>
        <w:rPr>
          <w:noProof/>
        </w:rPr>
        <w:t>Note: Please indicate staff time in working days, whereby 1 working day = 8 hours of staff time. Please do not consider staff time for translation. If no staff time is invol</w:t>
      </w:r>
      <w:r>
        <w:rPr>
          <w:noProof/>
        </w:rPr>
        <w:t>ved, indicate ‘0’</w:t>
      </w:r>
    </w:p>
    <w:p w:rsidR="002430DD" w:rsidRDefault="0008761B">
      <w:pPr>
        <w:rPr>
          <w:b/>
          <w:noProof/>
        </w:rPr>
      </w:pPr>
      <w:r>
        <w:rPr>
          <w:b/>
          <w:noProof/>
        </w:rPr>
        <w:t>Summary of responses:</w:t>
      </w:r>
    </w:p>
    <w:p w:rsidR="002430DD" w:rsidRDefault="0008761B">
      <w:pPr>
        <w:rPr>
          <w:noProof/>
        </w:rPr>
      </w:pPr>
      <w:r>
        <w:rPr>
          <w:noProof/>
        </w:rPr>
        <w:t>Costs have been obtained by converting full time equivalents using the standard cost model and the second highest ISCO level (ISCO 2 professionals), adding pecuniary costs estimates:</w:t>
      </w:r>
    </w:p>
    <w:p w:rsidR="002430DD" w:rsidRDefault="0008761B">
      <w:pPr>
        <w:pStyle w:val="BodyText"/>
        <w:keepNext/>
        <w:tabs>
          <w:tab w:val="left" w:pos="504"/>
        </w:tabs>
        <w:spacing w:before="47" w:line="317" w:lineRule="auto"/>
        <w:ind w:left="-57" w:right="1418"/>
        <w:rPr>
          <w:rFonts w:ascii="Times New Roman" w:eastAsiaTheme="minorHAnsi" w:hAnsi="Times New Roman"/>
          <w:noProof/>
          <w:sz w:val="24"/>
          <w:szCs w:val="24"/>
        </w:rPr>
      </w:pPr>
      <w:r>
        <w:rPr>
          <w:rFonts w:ascii="Times New Roman" w:eastAsiaTheme="minorHAnsi" w:hAnsi="Times New Roman"/>
          <w:noProof/>
          <w:sz w:val="24"/>
          <w:szCs w:val="24"/>
        </w:rPr>
        <w:t>One-off costs [ID2651 ID2652] pre</w:t>
      </w:r>
      <w:r>
        <w:rPr>
          <w:rFonts w:ascii="Times New Roman" w:eastAsiaTheme="minorHAnsi" w:hAnsi="Times New Roman"/>
          <w:noProof/>
          <w:sz w:val="24"/>
          <w:szCs w:val="24"/>
        </w:rPr>
        <w:t xml:space="preserve">-contractual information + right of withdrawal </w:t>
      </w:r>
    </w:p>
    <w:tbl>
      <w:tblPr>
        <w:tblStyle w:val="TableGrid"/>
        <w:tblW w:w="7196" w:type="dxa"/>
        <w:tblLook w:val="04A0" w:firstRow="1" w:lastRow="0" w:firstColumn="1" w:lastColumn="0" w:noHBand="0" w:noVBand="1"/>
      </w:tblPr>
      <w:tblGrid>
        <w:gridCol w:w="2285"/>
        <w:gridCol w:w="2746"/>
        <w:gridCol w:w="2165"/>
      </w:tblGrid>
      <w:tr w:rsidR="002430DD">
        <w:tc>
          <w:tcPr>
            <w:tcW w:w="2285" w:type="dxa"/>
          </w:tcPr>
          <w:p w:rsidR="002430DD" w:rsidRDefault="0008761B">
            <w:pPr>
              <w:rPr>
                <w:b/>
                <w:noProof/>
              </w:rPr>
            </w:pPr>
            <w:r>
              <w:rPr>
                <w:b/>
                <w:noProof/>
              </w:rPr>
              <w:t>Size class</w:t>
            </w:r>
          </w:p>
        </w:tc>
        <w:tc>
          <w:tcPr>
            <w:tcW w:w="2746" w:type="dxa"/>
          </w:tcPr>
          <w:p w:rsidR="002430DD" w:rsidRDefault="0008761B">
            <w:pPr>
              <w:rPr>
                <w:b/>
                <w:noProof/>
              </w:rPr>
            </w:pPr>
            <w:r>
              <w:rPr>
                <w:b/>
                <w:noProof/>
              </w:rPr>
              <w:t xml:space="preserve"> Range of estimated annual costs in Euro (median/mode)</w:t>
            </w:r>
          </w:p>
        </w:tc>
        <w:tc>
          <w:tcPr>
            <w:tcW w:w="2165" w:type="dxa"/>
          </w:tcPr>
          <w:p w:rsidR="002430DD" w:rsidRDefault="0008761B">
            <w:pPr>
              <w:rPr>
                <w:b/>
                <w:noProof/>
              </w:rPr>
            </w:pPr>
            <w:r>
              <w:rPr>
                <w:b/>
                <w:noProof/>
              </w:rPr>
              <w:t xml:space="preserve">Number of responses </w:t>
            </w:r>
          </w:p>
        </w:tc>
      </w:tr>
      <w:tr w:rsidR="002430DD">
        <w:tc>
          <w:tcPr>
            <w:tcW w:w="2285" w:type="dxa"/>
          </w:tcPr>
          <w:p w:rsidR="002430DD" w:rsidRDefault="0008761B">
            <w:pPr>
              <w:rPr>
                <w:b/>
                <w:noProof/>
              </w:rPr>
            </w:pPr>
            <w:r>
              <w:rPr>
                <w:b/>
                <w:noProof/>
              </w:rPr>
              <w:t>Micro</w:t>
            </w:r>
          </w:p>
        </w:tc>
        <w:tc>
          <w:tcPr>
            <w:tcW w:w="2746" w:type="dxa"/>
          </w:tcPr>
          <w:p w:rsidR="002430DD" w:rsidRDefault="0008761B">
            <w:pPr>
              <w:rPr>
                <w:noProof/>
              </w:rPr>
            </w:pPr>
            <w:r>
              <w:rPr>
                <w:noProof/>
              </w:rPr>
              <w:t>0 -  48 000 (0/0)</w:t>
            </w:r>
          </w:p>
        </w:tc>
        <w:tc>
          <w:tcPr>
            <w:tcW w:w="2165" w:type="dxa"/>
          </w:tcPr>
          <w:p w:rsidR="002430DD" w:rsidRDefault="0008761B">
            <w:pPr>
              <w:rPr>
                <w:noProof/>
              </w:rPr>
            </w:pPr>
            <w:r>
              <w:rPr>
                <w:noProof/>
              </w:rPr>
              <w:t>21</w:t>
            </w:r>
          </w:p>
        </w:tc>
      </w:tr>
      <w:tr w:rsidR="002430DD">
        <w:tc>
          <w:tcPr>
            <w:tcW w:w="2285" w:type="dxa"/>
          </w:tcPr>
          <w:p w:rsidR="002430DD" w:rsidRDefault="0008761B">
            <w:pPr>
              <w:rPr>
                <w:b/>
                <w:noProof/>
              </w:rPr>
            </w:pPr>
            <w:r>
              <w:rPr>
                <w:b/>
                <w:noProof/>
              </w:rPr>
              <w:t>Small</w:t>
            </w:r>
          </w:p>
        </w:tc>
        <w:tc>
          <w:tcPr>
            <w:tcW w:w="2746" w:type="dxa"/>
          </w:tcPr>
          <w:p w:rsidR="002430DD" w:rsidRDefault="0008761B">
            <w:pPr>
              <w:rPr>
                <w:noProof/>
              </w:rPr>
            </w:pPr>
            <w:r>
              <w:rPr>
                <w:noProof/>
              </w:rPr>
              <w:t>0 – 7 500 (1 146/0)</w:t>
            </w:r>
          </w:p>
        </w:tc>
        <w:tc>
          <w:tcPr>
            <w:tcW w:w="2165" w:type="dxa"/>
          </w:tcPr>
          <w:p w:rsidR="002430DD" w:rsidRDefault="0008761B">
            <w:pPr>
              <w:rPr>
                <w:noProof/>
              </w:rPr>
            </w:pPr>
            <w:r>
              <w:rPr>
                <w:noProof/>
              </w:rPr>
              <w:t>6</w:t>
            </w:r>
          </w:p>
        </w:tc>
      </w:tr>
      <w:tr w:rsidR="002430DD">
        <w:trPr>
          <w:trHeight w:val="321"/>
        </w:trPr>
        <w:tc>
          <w:tcPr>
            <w:tcW w:w="2285" w:type="dxa"/>
          </w:tcPr>
          <w:p w:rsidR="002430DD" w:rsidRDefault="0008761B">
            <w:pPr>
              <w:rPr>
                <w:b/>
                <w:noProof/>
              </w:rPr>
            </w:pPr>
            <w:r>
              <w:rPr>
                <w:b/>
                <w:noProof/>
              </w:rPr>
              <w:t>Medium</w:t>
            </w:r>
          </w:p>
        </w:tc>
        <w:tc>
          <w:tcPr>
            <w:tcW w:w="2746" w:type="dxa"/>
          </w:tcPr>
          <w:p w:rsidR="002430DD" w:rsidRDefault="0008761B">
            <w:pPr>
              <w:tabs>
                <w:tab w:val="center" w:pos="1482"/>
              </w:tabs>
              <w:rPr>
                <w:noProof/>
              </w:rPr>
            </w:pPr>
            <w:r>
              <w:rPr>
                <w:noProof/>
              </w:rPr>
              <w:t>N/A*</w:t>
            </w:r>
          </w:p>
        </w:tc>
        <w:tc>
          <w:tcPr>
            <w:tcW w:w="2165" w:type="dxa"/>
          </w:tcPr>
          <w:p w:rsidR="002430DD" w:rsidRDefault="0008761B">
            <w:pPr>
              <w:rPr>
                <w:noProof/>
              </w:rPr>
            </w:pPr>
            <w:r>
              <w:rPr>
                <w:noProof/>
              </w:rPr>
              <w:t>2</w:t>
            </w:r>
          </w:p>
        </w:tc>
      </w:tr>
      <w:tr w:rsidR="002430DD">
        <w:tc>
          <w:tcPr>
            <w:tcW w:w="2285" w:type="dxa"/>
          </w:tcPr>
          <w:p w:rsidR="002430DD" w:rsidRDefault="0008761B">
            <w:pPr>
              <w:rPr>
                <w:b/>
                <w:noProof/>
              </w:rPr>
            </w:pPr>
            <w:r>
              <w:rPr>
                <w:b/>
                <w:noProof/>
              </w:rPr>
              <w:t>Large</w:t>
            </w:r>
          </w:p>
        </w:tc>
        <w:tc>
          <w:tcPr>
            <w:tcW w:w="2746" w:type="dxa"/>
          </w:tcPr>
          <w:p w:rsidR="002430DD" w:rsidRDefault="0008761B">
            <w:pPr>
              <w:rPr>
                <w:noProof/>
              </w:rPr>
            </w:pPr>
            <w:r>
              <w:rPr>
                <w:noProof/>
              </w:rPr>
              <w:t>N/A</w:t>
            </w:r>
          </w:p>
        </w:tc>
        <w:tc>
          <w:tcPr>
            <w:tcW w:w="2165" w:type="dxa"/>
          </w:tcPr>
          <w:p w:rsidR="002430DD" w:rsidRDefault="0008761B">
            <w:pPr>
              <w:rPr>
                <w:noProof/>
              </w:rPr>
            </w:pPr>
            <w:r>
              <w:rPr>
                <w:noProof/>
              </w:rPr>
              <w:t>0</w:t>
            </w:r>
          </w:p>
        </w:tc>
      </w:tr>
      <w:tr w:rsidR="002430DD">
        <w:tc>
          <w:tcPr>
            <w:tcW w:w="2285" w:type="dxa"/>
          </w:tcPr>
          <w:p w:rsidR="002430DD" w:rsidRDefault="0008761B">
            <w:pPr>
              <w:rPr>
                <w:noProof/>
              </w:rPr>
            </w:pPr>
            <w:r>
              <w:rPr>
                <w:noProof/>
              </w:rPr>
              <w:t>SMEs</w:t>
            </w:r>
          </w:p>
        </w:tc>
        <w:tc>
          <w:tcPr>
            <w:tcW w:w="2746" w:type="dxa"/>
          </w:tcPr>
          <w:p w:rsidR="002430DD" w:rsidRDefault="0008761B">
            <w:pPr>
              <w:rPr>
                <w:noProof/>
              </w:rPr>
            </w:pPr>
            <w:r>
              <w:rPr>
                <w:noProof/>
              </w:rPr>
              <w:t>0 - 48 000 (0/0)</w:t>
            </w:r>
          </w:p>
        </w:tc>
        <w:tc>
          <w:tcPr>
            <w:tcW w:w="2165" w:type="dxa"/>
          </w:tcPr>
          <w:p w:rsidR="002430DD" w:rsidRDefault="0008761B">
            <w:pPr>
              <w:rPr>
                <w:noProof/>
              </w:rPr>
            </w:pPr>
            <w:r>
              <w:rPr>
                <w:noProof/>
              </w:rPr>
              <w:t>29</w:t>
            </w:r>
          </w:p>
        </w:tc>
      </w:tr>
    </w:tbl>
    <w:p w:rsidR="002430DD" w:rsidRDefault="0008761B">
      <w:pPr>
        <w:rPr>
          <w:noProof/>
        </w:rPr>
      </w:pPr>
      <w:r>
        <w:rPr>
          <w:noProof/>
        </w:rPr>
        <w:t xml:space="preserve">Note: </w:t>
      </w:r>
      <w:r>
        <w:rPr>
          <w:noProof/>
          <w:sz w:val="18"/>
        </w:rPr>
        <w:t>(*)</w:t>
      </w:r>
      <w:r>
        <w:rPr>
          <w:noProof/>
          <w:sz w:val="18"/>
        </w:rPr>
        <w:t xml:space="preserve"> 2 estimates were received in this category (EUR 0 and 299 respectively</w:t>
      </w:r>
    </w:p>
    <w:p w:rsidR="002430DD" w:rsidRDefault="0008761B">
      <w:pPr>
        <w:pStyle w:val="BodyText"/>
        <w:keepNext/>
        <w:tabs>
          <w:tab w:val="left" w:pos="504"/>
        </w:tabs>
        <w:spacing w:before="47" w:line="317" w:lineRule="auto"/>
        <w:ind w:left="-57" w:right="140"/>
        <w:rPr>
          <w:rFonts w:ascii="Times New Roman" w:eastAsiaTheme="minorHAnsi" w:hAnsi="Times New Roman"/>
          <w:noProof/>
          <w:sz w:val="24"/>
          <w:szCs w:val="24"/>
        </w:rPr>
      </w:pPr>
      <w:r>
        <w:rPr>
          <w:rFonts w:ascii="Times New Roman" w:eastAsiaTheme="minorHAnsi" w:hAnsi="Times New Roman"/>
          <w:noProof/>
          <w:sz w:val="24"/>
          <w:szCs w:val="24"/>
        </w:rPr>
        <w:t>Annual regular/running costs [ID2661 ID2662] pre-contractual information + right of withdrawal</w:t>
      </w:r>
    </w:p>
    <w:tbl>
      <w:tblPr>
        <w:tblStyle w:val="TableGrid"/>
        <w:tblW w:w="7873" w:type="dxa"/>
        <w:tblLook w:val="04A0" w:firstRow="1" w:lastRow="0" w:firstColumn="1" w:lastColumn="0" w:noHBand="0" w:noVBand="1"/>
      </w:tblPr>
      <w:tblGrid>
        <w:gridCol w:w="2285"/>
        <w:gridCol w:w="3309"/>
        <w:gridCol w:w="2279"/>
      </w:tblGrid>
      <w:tr w:rsidR="002430DD">
        <w:tc>
          <w:tcPr>
            <w:tcW w:w="2285" w:type="dxa"/>
          </w:tcPr>
          <w:p w:rsidR="002430DD" w:rsidRDefault="0008761B">
            <w:pPr>
              <w:rPr>
                <w:b/>
                <w:noProof/>
              </w:rPr>
            </w:pPr>
            <w:r>
              <w:rPr>
                <w:b/>
                <w:noProof/>
              </w:rPr>
              <w:t>Size class</w:t>
            </w:r>
          </w:p>
        </w:tc>
        <w:tc>
          <w:tcPr>
            <w:tcW w:w="3309" w:type="dxa"/>
          </w:tcPr>
          <w:p w:rsidR="002430DD" w:rsidRDefault="0008761B">
            <w:pPr>
              <w:rPr>
                <w:b/>
                <w:noProof/>
              </w:rPr>
            </w:pPr>
            <w:r>
              <w:rPr>
                <w:b/>
                <w:noProof/>
              </w:rPr>
              <w:t xml:space="preserve"> Range of estimated resources in Euro (median/mode)</w:t>
            </w:r>
          </w:p>
        </w:tc>
        <w:tc>
          <w:tcPr>
            <w:tcW w:w="2279" w:type="dxa"/>
          </w:tcPr>
          <w:p w:rsidR="002430DD" w:rsidRDefault="0008761B">
            <w:pPr>
              <w:rPr>
                <w:b/>
                <w:noProof/>
              </w:rPr>
            </w:pPr>
            <w:r>
              <w:rPr>
                <w:b/>
                <w:noProof/>
              </w:rPr>
              <w:t xml:space="preserve">Number of responses </w:t>
            </w:r>
          </w:p>
        </w:tc>
      </w:tr>
      <w:tr w:rsidR="002430DD">
        <w:tc>
          <w:tcPr>
            <w:tcW w:w="2285" w:type="dxa"/>
          </w:tcPr>
          <w:p w:rsidR="002430DD" w:rsidRDefault="0008761B">
            <w:pPr>
              <w:rPr>
                <w:b/>
                <w:noProof/>
              </w:rPr>
            </w:pPr>
            <w:r>
              <w:rPr>
                <w:b/>
                <w:noProof/>
              </w:rPr>
              <w:t>Micr</w:t>
            </w:r>
            <w:r>
              <w:rPr>
                <w:b/>
                <w:noProof/>
              </w:rPr>
              <w:t>o</w:t>
            </w:r>
          </w:p>
        </w:tc>
        <w:tc>
          <w:tcPr>
            <w:tcW w:w="3309" w:type="dxa"/>
          </w:tcPr>
          <w:p w:rsidR="002430DD" w:rsidRDefault="0008761B">
            <w:pPr>
              <w:rPr>
                <w:noProof/>
              </w:rPr>
            </w:pPr>
            <w:r>
              <w:rPr>
                <w:noProof/>
              </w:rPr>
              <w:t>0 – 20 000 (0/0)</w:t>
            </w:r>
          </w:p>
        </w:tc>
        <w:tc>
          <w:tcPr>
            <w:tcW w:w="2279" w:type="dxa"/>
          </w:tcPr>
          <w:p w:rsidR="002430DD" w:rsidRDefault="0008761B">
            <w:pPr>
              <w:rPr>
                <w:noProof/>
              </w:rPr>
            </w:pPr>
            <w:r>
              <w:rPr>
                <w:noProof/>
              </w:rPr>
              <w:t>21</w:t>
            </w:r>
          </w:p>
        </w:tc>
      </w:tr>
      <w:tr w:rsidR="002430DD">
        <w:tc>
          <w:tcPr>
            <w:tcW w:w="2285" w:type="dxa"/>
          </w:tcPr>
          <w:p w:rsidR="002430DD" w:rsidRDefault="0008761B">
            <w:pPr>
              <w:rPr>
                <w:b/>
                <w:noProof/>
              </w:rPr>
            </w:pPr>
            <w:r>
              <w:rPr>
                <w:b/>
                <w:noProof/>
              </w:rPr>
              <w:t>Small</w:t>
            </w:r>
          </w:p>
        </w:tc>
        <w:tc>
          <w:tcPr>
            <w:tcW w:w="3309" w:type="dxa"/>
          </w:tcPr>
          <w:p w:rsidR="002430DD" w:rsidRDefault="0008761B">
            <w:pPr>
              <w:rPr>
                <w:noProof/>
              </w:rPr>
            </w:pPr>
            <w:r>
              <w:rPr>
                <w:noProof/>
              </w:rPr>
              <w:t>0 – 5 782 (1 250/0)</w:t>
            </w:r>
          </w:p>
        </w:tc>
        <w:tc>
          <w:tcPr>
            <w:tcW w:w="2279" w:type="dxa"/>
          </w:tcPr>
          <w:p w:rsidR="002430DD" w:rsidRDefault="0008761B">
            <w:pPr>
              <w:rPr>
                <w:noProof/>
              </w:rPr>
            </w:pPr>
            <w:r>
              <w:rPr>
                <w:noProof/>
              </w:rPr>
              <w:t>6</w:t>
            </w:r>
          </w:p>
        </w:tc>
      </w:tr>
      <w:tr w:rsidR="002430DD">
        <w:tc>
          <w:tcPr>
            <w:tcW w:w="2285" w:type="dxa"/>
          </w:tcPr>
          <w:p w:rsidR="002430DD" w:rsidRDefault="0008761B">
            <w:pPr>
              <w:rPr>
                <w:b/>
                <w:noProof/>
              </w:rPr>
            </w:pPr>
            <w:r>
              <w:rPr>
                <w:b/>
                <w:noProof/>
              </w:rPr>
              <w:t>Medium</w:t>
            </w:r>
          </w:p>
        </w:tc>
        <w:tc>
          <w:tcPr>
            <w:tcW w:w="3309" w:type="dxa"/>
          </w:tcPr>
          <w:p w:rsidR="002430DD" w:rsidRDefault="0008761B">
            <w:pPr>
              <w:rPr>
                <w:noProof/>
              </w:rPr>
            </w:pPr>
            <w:r>
              <w:rPr>
                <w:noProof/>
              </w:rPr>
              <w:t>N/A*</w:t>
            </w:r>
          </w:p>
        </w:tc>
        <w:tc>
          <w:tcPr>
            <w:tcW w:w="2279" w:type="dxa"/>
          </w:tcPr>
          <w:p w:rsidR="002430DD" w:rsidRDefault="0008761B">
            <w:pPr>
              <w:rPr>
                <w:noProof/>
              </w:rPr>
            </w:pPr>
            <w:r>
              <w:rPr>
                <w:noProof/>
              </w:rPr>
              <w:t>2</w:t>
            </w:r>
          </w:p>
        </w:tc>
      </w:tr>
      <w:tr w:rsidR="002430DD">
        <w:tc>
          <w:tcPr>
            <w:tcW w:w="2285" w:type="dxa"/>
          </w:tcPr>
          <w:p w:rsidR="002430DD" w:rsidRDefault="0008761B">
            <w:pPr>
              <w:rPr>
                <w:b/>
                <w:noProof/>
              </w:rPr>
            </w:pPr>
            <w:r>
              <w:rPr>
                <w:b/>
                <w:noProof/>
              </w:rPr>
              <w:t>Large</w:t>
            </w:r>
          </w:p>
        </w:tc>
        <w:tc>
          <w:tcPr>
            <w:tcW w:w="3309" w:type="dxa"/>
          </w:tcPr>
          <w:p w:rsidR="002430DD" w:rsidRDefault="0008761B">
            <w:pPr>
              <w:rPr>
                <w:noProof/>
              </w:rPr>
            </w:pPr>
            <w:r>
              <w:rPr>
                <w:noProof/>
              </w:rPr>
              <w:t>N/A</w:t>
            </w:r>
          </w:p>
        </w:tc>
        <w:tc>
          <w:tcPr>
            <w:tcW w:w="2279" w:type="dxa"/>
          </w:tcPr>
          <w:p w:rsidR="002430DD" w:rsidRDefault="0008761B">
            <w:pPr>
              <w:rPr>
                <w:noProof/>
              </w:rPr>
            </w:pPr>
            <w:r>
              <w:rPr>
                <w:noProof/>
              </w:rPr>
              <w:t>0</w:t>
            </w:r>
          </w:p>
        </w:tc>
      </w:tr>
      <w:tr w:rsidR="002430DD">
        <w:tc>
          <w:tcPr>
            <w:tcW w:w="2285" w:type="dxa"/>
          </w:tcPr>
          <w:p w:rsidR="002430DD" w:rsidRDefault="0008761B">
            <w:pPr>
              <w:rPr>
                <w:noProof/>
              </w:rPr>
            </w:pPr>
            <w:r>
              <w:rPr>
                <w:noProof/>
              </w:rPr>
              <w:t>SMEs</w:t>
            </w:r>
          </w:p>
        </w:tc>
        <w:tc>
          <w:tcPr>
            <w:tcW w:w="3309" w:type="dxa"/>
          </w:tcPr>
          <w:p w:rsidR="002430DD" w:rsidRDefault="0008761B">
            <w:pPr>
              <w:rPr>
                <w:noProof/>
              </w:rPr>
            </w:pPr>
            <w:r>
              <w:rPr>
                <w:noProof/>
              </w:rPr>
              <w:t>0 – 20 000 (0/0)</w:t>
            </w:r>
          </w:p>
        </w:tc>
        <w:tc>
          <w:tcPr>
            <w:tcW w:w="2279" w:type="dxa"/>
          </w:tcPr>
          <w:p w:rsidR="002430DD" w:rsidRDefault="0008761B">
            <w:pPr>
              <w:rPr>
                <w:noProof/>
              </w:rPr>
            </w:pPr>
            <w:r>
              <w:rPr>
                <w:noProof/>
              </w:rPr>
              <w:t>29</w:t>
            </w:r>
          </w:p>
        </w:tc>
      </w:tr>
    </w:tbl>
    <w:p w:rsidR="002430DD" w:rsidRDefault="0008761B">
      <w:pPr>
        <w:rPr>
          <w:b/>
          <w:noProof/>
          <w:color w:val="333333"/>
        </w:rPr>
      </w:pPr>
      <w:r>
        <w:rPr>
          <w:noProof/>
        </w:rPr>
        <w:t>Note</w:t>
      </w:r>
      <w:r>
        <w:rPr>
          <w:b/>
          <w:noProof/>
        </w:rPr>
        <w:t xml:space="preserve">: </w:t>
      </w:r>
      <w:r>
        <w:rPr>
          <w:rFonts w:ascii="Calibri" w:hAnsi="Calibri" w:cs="Calibri"/>
          <w:noProof/>
          <w:sz w:val="18"/>
          <w:szCs w:val="18"/>
        </w:rPr>
        <w:t xml:space="preserve">(*) </w:t>
      </w:r>
      <w:r>
        <w:rPr>
          <w:noProof/>
          <w:sz w:val="18"/>
        </w:rPr>
        <w:t>2 estimates were received in this category (EUR 0 and 299 respectively)</w:t>
      </w:r>
    </w:p>
    <w:p w:rsidR="002430DD" w:rsidRDefault="0008761B">
      <w:pPr>
        <w:rPr>
          <w:b/>
          <w:noProof/>
        </w:rPr>
      </w:pPr>
      <w:r>
        <w:rPr>
          <w:b/>
          <w:noProof/>
        </w:rPr>
        <w:t xml:space="preserve">Question 5 in section C.3 of the SME panel consultation: </w:t>
      </w:r>
      <w:r>
        <w:rPr>
          <w:noProof/>
        </w:rPr>
        <w:t>ID275] If a</w:t>
      </w:r>
      <w:r>
        <w:rPr>
          <w:noProof/>
        </w:rPr>
        <w:t xml:space="preserve"> new EU rule was introduced requiring you to give pre-contractual information to consumers about "free" online service contracts, would this have an impact on your enterprise's decision to enter other EU markets?</w:t>
      </w:r>
    </w:p>
    <w:p w:rsidR="002430DD" w:rsidRDefault="0008761B">
      <w:pPr>
        <w:rPr>
          <w:noProof/>
        </w:rPr>
      </w:pPr>
      <w:r>
        <w:rPr>
          <w:noProof/>
        </w:rPr>
        <w:t>48,3% of SMEs operating online (B2C) consid</w:t>
      </w:r>
      <w:r>
        <w:rPr>
          <w:noProof/>
        </w:rPr>
        <w:t xml:space="preserve">er that future costs from pre-contractual information requirements would not have an impact on their decision to enter other EU markets (28 out of 58 respondents). </w:t>
      </w:r>
    </w:p>
    <w:p w:rsidR="002430DD" w:rsidRDefault="0008761B">
      <w:pPr>
        <w:rPr>
          <w:noProof/>
        </w:rPr>
      </w:pPr>
      <w:r>
        <w:rPr>
          <w:b/>
          <w:noProof/>
        </w:rPr>
        <w:t>Question 8 in section C.3 of the SME panel consultation:</w:t>
      </w:r>
      <w:r>
        <w:rPr>
          <w:noProof/>
        </w:rPr>
        <w:t xml:space="preserve"> [ID298] If a new EU rule was intro</w:t>
      </w:r>
      <w:r>
        <w:rPr>
          <w:noProof/>
        </w:rPr>
        <w:t>duced to extend the right of withdrawal to "free" online services in all Member States (i.e. consumers would be able to cancel, for any reason, such "free" contracts within 14 days), would this have an impact on your enterprise's decision to enter other EU</w:t>
      </w:r>
      <w:r>
        <w:rPr>
          <w:noProof/>
        </w:rPr>
        <w:t xml:space="preserve"> markets?</w:t>
      </w:r>
    </w:p>
    <w:p w:rsidR="002430DD" w:rsidRDefault="0008761B">
      <w:pPr>
        <w:rPr>
          <w:noProof/>
        </w:rPr>
      </w:pPr>
      <w:r>
        <w:rPr>
          <w:noProof/>
        </w:rPr>
        <w:t>44.7% of SMEs operating online (B2C) consider that future costs from a right of withdrawal would not have an impact on their decision to enter other EU markets (21 out of 47 respondents).</w:t>
      </w:r>
    </w:p>
    <w:p w:rsidR="002430DD" w:rsidRDefault="0008761B">
      <w:pPr>
        <w:rPr>
          <w:noProof/>
        </w:rPr>
      </w:pPr>
      <w:r>
        <w:rPr>
          <w:b/>
          <w:noProof/>
        </w:rPr>
        <w:t>Question 1b. in the SME panel consultation</w:t>
      </w:r>
      <w:r>
        <w:rPr>
          <w:noProof/>
        </w:rPr>
        <w:t xml:space="preserve">: What are your </w:t>
      </w:r>
      <w:r>
        <w:rPr>
          <w:noProof/>
        </w:rPr>
        <w:t>enterprise's estimated losses related to the previously mentioned obligations?:</w:t>
      </w:r>
    </w:p>
    <w:p w:rsidR="002430DD" w:rsidRDefault="0008761B">
      <w:pPr>
        <w:rPr>
          <w:noProof/>
        </w:rPr>
      </w:pPr>
      <w:r>
        <w:rPr>
          <w:noProof/>
        </w:rPr>
        <w:t>- Obligation to accept the return of goods bought online which consumers have used more than what they could have done in a brick and mortar shop (e.g. to check the size), thus</w:t>
      </w:r>
      <w:r>
        <w:rPr>
          <w:noProof/>
        </w:rPr>
        <w:t xml:space="preserve"> requiring you to calculate the diminished value of the used good, to resell it as second-hand good and/or to dispose of it as waste. </w:t>
      </w:r>
    </w:p>
    <w:p w:rsidR="002430DD" w:rsidRDefault="0008761B">
      <w:pPr>
        <w:rPr>
          <w:noProof/>
        </w:rPr>
      </w:pPr>
      <w:r>
        <w:rPr>
          <w:noProof/>
        </w:rPr>
        <w:t>- Obligation to reimburse the consumer without having the possibility to inspect the returned goods as soon as the consum</w:t>
      </w:r>
      <w:r>
        <w:rPr>
          <w:noProof/>
        </w:rPr>
        <w:t>er has supplied evidence of having sent them back (e.g. goods were never returned back)</w:t>
      </w:r>
    </w:p>
    <w:p w:rsidR="002430DD" w:rsidRDefault="0008761B">
      <w:pPr>
        <w:rPr>
          <w:b/>
          <w:noProof/>
        </w:rPr>
      </w:pPr>
      <w:r>
        <w:rPr>
          <w:b/>
          <w:noProof/>
        </w:rPr>
        <w:t>Summary of responses:</w:t>
      </w:r>
    </w:p>
    <w:p w:rsidR="002430DD" w:rsidRDefault="0008761B">
      <w:pPr>
        <w:rPr>
          <w:noProof/>
        </w:rPr>
      </w:pPr>
      <w:r>
        <w:rPr>
          <w:noProof/>
        </w:rPr>
        <w:t>Costs have been obtained by converting full time equivalents using the standard cost model and the second highest ISCO level (ISCO 2 professionals</w:t>
      </w:r>
      <w:r>
        <w:rPr>
          <w:noProof/>
        </w:rPr>
        <w:t>), adding pecuniary costs estimates:</w:t>
      </w:r>
    </w:p>
    <w:p w:rsidR="002430DD" w:rsidRDefault="0008761B">
      <w:pPr>
        <w:rPr>
          <w:noProof/>
          <w:color w:val="333333"/>
        </w:rPr>
      </w:pPr>
      <w:r>
        <w:rPr>
          <w:noProof/>
          <w:color w:val="333333"/>
        </w:rPr>
        <w:t xml:space="preserve">[ID1811 ID1812] </w:t>
      </w:r>
      <w:r>
        <w:rPr>
          <w:b/>
          <w:noProof/>
          <w:color w:val="333333"/>
        </w:rPr>
        <w:t xml:space="preserve">Obligation to accept the return of goods bought online: </w:t>
      </w:r>
    </w:p>
    <w:tbl>
      <w:tblPr>
        <w:tblStyle w:val="TableGrid"/>
        <w:tblW w:w="0" w:type="auto"/>
        <w:tblLook w:val="04A0" w:firstRow="1" w:lastRow="0" w:firstColumn="1" w:lastColumn="0" w:noHBand="0" w:noVBand="1"/>
      </w:tblPr>
      <w:tblGrid>
        <w:gridCol w:w="2140"/>
        <w:gridCol w:w="3969"/>
        <w:gridCol w:w="1525"/>
      </w:tblGrid>
      <w:tr w:rsidR="002430DD">
        <w:tc>
          <w:tcPr>
            <w:tcW w:w="2140" w:type="dxa"/>
          </w:tcPr>
          <w:p w:rsidR="002430DD" w:rsidRDefault="0008761B">
            <w:pPr>
              <w:rPr>
                <w:b/>
                <w:noProof/>
                <w:color w:val="333333"/>
              </w:rPr>
            </w:pPr>
            <w:r>
              <w:rPr>
                <w:b/>
                <w:noProof/>
                <w:color w:val="333333"/>
              </w:rPr>
              <w:t>size class</w:t>
            </w:r>
          </w:p>
        </w:tc>
        <w:tc>
          <w:tcPr>
            <w:tcW w:w="3969" w:type="dxa"/>
          </w:tcPr>
          <w:p w:rsidR="002430DD" w:rsidRDefault="0008761B">
            <w:pPr>
              <w:rPr>
                <w:b/>
                <w:noProof/>
                <w:color w:val="333333"/>
              </w:rPr>
            </w:pPr>
            <w:r>
              <w:rPr>
                <w:b/>
                <w:noProof/>
                <w:color w:val="333333"/>
              </w:rPr>
              <w:t xml:space="preserve"> Range of estimated annual losses in Euro (median/mode)</w:t>
            </w:r>
          </w:p>
        </w:tc>
        <w:tc>
          <w:tcPr>
            <w:tcW w:w="1525" w:type="dxa"/>
          </w:tcPr>
          <w:p w:rsidR="002430DD" w:rsidRDefault="0008761B">
            <w:pPr>
              <w:rPr>
                <w:b/>
                <w:noProof/>
                <w:color w:val="333333"/>
              </w:rPr>
            </w:pPr>
            <w:r>
              <w:rPr>
                <w:b/>
                <w:noProof/>
                <w:color w:val="333333"/>
              </w:rPr>
              <w:t xml:space="preserve">Number of responses </w:t>
            </w:r>
          </w:p>
        </w:tc>
      </w:tr>
      <w:tr w:rsidR="002430DD">
        <w:tc>
          <w:tcPr>
            <w:tcW w:w="2140" w:type="dxa"/>
          </w:tcPr>
          <w:p w:rsidR="002430DD" w:rsidRDefault="0008761B">
            <w:pPr>
              <w:rPr>
                <w:b/>
                <w:noProof/>
                <w:color w:val="333333"/>
              </w:rPr>
            </w:pPr>
            <w:r>
              <w:rPr>
                <w:b/>
                <w:noProof/>
                <w:color w:val="333333"/>
              </w:rPr>
              <w:t>Micro</w:t>
            </w:r>
          </w:p>
        </w:tc>
        <w:tc>
          <w:tcPr>
            <w:tcW w:w="3969" w:type="dxa"/>
          </w:tcPr>
          <w:p w:rsidR="002430DD" w:rsidRDefault="0008761B">
            <w:pPr>
              <w:rPr>
                <w:noProof/>
                <w:color w:val="333333"/>
              </w:rPr>
            </w:pPr>
            <w:r>
              <w:rPr>
                <w:noProof/>
                <w:color w:val="333333"/>
              </w:rPr>
              <w:t>0 – 13 500 (50/0)</w:t>
            </w:r>
          </w:p>
        </w:tc>
        <w:tc>
          <w:tcPr>
            <w:tcW w:w="1525" w:type="dxa"/>
          </w:tcPr>
          <w:p w:rsidR="002430DD" w:rsidRDefault="0008761B">
            <w:pPr>
              <w:rPr>
                <w:noProof/>
                <w:color w:val="333333"/>
              </w:rPr>
            </w:pPr>
            <w:r>
              <w:rPr>
                <w:noProof/>
                <w:color w:val="333333"/>
              </w:rPr>
              <w:t>22</w:t>
            </w:r>
          </w:p>
        </w:tc>
      </w:tr>
      <w:tr w:rsidR="002430DD">
        <w:tc>
          <w:tcPr>
            <w:tcW w:w="2140" w:type="dxa"/>
          </w:tcPr>
          <w:p w:rsidR="002430DD" w:rsidRDefault="0008761B">
            <w:pPr>
              <w:rPr>
                <w:b/>
                <w:noProof/>
                <w:color w:val="333333"/>
              </w:rPr>
            </w:pPr>
            <w:r>
              <w:rPr>
                <w:b/>
                <w:noProof/>
                <w:color w:val="333333"/>
              </w:rPr>
              <w:t>Small</w:t>
            </w:r>
          </w:p>
        </w:tc>
        <w:tc>
          <w:tcPr>
            <w:tcW w:w="3969" w:type="dxa"/>
          </w:tcPr>
          <w:p w:rsidR="002430DD" w:rsidRDefault="0008761B">
            <w:pPr>
              <w:rPr>
                <w:noProof/>
                <w:color w:val="333333"/>
              </w:rPr>
            </w:pPr>
            <w:r>
              <w:rPr>
                <w:noProof/>
                <w:color w:val="333333"/>
              </w:rPr>
              <w:t>0 – 12 000 (550/0)</w:t>
            </w:r>
          </w:p>
        </w:tc>
        <w:tc>
          <w:tcPr>
            <w:tcW w:w="1525" w:type="dxa"/>
          </w:tcPr>
          <w:p w:rsidR="002430DD" w:rsidRDefault="0008761B">
            <w:pPr>
              <w:rPr>
                <w:noProof/>
                <w:color w:val="333333"/>
              </w:rPr>
            </w:pPr>
            <w:r>
              <w:rPr>
                <w:noProof/>
                <w:color w:val="333333"/>
              </w:rPr>
              <w:t>6</w:t>
            </w:r>
          </w:p>
        </w:tc>
      </w:tr>
      <w:tr w:rsidR="002430DD">
        <w:tc>
          <w:tcPr>
            <w:tcW w:w="2140" w:type="dxa"/>
          </w:tcPr>
          <w:p w:rsidR="002430DD" w:rsidRDefault="0008761B">
            <w:pPr>
              <w:rPr>
                <w:b/>
                <w:noProof/>
                <w:color w:val="333333"/>
              </w:rPr>
            </w:pPr>
            <w:r>
              <w:rPr>
                <w:b/>
                <w:noProof/>
                <w:color w:val="333333"/>
              </w:rPr>
              <w:t>Medium</w:t>
            </w:r>
          </w:p>
        </w:tc>
        <w:tc>
          <w:tcPr>
            <w:tcW w:w="3969" w:type="dxa"/>
          </w:tcPr>
          <w:p w:rsidR="002430DD" w:rsidRDefault="0008761B">
            <w:pPr>
              <w:rPr>
                <w:noProof/>
                <w:color w:val="333333"/>
              </w:rPr>
            </w:pPr>
            <w:r>
              <w:rPr>
                <w:noProof/>
                <w:color w:val="333333"/>
              </w:rPr>
              <w:t>0 – 1 000 (0/0)</w:t>
            </w:r>
          </w:p>
        </w:tc>
        <w:tc>
          <w:tcPr>
            <w:tcW w:w="1525" w:type="dxa"/>
          </w:tcPr>
          <w:p w:rsidR="002430DD" w:rsidRDefault="0008761B">
            <w:pPr>
              <w:rPr>
                <w:noProof/>
                <w:color w:val="333333"/>
              </w:rPr>
            </w:pPr>
            <w:r>
              <w:rPr>
                <w:noProof/>
                <w:color w:val="333333"/>
              </w:rPr>
              <w:t>3</w:t>
            </w:r>
          </w:p>
        </w:tc>
      </w:tr>
      <w:tr w:rsidR="002430DD">
        <w:tc>
          <w:tcPr>
            <w:tcW w:w="2140" w:type="dxa"/>
          </w:tcPr>
          <w:p w:rsidR="002430DD" w:rsidRDefault="0008761B">
            <w:pPr>
              <w:rPr>
                <w:b/>
                <w:noProof/>
                <w:color w:val="333333"/>
              </w:rPr>
            </w:pPr>
            <w:r>
              <w:rPr>
                <w:b/>
                <w:noProof/>
                <w:color w:val="333333"/>
              </w:rPr>
              <w:t>Large</w:t>
            </w:r>
          </w:p>
        </w:tc>
        <w:tc>
          <w:tcPr>
            <w:tcW w:w="3969" w:type="dxa"/>
          </w:tcPr>
          <w:p w:rsidR="002430DD" w:rsidRDefault="0008761B">
            <w:pPr>
              <w:rPr>
                <w:noProof/>
                <w:color w:val="333333"/>
              </w:rPr>
            </w:pPr>
            <w:r>
              <w:rPr>
                <w:noProof/>
                <w:color w:val="333333"/>
              </w:rPr>
              <w:t>N/A*</w:t>
            </w:r>
          </w:p>
        </w:tc>
        <w:tc>
          <w:tcPr>
            <w:tcW w:w="1525" w:type="dxa"/>
          </w:tcPr>
          <w:p w:rsidR="002430DD" w:rsidRDefault="0008761B">
            <w:pPr>
              <w:rPr>
                <w:noProof/>
                <w:color w:val="333333"/>
              </w:rPr>
            </w:pPr>
            <w:r>
              <w:rPr>
                <w:noProof/>
                <w:color w:val="333333"/>
              </w:rPr>
              <w:t>2</w:t>
            </w:r>
          </w:p>
        </w:tc>
      </w:tr>
      <w:tr w:rsidR="002430DD">
        <w:tc>
          <w:tcPr>
            <w:tcW w:w="2140" w:type="dxa"/>
          </w:tcPr>
          <w:p w:rsidR="002430DD" w:rsidRDefault="0008761B">
            <w:pPr>
              <w:rPr>
                <w:b/>
                <w:noProof/>
                <w:color w:val="333333"/>
              </w:rPr>
            </w:pPr>
            <w:r>
              <w:rPr>
                <w:b/>
                <w:noProof/>
                <w:color w:val="333333"/>
              </w:rPr>
              <w:t>SMEs</w:t>
            </w:r>
          </w:p>
        </w:tc>
        <w:tc>
          <w:tcPr>
            <w:tcW w:w="3969" w:type="dxa"/>
          </w:tcPr>
          <w:p w:rsidR="002430DD" w:rsidRDefault="0008761B">
            <w:pPr>
              <w:rPr>
                <w:noProof/>
                <w:color w:val="333333"/>
              </w:rPr>
            </w:pPr>
            <w:r>
              <w:rPr>
                <w:noProof/>
                <w:color w:val="333333"/>
              </w:rPr>
              <w:t>0-13 500 (100/0)</w:t>
            </w:r>
          </w:p>
        </w:tc>
        <w:tc>
          <w:tcPr>
            <w:tcW w:w="1525" w:type="dxa"/>
          </w:tcPr>
          <w:p w:rsidR="002430DD" w:rsidRDefault="0008761B">
            <w:pPr>
              <w:rPr>
                <w:noProof/>
                <w:color w:val="333333"/>
              </w:rPr>
            </w:pPr>
            <w:r>
              <w:rPr>
                <w:noProof/>
                <w:color w:val="333333"/>
              </w:rPr>
              <w:t>31</w:t>
            </w:r>
          </w:p>
        </w:tc>
      </w:tr>
    </w:tbl>
    <w:p w:rsidR="002430DD" w:rsidRDefault="0008761B">
      <w:pPr>
        <w:rPr>
          <w:b/>
          <w:noProof/>
          <w:color w:val="333333"/>
        </w:rPr>
      </w:pPr>
      <w:r>
        <w:rPr>
          <w:noProof/>
          <w:color w:val="333333"/>
        </w:rPr>
        <w:t>Note</w:t>
      </w:r>
      <w:r>
        <w:rPr>
          <w:b/>
          <w:noProof/>
          <w:color w:val="333333"/>
        </w:rPr>
        <w:t xml:space="preserve">: </w:t>
      </w:r>
      <w:r>
        <w:rPr>
          <w:rFonts w:ascii="Calibri" w:hAnsi="Calibri" w:cs="Calibri"/>
          <w:noProof/>
          <w:sz w:val="18"/>
          <w:szCs w:val="18"/>
        </w:rPr>
        <w:t xml:space="preserve">(*) </w:t>
      </w:r>
      <w:r>
        <w:rPr>
          <w:noProof/>
          <w:sz w:val="18"/>
        </w:rPr>
        <w:t>Less than three estimates were received in this category</w:t>
      </w:r>
    </w:p>
    <w:p w:rsidR="002430DD" w:rsidRDefault="0008761B">
      <w:pPr>
        <w:rPr>
          <w:noProof/>
          <w:color w:val="333333"/>
        </w:rPr>
      </w:pPr>
      <w:r>
        <w:rPr>
          <w:noProof/>
          <w:color w:val="333333"/>
        </w:rPr>
        <w:t xml:space="preserve">[ID1821 ID1822] </w:t>
      </w:r>
      <w:r>
        <w:rPr>
          <w:b/>
          <w:noProof/>
          <w:color w:val="333333"/>
        </w:rPr>
        <w:t>Obligation to reimburse the consumer:</w:t>
      </w:r>
      <w:r>
        <w:rPr>
          <w:noProof/>
          <w:color w:val="333333"/>
        </w:rPr>
        <w:t xml:space="preserve"> </w:t>
      </w:r>
    </w:p>
    <w:tbl>
      <w:tblPr>
        <w:tblStyle w:val="TableGrid"/>
        <w:tblW w:w="0" w:type="auto"/>
        <w:tblLook w:val="04A0" w:firstRow="1" w:lastRow="0" w:firstColumn="1" w:lastColumn="0" w:noHBand="0" w:noVBand="1"/>
      </w:tblPr>
      <w:tblGrid>
        <w:gridCol w:w="2140"/>
        <w:gridCol w:w="3402"/>
        <w:gridCol w:w="1809"/>
      </w:tblGrid>
      <w:tr w:rsidR="002430DD">
        <w:tc>
          <w:tcPr>
            <w:tcW w:w="2140" w:type="dxa"/>
          </w:tcPr>
          <w:p w:rsidR="002430DD" w:rsidRDefault="0008761B">
            <w:pPr>
              <w:rPr>
                <w:b/>
                <w:noProof/>
                <w:color w:val="333333"/>
              </w:rPr>
            </w:pPr>
            <w:r>
              <w:rPr>
                <w:b/>
                <w:noProof/>
                <w:color w:val="333333"/>
              </w:rPr>
              <w:t>size class</w:t>
            </w:r>
          </w:p>
        </w:tc>
        <w:tc>
          <w:tcPr>
            <w:tcW w:w="3402" w:type="dxa"/>
          </w:tcPr>
          <w:p w:rsidR="002430DD" w:rsidRDefault="0008761B">
            <w:pPr>
              <w:rPr>
                <w:b/>
                <w:noProof/>
                <w:color w:val="333333"/>
              </w:rPr>
            </w:pPr>
            <w:r>
              <w:rPr>
                <w:b/>
                <w:noProof/>
                <w:color w:val="333333"/>
              </w:rPr>
              <w:t xml:space="preserve"> Range of estimated annual losses in Euro (median/mode)</w:t>
            </w:r>
          </w:p>
        </w:tc>
        <w:tc>
          <w:tcPr>
            <w:tcW w:w="1809" w:type="dxa"/>
          </w:tcPr>
          <w:p w:rsidR="002430DD" w:rsidRDefault="0008761B">
            <w:pPr>
              <w:rPr>
                <w:b/>
                <w:noProof/>
                <w:color w:val="333333"/>
              </w:rPr>
            </w:pPr>
            <w:r>
              <w:rPr>
                <w:b/>
                <w:noProof/>
                <w:color w:val="333333"/>
              </w:rPr>
              <w:t xml:space="preserve">Number of responses </w:t>
            </w:r>
          </w:p>
        </w:tc>
      </w:tr>
      <w:tr w:rsidR="002430DD">
        <w:tc>
          <w:tcPr>
            <w:tcW w:w="2140" w:type="dxa"/>
          </w:tcPr>
          <w:p w:rsidR="002430DD" w:rsidRDefault="0008761B">
            <w:pPr>
              <w:rPr>
                <w:b/>
                <w:noProof/>
                <w:color w:val="333333"/>
              </w:rPr>
            </w:pPr>
            <w:r>
              <w:rPr>
                <w:b/>
                <w:noProof/>
                <w:color w:val="333333"/>
              </w:rPr>
              <w:t>Micro</w:t>
            </w:r>
          </w:p>
        </w:tc>
        <w:tc>
          <w:tcPr>
            <w:tcW w:w="3402" w:type="dxa"/>
          </w:tcPr>
          <w:p w:rsidR="002430DD" w:rsidRDefault="0008761B">
            <w:pPr>
              <w:rPr>
                <w:noProof/>
                <w:color w:val="333333"/>
              </w:rPr>
            </w:pPr>
            <w:r>
              <w:rPr>
                <w:noProof/>
                <w:color w:val="333333"/>
              </w:rPr>
              <w:t>0 – 10 000 (0/0)</w:t>
            </w:r>
          </w:p>
        </w:tc>
        <w:tc>
          <w:tcPr>
            <w:tcW w:w="1809" w:type="dxa"/>
          </w:tcPr>
          <w:p w:rsidR="002430DD" w:rsidRDefault="0008761B">
            <w:pPr>
              <w:rPr>
                <w:noProof/>
                <w:color w:val="333333"/>
              </w:rPr>
            </w:pPr>
            <w:r>
              <w:rPr>
                <w:noProof/>
                <w:color w:val="333333"/>
              </w:rPr>
              <w:t>22</w:t>
            </w:r>
          </w:p>
        </w:tc>
      </w:tr>
      <w:tr w:rsidR="002430DD">
        <w:tc>
          <w:tcPr>
            <w:tcW w:w="2140" w:type="dxa"/>
          </w:tcPr>
          <w:p w:rsidR="002430DD" w:rsidRDefault="0008761B">
            <w:pPr>
              <w:rPr>
                <w:b/>
                <w:noProof/>
                <w:color w:val="333333"/>
              </w:rPr>
            </w:pPr>
            <w:r>
              <w:rPr>
                <w:b/>
                <w:noProof/>
                <w:color w:val="333333"/>
              </w:rPr>
              <w:t>Small</w:t>
            </w:r>
          </w:p>
        </w:tc>
        <w:tc>
          <w:tcPr>
            <w:tcW w:w="3402" w:type="dxa"/>
          </w:tcPr>
          <w:p w:rsidR="002430DD" w:rsidRDefault="0008761B">
            <w:pPr>
              <w:rPr>
                <w:noProof/>
                <w:color w:val="333333"/>
              </w:rPr>
            </w:pPr>
            <w:r>
              <w:rPr>
                <w:noProof/>
                <w:color w:val="333333"/>
              </w:rPr>
              <w:t>0 – 4 000 (50/0)</w:t>
            </w:r>
          </w:p>
        </w:tc>
        <w:tc>
          <w:tcPr>
            <w:tcW w:w="1809" w:type="dxa"/>
          </w:tcPr>
          <w:p w:rsidR="002430DD" w:rsidRDefault="0008761B">
            <w:pPr>
              <w:rPr>
                <w:noProof/>
                <w:color w:val="333333"/>
              </w:rPr>
            </w:pPr>
            <w:r>
              <w:rPr>
                <w:noProof/>
                <w:color w:val="333333"/>
              </w:rPr>
              <w:t>4</w:t>
            </w:r>
          </w:p>
        </w:tc>
      </w:tr>
      <w:tr w:rsidR="002430DD">
        <w:tc>
          <w:tcPr>
            <w:tcW w:w="2140" w:type="dxa"/>
          </w:tcPr>
          <w:p w:rsidR="002430DD" w:rsidRDefault="0008761B">
            <w:pPr>
              <w:rPr>
                <w:b/>
                <w:noProof/>
                <w:color w:val="333333"/>
              </w:rPr>
            </w:pPr>
            <w:r>
              <w:rPr>
                <w:b/>
                <w:noProof/>
                <w:color w:val="333333"/>
              </w:rPr>
              <w:t>Medium</w:t>
            </w:r>
          </w:p>
        </w:tc>
        <w:tc>
          <w:tcPr>
            <w:tcW w:w="3402" w:type="dxa"/>
          </w:tcPr>
          <w:p w:rsidR="002430DD" w:rsidRDefault="0008761B">
            <w:pPr>
              <w:rPr>
                <w:noProof/>
                <w:color w:val="333333"/>
              </w:rPr>
            </w:pPr>
            <w:r>
              <w:rPr>
                <w:noProof/>
                <w:color w:val="333333"/>
              </w:rPr>
              <w:t>0 – 10 000 (0/0)</w:t>
            </w:r>
          </w:p>
        </w:tc>
        <w:tc>
          <w:tcPr>
            <w:tcW w:w="1809" w:type="dxa"/>
          </w:tcPr>
          <w:p w:rsidR="002430DD" w:rsidRDefault="0008761B">
            <w:pPr>
              <w:rPr>
                <w:noProof/>
                <w:color w:val="333333"/>
              </w:rPr>
            </w:pPr>
            <w:r>
              <w:rPr>
                <w:noProof/>
                <w:color w:val="333333"/>
              </w:rPr>
              <w:t>5</w:t>
            </w:r>
          </w:p>
        </w:tc>
      </w:tr>
      <w:tr w:rsidR="002430DD">
        <w:tc>
          <w:tcPr>
            <w:tcW w:w="2140" w:type="dxa"/>
          </w:tcPr>
          <w:p w:rsidR="002430DD" w:rsidRDefault="0008761B">
            <w:pPr>
              <w:rPr>
                <w:b/>
                <w:noProof/>
                <w:color w:val="333333"/>
              </w:rPr>
            </w:pPr>
            <w:r>
              <w:rPr>
                <w:b/>
                <w:noProof/>
                <w:color w:val="333333"/>
              </w:rPr>
              <w:t>Large</w:t>
            </w:r>
          </w:p>
        </w:tc>
        <w:tc>
          <w:tcPr>
            <w:tcW w:w="3402" w:type="dxa"/>
          </w:tcPr>
          <w:p w:rsidR="002430DD" w:rsidRDefault="0008761B">
            <w:pPr>
              <w:rPr>
                <w:noProof/>
                <w:color w:val="333333"/>
              </w:rPr>
            </w:pPr>
            <w:r>
              <w:rPr>
                <w:noProof/>
                <w:color w:val="333333"/>
              </w:rPr>
              <w:t>N/A*</w:t>
            </w:r>
          </w:p>
        </w:tc>
        <w:tc>
          <w:tcPr>
            <w:tcW w:w="1809" w:type="dxa"/>
          </w:tcPr>
          <w:p w:rsidR="002430DD" w:rsidRDefault="0008761B">
            <w:pPr>
              <w:rPr>
                <w:noProof/>
                <w:color w:val="333333"/>
              </w:rPr>
            </w:pPr>
            <w:r>
              <w:rPr>
                <w:noProof/>
                <w:color w:val="333333"/>
              </w:rPr>
              <w:t>1</w:t>
            </w:r>
          </w:p>
        </w:tc>
      </w:tr>
      <w:tr w:rsidR="002430DD">
        <w:tc>
          <w:tcPr>
            <w:tcW w:w="2140" w:type="dxa"/>
          </w:tcPr>
          <w:p w:rsidR="002430DD" w:rsidRDefault="0008761B">
            <w:pPr>
              <w:rPr>
                <w:b/>
                <w:noProof/>
                <w:color w:val="333333"/>
              </w:rPr>
            </w:pPr>
            <w:r>
              <w:rPr>
                <w:b/>
                <w:noProof/>
                <w:color w:val="333333"/>
              </w:rPr>
              <w:t>SMEs</w:t>
            </w:r>
          </w:p>
        </w:tc>
        <w:tc>
          <w:tcPr>
            <w:tcW w:w="3402" w:type="dxa"/>
          </w:tcPr>
          <w:p w:rsidR="002430DD" w:rsidRDefault="0008761B">
            <w:pPr>
              <w:rPr>
                <w:noProof/>
                <w:color w:val="333333"/>
              </w:rPr>
            </w:pPr>
            <w:r>
              <w:rPr>
                <w:noProof/>
                <w:color w:val="333333"/>
              </w:rPr>
              <w:t>0 - 10 000 (0/0)</w:t>
            </w:r>
          </w:p>
        </w:tc>
        <w:tc>
          <w:tcPr>
            <w:tcW w:w="1809" w:type="dxa"/>
          </w:tcPr>
          <w:p w:rsidR="002430DD" w:rsidRDefault="0008761B">
            <w:pPr>
              <w:rPr>
                <w:noProof/>
                <w:color w:val="333333"/>
              </w:rPr>
            </w:pPr>
            <w:r>
              <w:rPr>
                <w:noProof/>
                <w:color w:val="333333"/>
              </w:rPr>
              <w:t>31</w:t>
            </w:r>
          </w:p>
        </w:tc>
      </w:tr>
    </w:tbl>
    <w:p w:rsidR="002430DD" w:rsidRDefault="0008761B">
      <w:pPr>
        <w:rPr>
          <w:b/>
          <w:noProof/>
          <w:color w:val="333333"/>
        </w:rPr>
      </w:pPr>
      <w:r>
        <w:rPr>
          <w:noProof/>
          <w:color w:val="333333"/>
        </w:rPr>
        <w:t>Note</w:t>
      </w:r>
      <w:r>
        <w:rPr>
          <w:b/>
          <w:noProof/>
          <w:color w:val="333333"/>
        </w:rPr>
        <w:t xml:space="preserve">: </w:t>
      </w:r>
      <w:r>
        <w:rPr>
          <w:rFonts w:ascii="Calibri" w:hAnsi="Calibri" w:cs="Calibri"/>
          <w:noProof/>
          <w:sz w:val="18"/>
          <w:szCs w:val="18"/>
        </w:rPr>
        <w:t xml:space="preserve">(*) </w:t>
      </w:r>
      <w:r>
        <w:rPr>
          <w:noProof/>
          <w:sz w:val="18"/>
        </w:rPr>
        <w:t>Less than three estimates were received in this category</w:t>
      </w:r>
    </w:p>
    <w:p w:rsidR="002430DD" w:rsidRDefault="0008761B">
      <w:pPr>
        <w:spacing w:after="200" w:line="276" w:lineRule="auto"/>
        <w:jc w:val="left"/>
        <w:rPr>
          <w:rFonts w:eastAsiaTheme="majorEastAsia"/>
          <w:b/>
          <w:bCs/>
          <w:noProof/>
          <w:color w:val="365F91" w:themeColor="accent1" w:themeShade="BF"/>
          <w:szCs w:val="28"/>
        </w:rPr>
      </w:pPr>
      <w:bookmarkStart w:id="420" w:name="_Toc498444073"/>
      <w:bookmarkStart w:id="421" w:name="_Toc498444683"/>
      <w:bookmarkStart w:id="422" w:name="_Toc498445662"/>
      <w:bookmarkStart w:id="423" w:name="_Toc498449349"/>
      <w:bookmarkStart w:id="424" w:name="_Toc498453329"/>
      <w:bookmarkStart w:id="425" w:name="_Toc498453580"/>
      <w:bookmarkStart w:id="426" w:name="_Toc498513546"/>
      <w:bookmarkStart w:id="427" w:name="_Toc498519573"/>
      <w:bookmarkStart w:id="428" w:name="_Toc498520992"/>
      <w:bookmarkStart w:id="429" w:name="_Toc498521068"/>
      <w:bookmarkStart w:id="430" w:name="_Toc498521143"/>
      <w:bookmarkStart w:id="431" w:name="_Toc498521219"/>
      <w:bookmarkStart w:id="432" w:name="_Toc498521549"/>
      <w:bookmarkStart w:id="433" w:name="_Toc498532847"/>
      <w:bookmarkStart w:id="434" w:name="_Toc499110547"/>
      <w:bookmarkStart w:id="435" w:name="_Toc499134600"/>
      <w:bookmarkStart w:id="436" w:name="_Toc499135585"/>
      <w:bookmarkStart w:id="437" w:name="_Toc499137075"/>
      <w:bookmarkStart w:id="438" w:name="_Toc499139000"/>
      <w:bookmarkStart w:id="439" w:name="_Toc499139177"/>
      <w:bookmarkStart w:id="440" w:name="_Toc499139688"/>
      <w:bookmarkStart w:id="441" w:name="_Toc499198951"/>
      <w:bookmarkStart w:id="442" w:name="_Toc499201976"/>
      <w:bookmarkStart w:id="443" w:name="_Toc499206613"/>
      <w:bookmarkStart w:id="444" w:name="_Toc499219508"/>
      <w:bookmarkStart w:id="445" w:name="_Toc499221363"/>
      <w:bookmarkStart w:id="446" w:name="_Toc499221443"/>
      <w:bookmarkStart w:id="447" w:name="_Toc499225385"/>
      <w:bookmarkStart w:id="448" w:name="_Toc499226043"/>
      <w:bookmarkStart w:id="449" w:name="_Toc499226764"/>
      <w:bookmarkStart w:id="450" w:name="_Toc499228636"/>
      <w:bookmarkStart w:id="451" w:name="_Toc499553054"/>
      <w:bookmarkStart w:id="452" w:name="_Toc499563360"/>
      <w:bookmarkStart w:id="453" w:name="_Toc499565583"/>
      <w:bookmarkStart w:id="454" w:name="_Toc499566315"/>
      <w:bookmarkStart w:id="455" w:name="_Toc499567512"/>
      <w:bookmarkStart w:id="456" w:name="_Toc499569444"/>
      <w:bookmarkStart w:id="457" w:name="_Toc499570975"/>
      <w:bookmarkStart w:id="458" w:name="_Toc499571577"/>
      <w:bookmarkStart w:id="459" w:name="_Toc499632532"/>
      <w:bookmarkStart w:id="460" w:name="_Toc499632637"/>
      <w:bookmarkStart w:id="461" w:name="_Toc499637915"/>
      <w:bookmarkStart w:id="462" w:name="_Toc499645319"/>
      <w:bookmarkStart w:id="463" w:name="_Toc499645307"/>
      <w:bookmarkStart w:id="464" w:name="_Toc499657296"/>
      <w:bookmarkStart w:id="465" w:name="_Toc499662014"/>
      <w:bookmarkStart w:id="466" w:name="_Toc499663922"/>
      <w:bookmarkStart w:id="467" w:name="_Toc499664214"/>
      <w:bookmarkStart w:id="468" w:name="_Toc499664579"/>
      <w:bookmarkStart w:id="469" w:name="_Toc499667712"/>
      <w:bookmarkStart w:id="470" w:name="_Toc499667968"/>
      <w:bookmarkStart w:id="471" w:name="_Toc499732046"/>
      <w:bookmarkStart w:id="472" w:name="_Toc499740919"/>
      <w:bookmarkStart w:id="473" w:name="_Toc499741995"/>
      <w:bookmarkStart w:id="474" w:name="_Toc499742338"/>
      <w:bookmarkStart w:id="475" w:name="_Toc499818493"/>
      <w:bookmarkStart w:id="476" w:name="_Toc499820952"/>
      <w:bookmarkStart w:id="477" w:name="_Toc499821275"/>
      <w:bookmarkStart w:id="478" w:name="_Toc499821348"/>
      <w:bookmarkStart w:id="479" w:name="_Toc499821421"/>
      <w:bookmarkStart w:id="480" w:name="_Toc499821494"/>
      <w:bookmarkStart w:id="481" w:name="_Toc499910550"/>
      <w:bookmarkStart w:id="482" w:name="_Toc499909364"/>
      <w:bookmarkStart w:id="483" w:name="_Toc499913073"/>
      <w:bookmarkStart w:id="484" w:name="_Toc499915723"/>
      <w:bookmarkStart w:id="485" w:name="_Toc500153738"/>
      <w:bookmarkStart w:id="486" w:name="_Toc500154595"/>
      <w:bookmarkStart w:id="487" w:name="_Toc500158076"/>
      <w:bookmarkStart w:id="488" w:name="_Toc500168360"/>
      <w:bookmarkStart w:id="489" w:name="_Toc500174892"/>
      <w:bookmarkStart w:id="490" w:name="_Toc500176395"/>
      <w:bookmarkStart w:id="491" w:name="_Toc500181321"/>
      <w:bookmarkStart w:id="492" w:name="_Toc500181748"/>
      <w:bookmarkStart w:id="493" w:name="_Toc500182940"/>
      <w:bookmarkStart w:id="494" w:name="_Toc500259730"/>
      <w:bookmarkStart w:id="495" w:name="_Toc500261824"/>
      <w:bookmarkStart w:id="496" w:name="_Toc500262563"/>
      <w:bookmarkStart w:id="497" w:name="_Toc500264145"/>
      <w:bookmarkStart w:id="498" w:name="_Toc500265680"/>
      <w:bookmarkStart w:id="499" w:name="_Toc500266040"/>
      <w:bookmarkStart w:id="500" w:name="_Toc500265771"/>
      <w:bookmarkStart w:id="501" w:name="_Toc500348175"/>
      <w:bookmarkStart w:id="502" w:name="_Toc500348268"/>
      <w:bookmarkStart w:id="503" w:name="_Toc500349181"/>
      <w:bookmarkStart w:id="504" w:name="_Toc500349700"/>
      <w:bookmarkStart w:id="505" w:name="_Toc500412325"/>
      <w:bookmarkStart w:id="506" w:name="_Toc500414596"/>
      <w:bookmarkStart w:id="507" w:name="_Toc500414878"/>
      <w:bookmarkStart w:id="508" w:name="_Toc500414968"/>
      <w:bookmarkStart w:id="509" w:name="_Toc500422653"/>
      <w:bookmarkStart w:id="510" w:name="_Toc500430558"/>
      <w:bookmarkStart w:id="511" w:name="_Toc500435687"/>
      <w:bookmarkStart w:id="512" w:name="_Toc500436429"/>
      <w:bookmarkStart w:id="513" w:name="_Toc500436520"/>
      <w:bookmarkStart w:id="514" w:name="_Toc500437368"/>
      <w:bookmarkStart w:id="515" w:name="_Toc500437598"/>
      <w:bookmarkStart w:id="516" w:name="_Toc500440965"/>
      <w:bookmarkStart w:id="517" w:name="_Toc500490212"/>
      <w:bookmarkStart w:id="518" w:name="_Toc500495014"/>
      <w:bookmarkStart w:id="519" w:name="_Toc500495238"/>
      <w:bookmarkStart w:id="520" w:name="_Toc500495938"/>
      <w:bookmarkStart w:id="521" w:name="_Toc500498735"/>
      <w:bookmarkStart w:id="522" w:name="_Toc500498826"/>
      <w:bookmarkStart w:id="523" w:name="_Toc500499914"/>
      <w:bookmarkStart w:id="524" w:name="_Toc50050000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Pr>
          <w:noProof/>
        </w:rPr>
        <w:br w:type="page"/>
      </w:r>
    </w:p>
    <w:p w:rsidR="002430DD" w:rsidRDefault="0008761B">
      <w:pPr>
        <w:pStyle w:val="Heading1"/>
        <w:numPr>
          <w:ilvl w:val="0"/>
          <w:numId w:val="0"/>
        </w:numPr>
        <w:rPr>
          <w:noProof/>
        </w:rPr>
      </w:pPr>
      <w:bookmarkStart w:id="525" w:name="_Toc504064436"/>
      <w:bookmarkStart w:id="526" w:name="_Toc504064820"/>
      <w:bookmarkStart w:id="527" w:name="_Toc504065735"/>
      <w:bookmarkStart w:id="528" w:name="_Toc504066371"/>
      <w:bookmarkStart w:id="529" w:name="_Toc504149878"/>
      <w:bookmarkStart w:id="530" w:name="_Toc504151592"/>
      <w:bookmarkStart w:id="531" w:name="_Toc504151940"/>
      <w:bookmarkStart w:id="532" w:name="_Toc504153972"/>
      <w:bookmarkStart w:id="533" w:name="_Toc504472280"/>
      <w:bookmarkStart w:id="534" w:name="_Toc504491515"/>
      <w:bookmarkStart w:id="535" w:name="_Toc504495218"/>
      <w:bookmarkStart w:id="536" w:name="_Toc504497148"/>
      <w:bookmarkStart w:id="537" w:name="_Toc504497244"/>
      <w:bookmarkStart w:id="538" w:name="_Toc504497442"/>
      <w:bookmarkStart w:id="539" w:name="_Toc504499831"/>
      <w:bookmarkStart w:id="540" w:name="_Toc504501847"/>
      <w:bookmarkStart w:id="541" w:name="_Toc504579138"/>
      <w:bookmarkStart w:id="542" w:name="_Toc504580295"/>
      <w:bookmarkStart w:id="543" w:name="_Toc504588053"/>
      <w:bookmarkStart w:id="544" w:name="_Toc504588985"/>
      <w:bookmarkStart w:id="545" w:name="_Toc504642065"/>
      <w:bookmarkStart w:id="546" w:name="_Toc504644160"/>
      <w:bookmarkStart w:id="547" w:name="_Toc504645744"/>
      <w:bookmarkStart w:id="548" w:name="_Toc504648520"/>
      <w:bookmarkStart w:id="549" w:name="_Toc504650494"/>
      <w:bookmarkStart w:id="550" w:name="_Toc504654527"/>
      <w:bookmarkStart w:id="551" w:name="_Toc504656056"/>
      <w:bookmarkStart w:id="552" w:name="_Toc504661200"/>
      <w:bookmarkStart w:id="553" w:name="_Toc504661455"/>
      <w:bookmarkStart w:id="554" w:name="_Toc504662529"/>
      <w:bookmarkStart w:id="555" w:name="_Toc504669656"/>
      <w:bookmarkStart w:id="556" w:name="_Toc504670658"/>
      <w:bookmarkStart w:id="557" w:name="_Toc504729964"/>
      <w:bookmarkStart w:id="558" w:name="_Toc504732929"/>
      <w:bookmarkStart w:id="559" w:name="_Toc504736036"/>
      <w:bookmarkStart w:id="560" w:name="_Toc504736387"/>
      <w:bookmarkStart w:id="561" w:name="_Toc504741175"/>
      <w:bookmarkStart w:id="562" w:name="_Toc506819321"/>
      <w:bookmarkStart w:id="563" w:name="_Toc506998760"/>
      <w:bookmarkStart w:id="564" w:name="_Toc507075852"/>
      <w:bookmarkStart w:id="565" w:name="_Toc507080596"/>
      <w:bookmarkStart w:id="566" w:name="_Toc507591882"/>
      <w:bookmarkStart w:id="567" w:name="_Toc510018322"/>
      <w:r>
        <w:rPr>
          <w:noProof/>
        </w:rPr>
        <w:t xml:space="preserve">Annex 12: Additional data on </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Pr>
          <w:noProof/>
        </w:rPr>
        <w:t>i</w:t>
      </w:r>
      <w:bookmarkEnd w:id="481"/>
      <w:r>
        <w:rPr>
          <w:noProof/>
        </w:rPr>
        <w:t xml:space="preserve">nformation </w:t>
      </w:r>
      <w:r>
        <w:rPr>
          <w:noProof/>
        </w:rPr>
        <w:t>requirements</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rsidR="002430DD" w:rsidRDefault="002430DD">
      <w:pPr>
        <w:rPr>
          <w:noProof/>
          <w:sz w:val="20"/>
        </w:rPr>
      </w:pPr>
    </w:p>
    <w:p w:rsidR="002430DD" w:rsidRDefault="0008761B">
      <w:pPr>
        <w:rPr>
          <w:b/>
          <w:noProof/>
        </w:rPr>
      </w:pPr>
      <w:r>
        <w:rPr>
          <w:b/>
          <w:noProof/>
        </w:rPr>
        <w:t>Figure 1: Consumers' views of the redundancy of UCPD information requirements (behavioural experiment)</w:t>
      </w:r>
      <w:r>
        <w:rPr>
          <w:rStyle w:val="FootnoteReference"/>
          <w:b/>
          <w:noProof/>
        </w:rPr>
        <w:footnoteReference w:id="40"/>
      </w:r>
    </w:p>
    <w:p w:rsidR="002430DD" w:rsidRDefault="0008761B">
      <w:pPr>
        <w:rPr>
          <w:noProof/>
        </w:rPr>
      </w:pPr>
      <w:r>
        <w:rPr>
          <w:noProof/>
          <w:lang w:val="en-GB" w:eastAsia="en-GB"/>
        </w:rPr>
        <w:drawing>
          <wp:inline distT="0" distB="0" distL="0" distR="0">
            <wp:extent cx="5700395" cy="2529840"/>
            <wp:effectExtent l="0" t="0" r="0" b="381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0395" cy="2529840"/>
                    </a:xfrm>
                    <a:prstGeom prst="rect">
                      <a:avLst/>
                    </a:prstGeom>
                    <a:noFill/>
                  </pic:spPr>
                </pic:pic>
              </a:graphicData>
            </a:graphic>
          </wp:inline>
        </w:drawing>
      </w:r>
    </w:p>
    <w:p w:rsidR="002430DD" w:rsidRDefault="0008761B">
      <w:pPr>
        <w:rPr>
          <w:b/>
          <w:noProof/>
        </w:rPr>
      </w:pPr>
      <w:r>
        <w:rPr>
          <w:b/>
          <w:noProof/>
        </w:rPr>
        <w:t xml:space="preserve">Figure 2: Consumers' views on the importance of information presented in advertisement (respondents considering information as </w:t>
      </w:r>
      <w:r>
        <w:rPr>
          <w:b/>
          <w:noProof/>
        </w:rPr>
        <w:t>(important’ or ‘very important’))</w:t>
      </w:r>
      <w:r>
        <w:rPr>
          <w:rStyle w:val="FootnoteReference"/>
          <w:b/>
          <w:noProof/>
        </w:rPr>
        <w:footnoteReference w:id="41"/>
      </w:r>
      <w:r>
        <w:rPr>
          <w:b/>
          <w:noProof/>
        </w:rPr>
        <w:t xml:space="preserve">.  </w:t>
      </w:r>
    </w:p>
    <w:p w:rsidR="002430DD" w:rsidRDefault="0008761B">
      <w:pPr>
        <w:rPr>
          <w:noProof/>
        </w:rPr>
      </w:pPr>
      <w:r>
        <w:rPr>
          <w:noProof/>
          <w:lang w:val="en-GB" w:eastAsia="en-GB"/>
        </w:rPr>
        <w:drawing>
          <wp:inline distT="0" distB="0" distL="0" distR="0">
            <wp:extent cx="5742940" cy="284734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2940" cy="2847340"/>
                    </a:xfrm>
                    <a:prstGeom prst="rect">
                      <a:avLst/>
                    </a:prstGeom>
                    <a:noFill/>
                  </pic:spPr>
                </pic:pic>
              </a:graphicData>
            </a:graphic>
          </wp:inline>
        </w:drawing>
      </w:r>
    </w:p>
    <w:p w:rsidR="002430DD" w:rsidRDefault="0008761B">
      <w:pPr>
        <w:rPr>
          <w:noProof/>
        </w:rPr>
      </w:pPr>
      <w:r>
        <w:rPr>
          <w:b/>
          <w:noProof/>
        </w:rPr>
        <w:t>Question 162 in the public consultation</w:t>
      </w:r>
      <w:r>
        <w:rPr>
          <w:noProof/>
        </w:rPr>
        <w:t>: Currently, traders are required to provide the following information to consumers at the advertising stage and at the stage before the actual purchase. Do you agree that the f</w:t>
      </w:r>
      <w:r>
        <w:rPr>
          <w:noProof/>
        </w:rPr>
        <w:t>ollowing information is necessary already at the advertising stage even though the consumer will also receive this information at a later stage?:</w:t>
      </w:r>
    </w:p>
    <w:p w:rsidR="002430DD" w:rsidRDefault="0008761B">
      <w:pPr>
        <w:rPr>
          <w:noProof/>
        </w:rPr>
      </w:pPr>
      <w:r>
        <w:rPr>
          <w:noProof/>
        </w:rPr>
        <w:t xml:space="preserve">Most of the responding business associations considered that these two information elements are not needed at </w:t>
      </w:r>
      <w:r>
        <w:rPr>
          <w:noProof/>
        </w:rPr>
        <w:t>the advertising stage (35 out of 51 regarding the geographical address of the trader and 42 out of 51 respondents regarding the complaint handling). Most of the responding public authorities (11 out of 18) agreed that information about the complaint handli</w:t>
      </w:r>
      <w:r>
        <w:rPr>
          <w:noProof/>
        </w:rPr>
        <w:t>ng is not needed at the advertising stage. In contrast, a majority of them (13 out of 18) considered the geographical address of the trader as necessary also at the advertising stage. Almost all consumer associations replied in the public consultation that</w:t>
      </w:r>
      <w:r>
        <w:rPr>
          <w:noProof/>
        </w:rPr>
        <w:t xml:space="preserve"> both information elements are required at the advertising stage (16 out of 16 for the geographical address, 15 out of 16 for the complaint handling). 9 of 15 SMEs agreed that information about the geographical address is necessary already at advertising s</w:t>
      </w:r>
      <w:r>
        <w:rPr>
          <w:noProof/>
        </w:rPr>
        <w:t>tage but only 2 considered necessary the information about the complaint handling.</w:t>
      </w:r>
    </w:p>
    <w:p w:rsidR="002430DD" w:rsidRDefault="0008761B">
      <w:pPr>
        <w:rPr>
          <w:noProof/>
        </w:rPr>
      </w:pPr>
      <w:r>
        <w:rPr>
          <w:b/>
          <w:noProof/>
        </w:rPr>
        <w:t>Question 103 in the public consultation</w:t>
      </w:r>
      <w:r>
        <w:rPr>
          <w:noProof/>
        </w:rPr>
        <w:t xml:space="preserve">: Under the Consumer Rights Directive, the fax number and the email address – both if available - are listed as information that must </w:t>
      </w:r>
      <w:r>
        <w:rPr>
          <w:noProof/>
        </w:rPr>
        <w:t>be provided to the consumer before conclusion of the contract ("pre-contractual information obligation").  In view of technological developments, which of the following communication means are for you most relevant when communicating with consumers/traders</w:t>
      </w:r>
      <w:r>
        <w:rPr>
          <w:noProof/>
        </w:rPr>
        <w:t>?:</w:t>
      </w:r>
    </w:p>
    <w:p w:rsidR="002430DD" w:rsidRDefault="0008761B">
      <w:pPr>
        <w:rPr>
          <w:noProof/>
        </w:rPr>
      </w:pPr>
      <w:r>
        <w:rPr>
          <w:noProof/>
        </w:rPr>
        <w:t>No business association and only three consumer associations and two public authorities considered fax as a relevant means of communication. In contrast, web-based means of communication were considered by all these stakeholder categories nearly as rele</w:t>
      </w:r>
      <w:r>
        <w:rPr>
          <w:noProof/>
        </w:rPr>
        <w:t>vant as e-mail communications. Specifically, the following number of respondents considered these means of communication as relevant: consumer associations – 15 email and 13 web-based; business associations – 40 email and 30 web-based; public authorities –</w:t>
      </w:r>
      <w:r>
        <w:rPr>
          <w:noProof/>
        </w:rPr>
        <w:t xml:space="preserve"> 14 email and 10 web-based. As regards companies, among the 8 responding large companies all considered as relevant web-based tools, 7 chose email, 4 - social media whereas no one chose fax. Among the 15 SME respondents, 14 chose email, 7 – web-based tools</w:t>
      </w:r>
      <w:r>
        <w:rPr>
          <w:noProof/>
        </w:rPr>
        <w:t xml:space="preserve">, 2 – social media, and 6 – fax. </w:t>
      </w:r>
    </w:p>
    <w:p w:rsidR="002430DD" w:rsidRDefault="0008761B">
      <w:pPr>
        <w:spacing w:after="200" w:line="276" w:lineRule="auto"/>
        <w:jc w:val="left"/>
        <w:rPr>
          <w:noProof/>
        </w:rPr>
      </w:pPr>
      <w:r>
        <w:rPr>
          <w:noProof/>
        </w:rPr>
        <w:br w:type="page"/>
      </w:r>
    </w:p>
    <w:p w:rsidR="002430DD" w:rsidRDefault="0008761B">
      <w:pPr>
        <w:pStyle w:val="Heading1"/>
        <w:numPr>
          <w:ilvl w:val="0"/>
          <w:numId w:val="0"/>
        </w:numPr>
        <w:rPr>
          <w:noProof/>
        </w:rPr>
      </w:pPr>
      <w:bookmarkStart w:id="568" w:name="_Toc500422654"/>
      <w:bookmarkStart w:id="569" w:name="_Toc500430559"/>
      <w:bookmarkStart w:id="570" w:name="_Toc500435688"/>
      <w:bookmarkStart w:id="571" w:name="_Toc500436430"/>
      <w:bookmarkStart w:id="572" w:name="_Toc500436521"/>
      <w:bookmarkStart w:id="573" w:name="_Toc500437369"/>
      <w:bookmarkStart w:id="574" w:name="_Toc500437599"/>
      <w:bookmarkStart w:id="575" w:name="_Toc500440966"/>
      <w:bookmarkStart w:id="576" w:name="_Toc500490213"/>
      <w:bookmarkStart w:id="577" w:name="_Toc500495015"/>
      <w:bookmarkStart w:id="578" w:name="_Toc500495239"/>
      <w:bookmarkStart w:id="579" w:name="_Toc500495939"/>
      <w:bookmarkStart w:id="580" w:name="_Toc500498736"/>
      <w:bookmarkStart w:id="581" w:name="_Toc500498827"/>
      <w:bookmarkStart w:id="582" w:name="_Toc500499915"/>
      <w:bookmarkStart w:id="583" w:name="_Toc500500006"/>
      <w:bookmarkStart w:id="584" w:name="_Toc504064437"/>
      <w:bookmarkStart w:id="585" w:name="_Toc504064821"/>
      <w:bookmarkStart w:id="586" w:name="_Toc504065736"/>
      <w:bookmarkStart w:id="587" w:name="_Toc504066372"/>
      <w:bookmarkStart w:id="588" w:name="_Toc504149879"/>
      <w:bookmarkStart w:id="589" w:name="_Toc504151593"/>
      <w:bookmarkStart w:id="590" w:name="_Toc504151941"/>
      <w:bookmarkStart w:id="591" w:name="_Toc504153973"/>
      <w:bookmarkStart w:id="592" w:name="_Toc504472281"/>
      <w:bookmarkStart w:id="593" w:name="_Toc504491516"/>
      <w:bookmarkStart w:id="594" w:name="_Toc504495219"/>
      <w:bookmarkStart w:id="595" w:name="_Toc504497149"/>
      <w:bookmarkStart w:id="596" w:name="_Toc504497245"/>
      <w:bookmarkStart w:id="597" w:name="_Toc504497443"/>
      <w:bookmarkStart w:id="598" w:name="_Toc504499832"/>
      <w:bookmarkStart w:id="599" w:name="_Toc504501848"/>
      <w:bookmarkStart w:id="600" w:name="_Toc504579139"/>
      <w:bookmarkStart w:id="601" w:name="_Toc504580296"/>
      <w:bookmarkStart w:id="602" w:name="_Toc504588054"/>
      <w:bookmarkStart w:id="603" w:name="_Toc504588986"/>
      <w:bookmarkStart w:id="604" w:name="_Toc504642066"/>
      <w:bookmarkStart w:id="605" w:name="_Toc504644161"/>
      <w:bookmarkStart w:id="606" w:name="_Toc504645745"/>
      <w:bookmarkStart w:id="607" w:name="_Toc504648521"/>
      <w:bookmarkStart w:id="608" w:name="_Toc504650495"/>
      <w:bookmarkStart w:id="609" w:name="_Toc504654528"/>
      <w:bookmarkStart w:id="610" w:name="_Toc504656057"/>
      <w:bookmarkStart w:id="611" w:name="_Toc504661201"/>
      <w:bookmarkStart w:id="612" w:name="_Toc504661456"/>
      <w:bookmarkStart w:id="613" w:name="_Toc504662530"/>
      <w:bookmarkStart w:id="614" w:name="_Toc504669657"/>
      <w:bookmarkStart w:id="615" w:name="_Toc504670659"/>
      <w:bookmarkStart w:id="616" w:name="_Toc504729965"/>
      <w:bookmarkStart w:id="617" w:name="_Toc504732930"/>
      <w:bookmarkStart w:id="618" w:name="_Toc504736037"/>
      <w:bookmarkStart w:id="619" w:name="_Toc504736388"/>
      <w:bookmarkStart w:id="620" w:name="_Toc504741176"/>
      <w:bookmarkStart w:id="621" w:name="_Toc506819322"/>
      <w:bookmarkStart w:id="622" w:name="_Toc506998761"/>
      <w:bookmarkStart w:id="623" w:name="_Toc507075853"/>
      <w:bookmarkStart w:id="624" w:name="_Toc507080597"/>
      <w:bookmarkStart w:id="625" w:name="_Toc507591883"/>
      <w:bookmarkStart w:id="626" w:name="_Toc510018323"/>
      <w:bookmarkStart w:id="627" w:name="_Toc499632533"/>
      <w:bookmarkStart w:id="628" w:name="_Toc499632638"/>
      <w:bookmarkStart w:id="629" w:name="_Toc499637916"/>
      <w:bookmarkStart w:id="630" w:name="_Toc499645320"/>
      <w:bookmarkStart w:id="631" w:name="_Toc499645308"/>
      <w:bookmarkStart w:id="632" w:name="_Toc499657297"/>
      <w:bookmarkStart w:id="633" w:name="_Toc499662015"/>
      <w:bookmarkStart w:id="634" w:name="_Toc499663923"/>
      <w:bookmarkStart w:id="635" w:name="_Toc499664215"/>
      <w:bookmarkStart w:id="636" w:name="_Toc499664580"/>
      <w:bookmarkStart w:id="637" w:name="_Toc499667713"/>
      <w:bookmarkStart w:id="638" w:name="_Toc499667969"/>
      <w:bookmarkStart w:id="639" w:name="_Toc499732047"/>
      <w:bookmarkStart w:id="640" w:name="_Toc499740920"/>
      <w:bookmarkStart w:id="641" w:name="_Toc499741996"/>
      <w:bookmarkStart w:id="642" w:name="_Toc499742339"/>
      <w:bookmarkStart w:id="643" w:name="_Toc499818494"/>
      <w:bookmarkStart w:id="644" w:name="_Toc499820953"/>
      <w:bookmarkStart w:id="645" w:name="_Toc499821276"/>
      <w:bookmarkStart w:id="646" w:name="_Toc499821349"/>
      <w:bookmarkStart w:id="647" w:name="_Toc499821422"/>
      <w:bookmarkStart w:id="648" w:name="_Toc499821495"/>
      <w:bookmarkStart w:id="649" w:name="_Toc499909365"/>
      <w:bookmarkStart w:id="650" w:name="_Toc499910551"/>
      <w:bookmarkStart w:id="651" w:name="_Toc499913074"/>
      <w:bookmarkStart w:id="652" w:name="_Toc499915724"/>
      <w:bookmarkStart w:id="653" w:name="_Toc500153739"/>
      <w:bookmarkStart w:id="654" w:name="_Toc500154596"/>
      <w:bookmarkStart w:id="655" w:name="_Toc500158077"/>
      <w:bookmarkStart w:id="656" w:name="_Toc500168361"/>
      <w:bookmarkStart w:id="657" w:name="_Toc500174893"/>
      <w:bookmarkStart w:id="658" w:name="_Toc500176396"/>
      <w:bookmarkStart w:id="659" w:name="_Toc500181322"/>
      <w:bookmarkStart w:id="660" w:name="_Toc500181749"/>
      <w:bookmarkStart w:id="661" w:name="_Toc500182941"/>
      <w:bookmarkStart w:id="662" w:name="_Toc500259731"/>
      <w:bookmarkStart w:id="663" w:name="_Toc500261825"/>
      <w:bookmarkStart w:id="664" w:name="_Toc500262564"/>
      <w:bookmarkStart w:id="665" w:name="_Toc500264146"/>
      <w:bookmarkStart w:id="666" w:name="_Toc500265681"/>
      <w:bookmarkStart w:id="667" w:name="_Toc500266041"/>
      <w:bookmarkStart w:id="668" w:name="_Toc500265772"/>
      <w:bookmarkStart w:id="669" w:name="_Toc500348176"/>
      <w:bookmarkStart w:id="670" w:name="_Toc500348269"/>
      <w:bookmarkStart w:id="671" w:name="_Toc500349182"/>
      <w:bookmarkStart w:id="672" w:name="_Toc500349701"/>
      <w:bookmarkStart w:id="673" w:name="_Toc500412326"/>
      <w:bookmarkStart w:id="674" w:name="_Toc500414597"/>
      <w:bookmarkStart w:id="675" w:name="_Toc500414879"/>
      <w:bookmarkStart w:id="676" w:name="_Toc500414969"/>
      <w:r>
        <w:rPr>
          <w:noProof/>
        </w:rPr>
        <w:t>Annex 13: Additional data on rules on the right to withdraw</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rsidR="002430DD" w:rsidRDefault="002430DD">
      <w:pPr>
        <w:rPr>
          <w:noProof/>
        </w:rPr>
      </w:pPr>
    </w:p>
    <w:p w:rsidR="002430DD" w:rsidRDefault="0008761B">
      <w:pPr>
        <w:rPr>
          <w:noProof/>
        </w:rPr>
      </w:pPr>
      <w:r>
        <w:rPr>
          <w:b/>
          <w:noProof/>
        </w:rPr>
        <w:t>Question 1 in section C.1 of the SME panel consultation</w:t>
      </w:r>
      <w:r>
        <w:rPr>
          <w:noProof/>
        </w:rPr>
        <w:t xml:space="preserve">: Over the last two years, has your enterprise faced unnecessary and/or disproportionate burdens due to </w:t>
      </w:r>
      <w:r>
        <w:rPr>
          <w:noProof/>
        </w:rPr>
        <w:t xml:space="preserve">the following obligations related to the right of withdrawal (right for the consumer to cancel the contract within 14 days)? 1) Obligation to accept the return of goods bought online which consumers have used more than what they could have done in a brick </w:t>
      </w:r>
      <w:r>
        <w:rPr>
          <w:noProof/>
        </w:rPr>
        <w:t>and mortar shop (e.g. to check the size), thus requiring you to calculate the diminished value of the used good, to resell it as second-hand good and/or to dispose of it as waste); 2) Obligation to reimburse the consumer without having the possibility to i</w:t>
      </w:r>
      <w:r>
        <w:rPr>
          <w:noProof/>
        </w:rPr>
        <w:t>nspect the returned goods as soon as the consumer has supplied evidence of having sent them back.</w:t>
      </w:r>
    </w:p>
    <w:p w:rsidR="002430DD" w:rsidRDefault="0008761B">
      <w:pPr>
        <w:rPr>
          <w:noProof/>
        </w:rPr>
      </w:pPr>
      <w:r>
        <w:rPr>
          <w:noProof/>
        </w:rPr>
        <w:t>Significant share of respondents selling to consumers online replied that they face disproportionate burden. In particular, the majority of SMEs selling to co</w:t>
      </w:r>
      <w:r>
        <w:rPr>
          <w:noProof/>
        </w:rPr>
        <w:t>nsumers online replied that they never faced disproportionate burden related to the legal obligation to accept the return of "unduly tested goods" (52%, i.e. 51 out of 99 respondents) or to reimburse the consumer without having the possibility to inspect t</w:t>
      </w:r>
      <w:r>
        <w:rPr>
          <w:noProof/>
        </w:rPr>
        <w:t>he returned goods (60%, i.e. 58 out of 97 respondents). Few respondents have 'often' faced disproportionate burden, 4% (4 out of 99 respondents) for used goods, and 5% (5 out of 97 respondents) for early reimbursement.</w:t>
      </w:r>
    </w:p>
    <w:p w:rsidR="002430DD" w:rsidRDefault="0008761B">
      <w:pPr>
        <w:rPr>
          <w:noProof/>
        </w:rPr>
      </w:pPr>
      <w:r>
        <w:rPr>
          <w:b/>
          <w:noProof/>
        </w:rPr>
        <w:t>Question 148 in the public consultati</w:t>
      </w:r>
      <w:r>
        <w:rPr>
          <w:b/>
          <w:noProof/>
        </w:rPr>
        <w:t>on</w:t>
      </w:r>
      <w:r>
        <w:rPr>
          <w:noProof/>
        </w:rPr>
        <w:t>: Do you consider that traders face unnecessary and/or disproportionate burden due to the following obligations related to the right of withdrawal? 1) Obligation to accept the return of goods bought online which consumers have used more than what they co</w:t>
      </w:r>
      <w:r>
        <w:rPr>
          <w:noProof/>
        </w:rPr>
        <w:t>uld have done in a brick and mortar shop (thus requiring the trader to calculate the diminished value of the used good, to resell it as second-hand goods and/or to dispose of it as waste); 2) Obligation to reimburse the consumer without having the possibil</w:t>
      </w:r>
      <w:r>
        <w:rPr>
          <w:noProof/>
        </w:rPr>
        <w:t>ity to inspect the returned goods as soon as the consumer has supplied evidence of having sent them back.</w:t>
      </w:r>
    </w:p>
    <w:p w:rsidR="002430DD" w:rsidRDefault="0008761B">
      <w:pPr>
        <w:rPr>
          <w:noProof/>
        </w:rPr>
      </w:pPr>
      <w:r>
        <w:rPr>
          <w:noProof/>
        </w:rPr>
        <w:t>Only 16 out of 30 consumer associations replied to these questions. 7 of them acknowledged that the right of withdrawal for unduly tested goods create</w:t>
      </w:r>
      <w:r>
        <w:rPr>
          <w:noProof/>
        </w:rPr>
        <w:t>s disproportionate/unnecessary burden for traders to 'a large' or 'some extent' and 6 replied the same in relation to the early reimbursement obligation. As regards public authorities, 10 out of the 16 agreed that traders may experience burden to 'a large'</w:t>
      </w:r>
      <w:r>
        <w:rPr>
          <w:noProof/>
        </w:rPr>
        <w:t xml:space="preserve"> or 'some extent' for both the return of "unduly tested goods" and "early reimbursement".</w:t>
      </w:r>
    </w:p>
    <w:p w:rsidR="002430DD" w:rsidRDefault="0008761B">
      <w:pPr>
        <w:rPr>
          <w:noProof/>
        </w:rPr>
      </w:pPr>
      <w:r>
        <w:rPr>
          <w:noProof/>
        </w:rPr>
        <w:t xml:space="preserve">In the public consultation, out of the 94 online companies replying to the questions on the right of withdrawal for unduly tested goods, 58% (55 respondents) replied </w:t>
      </w:r>
      <w:r>
        <w:rPr>
          <w:noProof/>
        </w:rPr>
        <w:t>"do not know" to whether they had experienced significant problems to accept the return of such goods. Out of the 91 online companies replying to whether they had experienced significant problems due to the "early reimbursement", 57% (52 respondents) repli</w:t>
      </w:r>
      <w:r>
        <w:rPr>
          <w:noProof/>
        </w:rPr>
        <w:t>ed "do not know". Around 35% of them</w:t>
      </w:r>
      <w:r>
        <w:rPr>
          <w:noProof/>
          <w:vertAlign w:val="superscript"/>
        </w:rPr>
        <w:footnoteReference w:id="42"/>
      </w:r>
      <w:r>
        <w:rPr>
          <w:noProof/>
        </w:rPr>
        <w:t xml:space="preserve"> declared having experienced significant problems at least 'once'</w:t>
      </w:r>
      <w:r>
        <w:rPr>
          <w:noProof/>
          <w:vertAlign w:val="superscript"/>
        </w:rPr>
        <w:footnoteReference w:id="43"/>
      </w:r>
      <w:r>
        <w:rPr>
          <w:noProof/>
        </w:rPr>
        <w:t>. This is also true for small or micro enterprises operating online: around 34-37% of them</w:t>
      </w:r>
      <w:r>
        <w:rPr>
          <w:noProof/>
          <w:vertAlign w:val="superscript"/>
        </w:rPr>
        <w:footnoteReference w:id="44"/>
      </w:r>
      <w:r>
        <w:rPr>
          <w:noProof/>
        </w:rPr>
        <w:t xml:space="preserve"> replied they had experienced significant problems at least 'o</w:t>
      </w:r>
      <w:r>
        <w:rPr>
          <w:noProof/>
        </w:rPr>
        <w:t xml:space="preserve">nce'. </w:t>
      </w:r>
    </w:p>
    <w:p w:rsidR="002430DD" w:rsidRDefault="0008761B">
      <w:pPr>
        <w:rPr>
          <w:noProof/>
        </w:rPr>
      </w:pPr>
      <w:r>
        <w:rPr>
          <w:noProof/>
        </w:rPr>
        <w:t>In the public consultation 10 out of the 16 responding authorities</w:t>
      </w:r>
      <w:r>
        <w:rPr>
          <w:noProof/>
          <w:vertAlign w:val="superscript"/>
        </w:rPr>
        <w:footnoteReference w:id="45"/>
      </w:r>
      <w:r>
        <w:rPr>
          <w:noProof/>
        </w:rPr>
        <w:t xml:space="preserve"> agree that traders may experience burden to 'a large' or 'some extent' for both the return of "unduly tested goods" and "early reimbursement".</w:t>
      </w:r>
    </w:p>
    <w:p w:rsidR="002430DD" w:rsidRDefault="0008761B">
      <w:pPr>
        <w:rPr>
          <w:noProof/>
        </w:rPr>
      </w:pPr>
      <w:r>
        <w:rPr>
          <w:noProof/>
        </w:rPr>
        <w:t>However, very few respondents provided</w:t>
      </w:r>
      <w:r>
        <w:rPr>
          <w:noProof/>
        </w:rPr>
        <w:t xml:space="preserve"> quantitative data/estimates. As regards the share of returned used goods, 12 respondents (businesses selling online, two individuals and a national business association) indicated that 20% of goods are "unduly tested" in proportion to all returned goods (</w:t>
      </w:r>
      <w:r>
        <w:rPr>
          <w:noProof/>
        </w:rPr>
        <w:t>median value). At the same time, one should underline that most consumer associations (14 out of the 15 respondents), Member States authorities (12 out of the 16 respondents) and 'others' category (5 out of the 8 respondents) consider the right of withdraw</w:t>
      </w:r>
      <w:r>
        <w:rPr>
          <w:noProof/>
        </w:rPr>
        <w:t>al for "unduly tested goods" and the right to early reimbursement are 'rather'</w:t>
      </w:r>
      <w:r>
        <w:rPr>
          <w:noProof/>
          <w:vertAlign w:val="superscript"/>
        </w:rPr>
        <w:footnoteReference w:id="46"/>
      </w:r>
      <w:r>
        <w:rPr>
          <w:noProof/>
        </w:rPr>
        <w:t xml:space="preserve"> or 'very important'.</w:t>
      </w:r>
      <w:r>
        <w:rPr>
          <w:noProof/>
          <w:vertAlign w:val="superscript"/>
        </w:rPr>
        <w:footnoteReference w:id="47"/>
      </w:r>
      <w:r>
        <w:rPr>
          <w:noProof/>
        </w:rPr>
        <w:t xml:space="preserve"> </w:t>
      </w:r>
    </w:p>
    <w:p w:rsidR="002430DD" w:rsidRDefault="0008761B">
      <w:pPr>
        <w:pStyle w:val="Default"/>
        <w:jc w:val="both"/>
        <w:rPr>
          <w:rFonts w:ascii="Times New Roman" w:hAnsi="Times New Roman" w:cs="Times New Roman"/>
          <w:noProof/>
          <w:color w:val="auto"/>
        </w:rPr>
      </w:pPr>
      <w:r>
        <w:rPr>
          <w:rFonts w:ascii="Times New Roman" w:hAnsi="Times New Roman"/>
          <w:noProof/>
        </w:rPr>
        <w:t>Two out of the six submissions received by various stakeholders in the framework of the Refit Platform of the European Commission referred to the CRD rul</w:t>
      </w:r>
      <w:r>
        <w:rPr>
          <w:rFonts w:ascii="Times New Roman" w:hAnsi="Times New Roman"/>
          <w:noProof/>
        </w:rPr>
        <w:t>es on the exercise of the right of withdrawal for goods use more than allowed. In particular, the Danish Business Forum pointed to the need to investigate on the CRD rules in question to make it sure that the Directive does not impose unnecessary or dispro</w:t>
      </w:r>
      <w:r>
        <w:rPr>
          <w:rFonts w:ascii="Times New Roman" w:hAnsi="Times New Roman"/>
          <w:noProof/>
        </w:rPr>
        <w:t xml:space="preserve">portionate burdens on businesses, whereas the Detailhandel Nederland considers further clarification on these rules necessary. </w:t>
      </w:r>
      <w:r>
        <w:rPr>
          <w:rFonts w:ascii="Times New Roman" w:hAnsi="Times New Roman" w:cs="Times New Roman"/>
          <w:noProof/>
          <w:color w:val="auto"/>
        </w:rPr>
        <w:t xml:space="preserve">Overall, the Government group shared the conclusions of the Commission in the CRD Evaluation and whilst one Member State opposed </w:t>
      </w:r>
      <w:r>
        <w:rPr>
          <w:rFonts w:ascii="Times New Roman" w:hAnsi="Times New Roman" w:cs="Times New Roman"/>
          <w:noProof/>
          <w:color w:val="auto"/>
        </w:rPr>
        <w:t xml:space="preserve">to restricting the right of withdrawal of the consumer, the other contributing Member States supported the Commission's initiative to introduce possible targeted amendments </w:t>
      </w:r>
      <w:r>
        <w:rPr>
          <w:rFonts w:ascii="Times New Roman" w:hAnsi="Times New Roman"/>
          <w:noProof/>
          <w:color w:val="auto"/>
        </w:rPr>
        <w:t xml:space="preserve">to the rules on the right of withdrawal, if </w:t>
      </w:r>
      <w:r>
        <w:rPr>
          <w:rFonts w:ascii="Times New Roman" w:hAnsi="Times New Roman"/>
          <w:noProof/>
        </w:rPr>
        <w:t>the burden on traders is proved to be d</w:t>
      </w:r>
      <w:r>
        <w:rPr>
          <w:rFonts w:ascii="Times New Roman" w:hAnsi="Times New Roman"/>
          <w:noProof/>
        </w:rPr>
        <w:t xml:space="preserve">isproportionate. In particular, </w:t>
      </w:r>
      <w:r>
        <w:rPr>
          <w:rFonts w:ascii="Times New Roman" w:hAnsi="Times New Roman" w:cs="Times New Roman"/>
          <w:noProof/>
          <w:color w:val="auto"/>
        </w:rPr>
        <w:t>in</w:t>
      </w:r>
      <w:r>
        <w:rPr>
          <w:rFonts w:ascii="Times New Roman" w:hAnsi="Times New Roman"/>
          <w:noProof/>
          <w:color w:val="auto"/>
        </w:rPr>
        <w:t xml:space="preserve"> the opinion issued on 23 November 2017 </w:t>
      </w:r>
      <w:r>
        <w:rPr>
          <w:rFonts w:ascii="Times New Roman" w:hAnsi="Times New Roman"/>
          <w:noProof/>
          <w:color w:val="auto"/>
          <w:lang w:val="en-IE"/>
        </w:rPr>
        <w:t xml:space="preserve">the </w:t>
      </w:r>
      <w:r>
        <w:rPr>
          <w:rFonts w:ascii="Times New Roman" w:hAnsi="Times New Roman" w:cs="Times New Roman"/>
          <w:noProof/>
          <w:color w:val="auto"/>
        </w:rPr>
        <w:t>REFIT Platform welcomed the initiative by the Commission to analyse possible targeted legislative changes in view of the findings from the CRD evaluation.</w:t>
      </w:r>
      <w:r>
        <w:rPr>
          <w:rStyle w:val="FootnoteReference"/>
          <w:rFonts w:ascii="Times New Roman" w:hAnsi="Times New Roman"/>
          <w:noProof/>
        </w:rPr>
        <w:t xml:space="preserve"> </w:t>
      </w:r>
      <w:r>
        <w:rPr>
          <w:rStyle w:val="FootnoteReference"/>
          <w:rFonts w:ascii="Times New Roman" w:hAnsi="Times New Roman" w:cs="Times New Roman"/>
          <w:noProof/>
        </w:rPr>
        <w:footnoteReference w:id="48"/>
      </w:r>
    </w:p>
    <w:p w:rsidR="002430DD" w:rsidRDefault="0008761B">
      <w:pPr>
        <w:pStyle w:val="Default"/>
        <w:jc w:val="both"/>
        <w:rPr>
          <w:rFonts w:ascii="Times New Roman" w:hAnsi="Times New Roman"/>
          <w:noProof/>
        </w:rPr>
      </w:pPr>
      <w:r>
        <w:rPr>
          <w:rFonts w:ascii="Times New Roman" w:hAnsi="Times New Roman"/>
          <w:noProof/>
        </w:rPr>
        <w:br w:type="page"/>
      </w:r>
    </w:p>
    <w:p w:rsidR="002430DD" w:rsidRDefault="0008761B">
      <w:pPr>
        <w:pStyle w:val="Heading1"/>
        <w:numPr>
          <w:ilvl w:val="0"/>
          <w:numId w:val="0"/>
        </w:numPr>
        <w:rPr>
          <w:noProof/>
        </w:rPr>
      </w:pPr>
      <w:bookmarkStart w:id="677" w:name="_Toc506998762"/>
      <w:bookmarkStart w:id="678" w:name="_Toc507075854"/>
      <w:bookmarkStart w:id="679" w:name="_Toc507080598"/>
      <w:bookmarkStart w:id="680" w:name="_Toc507591884"/>
      <w:bookmarkStart w:id="681" w:name="_Toc510018324"/>
      <w:r>
        <w:rPr>
          <w:rFonts w:ascii="PFSquareSansPro-Regular" w:hAnsi="PFSquareSansPro-Regular"/>
          <w:noProof/>
          <w:sz w:val="16"/>
          <w:szCs w:val="16"/>
          <w:lang w:val="en-GB" w:eastAsia="en-GB"/>
        </w:rPr>
        <w:drawing>
          <wp:anchor distT="0" distB="0" distL="114300" distR="114300" simplePos="0" relativeHeight="251659264" behindDoc="0" locked="0" layoutInCell="1" allowOverlap="1">
            <wp:simplePos x="0" y="0"/>
            <wp:positionH relativeFrom="column">
              <wp:posOffset>-712470</wp:posOffset>
            </wp:positionH>
            <wp:positionV relativeFrom="paragraph">
              <wp:posOffset>402590</wp:posOffset>
            </wp:positionV>
            <wp:extent cx="7591425" cy="2514600"/>
            <wp:effectExtent l="0" t="0" r="9525" b="0"/>
            <wp:wrapSquare wrapText="bothSides"/>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NAME:Reports:Cover_A4_Report:Banner_title_science_FOR_2.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759142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Annex 14 </w:t>
      </w:r>
      <w:r>
        <w:rPr>
          <w:noProof/>
          <w:color w:val="1F497D"/>
        </w:rPr>
        <w:t xml:space="preserve">JRC </w:t>
      </w:r>
      <w:r>
        <w:rPr>
          <w:noProof/>
          <w:color w:val="1F497D"/>
        </w:rPr>
        <w:t>Technical Report: "An analysis of the influence of remedies and sanctions on consumers' exposure to unfair commercial practices and shopping problems"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Pr>
          <w:noProof/>
        </w:rPr>
        <w:t xml:space="preserve"> </w:t>
      </w:r>
    </w:p>
    <w:p w:rsidR="002430DD" w:rsidRDefault="0008761B">
      <w:pPr>
        <w:rPr>
          <w:noProof/>
        </w:rPr>
      </w:pPr>
      <w:bookmarkStart w:id="682" w:name="_Toc456357332"/>
      <w:r>
        <w:rPr>
          <w:noProof/>
        </w:rPr>
        <w:t xml:space="preserve"> </w:t>
      </w:r>
    </w:p>
    <w:p w:rsidR="002430DD" w:rsidRDefault="0008761B">
      <w:pPr>
        <w:pStyle w:val="JRCCovertitle"/>
        <w:rPr>
          <w:lang w:val="en-US" w:eastAsia="it-IT"/>
        </w:rPr>
      </w:pPr>
      <w:r>
        <w:rPr>
          <w:lang w:eastAsia="it-IT"/>
        </w:rPr>
        <w:t>An analysis of the influence of remedies and sanctions on consumers' exposure to unfair commercial pra</w:t>
      </w:r>
      <w:r>
        <w:rPr>
          <w:lang w:eastAsia="it-IT"/>
        </w:rPr>
        <w:t>ctices and shopping problems</w:t>
      </w:r>
    </w:p>
    <w:p w:rsidR="002430DD" w:rsidRDefault="0008761B">
      <w:pPr>
        <w:pStyle w:val="JRCCoverauthor"/>
        <w:ind w:left="5103"/>
        <w:rPr>
          <w:noProof/>
          <w:lang w:val="it-IT"/>
        </w:rPr>
      </w:pPr>
      <w:r>
        <w:rPr>
          <w:noProof/>
          <w:lang w:val="en-GB"/>
        </w:rPr>
        <w:drawing>
          <wp:anchor distT="0" distB="0" distL="114300" distR="114300" simplePos="0" relativeHeight="251655168" behindDoc="1" locked="0" layoutInCell="1" allowOverlap="1">
            <wp:simplePos x="0" y="0"/>
            <wp:positionH relativeFrom="page">
              <wp:posOffset>-595935</wp:posOffset>
            </wp:positionH>
            <wp:positionV relativeFrom="page">
              <wp:posOffset>7374128</wp:posOffset>
            </wp:positionV>
            <wp:extent cx="9072245" cy="3323590"/>
            <wp:effectExtent l="0" t="0" r="0" b="0"/>
            <wp:wrapNone/>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9072245" cy="3323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57216" behindDoc="0" locked="1" layoutInCell="1" allowOverlap="1">
                <wp:simplePos x="0" y="0"/>
                <wp:positionH relativeFrom="margin">
                  <wp:posOffset>3240405</wp:posOffset>
                </wp:positionH>
                <wp:positionV relativeFrom="page">
                  <wp:posOffset>7200900</wp:posOffset>
                </wp:positionV>
                <wp:extent cx="2260800" cy="486000"/>
                <wp:effectExtent l="0" t="0" r="6350" b="9525"/>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800" cy="486000"/>
                        </a:xfrm>
                        <a:prstGeom prst="rect">
                          <a:avLst/>
                        </a:prstGeom>
                        <a:no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2430DD" w:rsidRDefault="0008761B">
                            <w:pPr>
                              <w:pStyle w:val="JRCCoveryear"/>
                            </w:pPr>
                            <w:r>
                              <w:t xml:space="preserve">2017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2" o:spid="_x0000_s1026" type="#_x0000_t202" style="position:absolute;left:0;text-align:left;margin-left:255.15pt;margin-top:567pt;width:178pt;height:38.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" filled="f" stroked="f">
                <v:path arrowok="t"/>
                <v:textbox inset="0,0,0,0">
                  <w:txbxContent>
                    <w:p>
                      <w:pPr>
                        <w:pStyle w:val="JRCCoveryear"/>
                      </w:pPr>
                      <w:r>
                        <w:t xml:space="preserve">2017 </w:t>
                      </w:r>
                    </w:p>
                  </w:txbxContent>
                </v:textbox>
                <w10:wrap anchorx="margin" anchory="page"/>
                <w10:anchorlock/>
              </v:shape>
            </w:pict>
          </mc:Fallback>
        </mc:AlternateContent>
      </w:r>
      <w:r>
        <w:rPr>
          <w:noProof/>
          <w:lang w:val="it-IT"/>
        </w:rPr>
        <w:t>Canzian, G., Ferrara, A., Ferraresi, M.</w:t>
      </w:r>
    </w:p>
    <w:p w:rsidR="002430DD" w:rsidRDefault="002430DD">
      <w:pPr>
        <w:pStyle w:val="JRCCovertitle"/>
        <w:rPr>
          <w:lang w:val="it-IT"/>
        </w:rPr>
        <w:sectPr w:rsidR="002430DD">
          <w:headerReference w:type="even" r:id="rId50"/>
          <w:headerReference w:type="default" r:id="rId51"/>
          <w:footerReference w:type="even" r:id="rId52"/>
          <w:footerReference w:type="default" r:id="rId53"/>
          <w:headerReference w:type="first" r:id="rId54"/>
          <w:footerReference w:type="first" r:id="rId55"/>
          <w:pgSz w:w="11906" w:h="16838" w:code="9"/>
          <w:pgMar w:top="1134" w:right="1134" w:bottom="1134" w:left="1134" w:header="567" w:footer="567" w:gutter="0"/>
          <w:cols w:space="720"/>
          <w:docGrid w:linePitch="360"/>
        </w:sectPr>
      </w:pPr>
    </w:p>
    <w:p w:rsidR="002430DD" w:rsidRDefault="0008761B">
      <w:pPr>
        <w:pStyle w:val="JRCCovertext"/>
        <w:rPr>
          <w:noProof/>
        </w:rPr>
      </w:pPr>
      <w:r>
        <w:rPr>
          <w:noProof/>
        </w:rPr>
        <w:t xml:space="preserve">This publication is a Technical report by the Joint Research Centre (JRC), the European Commission’s science and </w:t>
      </w:r>
      <w:r>
        <w:rPr>
          <w:noProof/>
        </w:rPr>
        <w:t>knowledge service. It aims to provide evidence-based scientific support to the European policymaking process. The scientific output expressed does not imply a policy position of the European Commission. Neither the European Commission nor any person acting</w:t>
      </w:r>
      <w:r>
        <w:rPr>
          <w:noProof/>
        </w:rPr>
        <w:t xml:space="preserve"> on behalf of the Commission is responsible for the use that might be made of this publication.</w:t>
      </w:r>
    </w:p>
    <w:p w:rsidR="002430DD" w:rsidRDefault="002430DD">
      <w:pPr>
        <w:pStyle w:val="JRCCovertext"/>
        <w:rPr>
          <w:noProof/>
        </w:rPr>
      </w:pPr>
    </w:p>
    <w:p w:rsidR="002430DD" w:rsidRDefault="0008761B">
      <w:pPr>
        <w:pStyle w:val="JRCCovertext"/>
        <w:rPr>
          <w:noProof/>
          <w:color w:val="FF0000"/>
          <w:lang w:val="it-IT"/>
        </w:rPr>
      </w:pPr>
      <w:r>
        <w:rPr>
          <w:b/>
          <w:noProof/>
          <w:lang w:val="it-IT"/>
        </w:rPr>
        <w:t xml:space="preserve">Contact information </w:t>
      </w:r>
    </w:p>
    <w:p w:rsidR="002430DD" w:rsidRDefault="0008761B">
      <w:pPr>
        <w:pStyle w:val="JRCCovertext"/>
        <w:rPr>
          <w:noProof/>
          <w:lang w:val="it-IT"/>
        </w:rPr>
      </w:pPr>
      <w:r>
        <w:rPr>
          <w:noProof/>
          <w:lang w:val="it-IT"/>
        </w:rPr>
        <w:t>Name: Giulia Canzian</w:t>
      </w:r>
    </w:p>
    <w:p w:rsidR="002430DD" w:rsidRDefault="0008761B">
      <w:pPr>
        <w:pStyle w:val="JRCCovertext"/>
        <w:rPr>
          <w:noProof/>
          <w:lang w:val="it-IT"/>
        </w:rPr>
      </w:pPr>
      <w:r>
        <w:rPr>
          <w:noProof/>
          <w:lang w:val="it-IT"/>
        </w:rPr>
        <w:t>Address:  via E. Fermi 2749 - Ispra (VA), I-21027, Italy</w:t>
      </w:r>
    </w:p>
    <w:p w:rsidR="002430DD" w:rsidRDefault="0008761B">
      <w:pPr>
        <w:pStyle w:val="JRCCovertext"/>
        <w:rPr>
          <w:noProof/>
          <w:lang w:val="fr-FR"/>
        </w:rPr>
      </w:pPr>
      <w:r>
        <w:rPr>
          <w:noProof/>
          <w:lang w:val="fr-FR"/>
        </w:rPr>
        <w:t>Email: giulia.canzian@ec.europa.eu</w:t>
      </w:r>
    </w:p>
    <w:p w:rsidR="002430DD" w:rsidRDefault="0008761B">
      <w:pPr>
        <w:pStyle w:val="JRCCovertext"/>
        <w:rPr>
          <w:noProof/>
          <w:lang w:val="fr-FR"/>
        </w:rPr>
      </w:pPr>
      <w:r>
        <w:rPr>
          <w:noProof/>
          <w:lang w:val="fr-FR"/>
        </w:rPr>
        <w:t>Tel.: +39 0332 785791</w:t>
      </w:r>
    </w:p>
    <w:p w:rsidR="002430DD" w:rsidRDefault="002430DD">
      <w:pPr>
        <w:pStyle w:val="JRCCovertext"/>
        <w:rPr>
          <w:noProof/>
          <w:lang w:val="fr-FR"/>
        </w:rPr>
      </w:pPr>
    </w:p>
    <w:p w:rsidR="002430DD" w:rsidRDefault="0008761B">
      <w:pPr>
        <w:pStyle w:val="JRCCovertext"/>
        <w:rPr>
          <w:b/>
          <w:noProof/>
          <w:lang w:val="fr-BE"/>
        </w:rPr>
      </w:pPr>
      <w:r>
        <w:rPr>
          <w:b/>
          <w:noProof/>
          <w:lang w:val="fr-BE"/>
        </w:rPr>
        <w:t>JR</w:t>
      </w:r>
      <w:r>
        <w:rPr>
          <w:b/>
          <w:noProof/>
          <w:lang w:val="fr-BE"/>
        </w:rPr>
        <w:t>C Science Hub</w:t>
      </w:r>
    </w:p>
    <w:p w:rsidR="002430DD" w:rsidRDefault="0008761B">
      <w:pPr>
        <w:pStyle w:val="JRCCovertext"/>
        <w:rPr>
          <w:noProof/>
          <w:lang w:val="fr-BE"/>
        </w:rPr>
      </w:pPr>
      <w:r>
        <w:rPr>
          <w:noProof/>
          <w:lang w:val="fr-BE"/>
        </w:rPr>
        <w:t>https://ec.europa.eu/jrc</w:t>
      </w:r>
    </w:p>
    <w:p w:rsidR="002430DD" w:rsidRDefault="002430DD">
      <w:pPr>
        <w:pStyle w:val="JRCCovertext"/>
        <w:rPr>
          <w:noProof/>
          <w:lang w:val="fr-BE"/>
        </w:rPr>
      </w:pPr>
    </w:p>
    <w:p w:rsidR="002430DD" w:rsidRDefault="002430DD">
      <w:pPr>
        <w:pStyle w:val="JRCCovertext"/>
        <w:rPr>
          <w:noProof/>
          <w:lang w:val="fr-BE"/>
        </w:rPr>
      </w:pPr>
    </w:p>
    <w:p w:rsidR="002430DD" w:rsidRDefault="0008761B">
      <w:pPr>
        <w:pStyle w:val="JRCCovertext"/>
        <w:rPr>
          <w:noProof/>
          <w:lang w:val="it-IT"/>
        </w:rPr>
      </w:pPr>
      <w:r>
        <w:rPr>
          <w:noProof/>
          <w:lang w:val="it-IT"/>
        </w:rPr>
        <w:t>JRC109500</w:t>
      </w:r>
    </w:p>
    <w:p w:rsidR="002430DD" w:rsidRDefault="002430DD">
      <w:pPr>
        <w:pStyle w:val="JRCCovertext"/>
        <w:rPr>
          <w:noProof/>
          <w:lang w:val="it-IT"/>
        </w:rPr>
      </w:pPr>
    </w:p>
    <w:p w:rsidR="002430DD" w:rsidRDefault="0008761B">
      <w:pPr>
        <w:pStyle w:val="JRCCovertext"/>
        <w:rPr>
          <w:noProof/>
          <w:lang w:val="it-IT"/>
        </w:rPr>
      </w:pPr>
      <w:r>
        <w:rPr>
          <w:noProof/>
          <w:lang w:val="it-IT"/>
        </w:rPr>
        <w:t>Ispra : European Commission, 2017</w:t>
      </w:r>
    </w:p>
    <w:p w:rsidR="002430DD" w:rsidRDefault="002430DD">
      <w:pPr>
        <w:pStyle w:val="JRCCovertext"/>
        <w:rPr>
          <w:noProof/>
          <w:lang w:val="it-IT"/>
        </w:rPr>
      </w:pPr>
    </w:p>
    <w:p w:rsidR="002430DD" w:rsidRDefault="0008761B">
      <w:pPr>
        <w:pStyle w:val="JRCCovertext"/>
        <w:rPr>
          <w:b/>
          <w:noProof/>
          <w:lang w:val="it-IT"/>
        </w:rPr>
      </w:pPr>
      <w:r>
        <w:rPr>
          <w:noProof/>
          <w:lang w:val="it-IT"/>
        </w:rPr>
        <w:t>© European Union, 2017</w:t>
      </w:r>
    </w:p>
    <w:p w:rsidR="002430DD" w:rsidRDefault="002430DD">
      <w:pPr>
        <w:pStyle w:val="JRCCovertext"/>
        <w:rPr>
          <w:noProof/>
          <w:lang w:val="it-IT"/>
        </w:rPr>
      </w:pPr>
    </w:p>
    <w:p w:rsidR="002430DD" w:rsidRDefault="002430DD">
      <w:pPr>
        <w:pStyle w:val="JRCCovertext"/>
        <w:rPr>
          <w:noProof/>
          <w:lang w:val="it-IT"/>
        </w:rPr>
      </w:pPr>
    </w:p>
    <w:p w:rsidR="002430DD" w:rsidRDefault="0008761B">
      <w:pPr>
        <w:pStyle w:val="JRCCovertext"/>
        <w:rPr>
          <w:noProof/>
        </w:rPr>
      </w:pPr>
      <w:r>
        <w:rPr>
          <w:noProof/>
        </w:rPr>
        <w:t xml:space="preserve">Reuse is authorised provided the source is acknowledged. The reuse policy of European Commission documents is regulated by Decision 2011/833/EU </w:t>
      </w:r>
      <w:r>
        <w:rPr>
          <w:noProof/>
        </w:rPr>
        <w:t>(OJ L 330, 14.12.2011, p. 39).</w:t>
      </w:r>
    </w:p>
    <w:p w:rsidR="002430DD" w:rsidRDefault="002430DD">
      <w:pPr>
        <w:pStyle w:val="JRCCovertext"/>
        <w:rPr>
          <w:noProof/>
        </w:rPr>
      </w:pPr>
    </w:p>
    <w:p w:rsidR="002430DD" w:rsidRDefault="0008761B">
      <w:pPr>
        <w:pStyle w:val="JRCCovertext"/>
        <w:rPr>
          <w:noProof/>
        </w:rPr>
      </w:pPr>
      <w:r>
        <w:rPr>
          <w:noProof/>
        </w:rPr>
        <w:t>For any use or reproduction pf photos or other material that is not under the EU copyright, permission must be sought directly from the copyright holders.</w:t>
      </w:r>
    </w:p>
    <w:p w:rsidR="002430DD" w:rsidRDefault="0008761B">
      <w:pPr>
        <w:pStyle w:val="JRCCovertext"/>
        <w:rPr>
          <w:noProof/>
        </w:rPr>
      </w:pPr>
      <w:r>
        <w:rPr>
          <w:noProof/>
        </w:rPr>
        <w:t xml:space="preserve"> </w:t>
      </w:r>
    </w:p>
    <w:p w:rsidR="002430DD" w:rsidRDefault="0008761B">
      <w:pPr>
        <w:pStyle w:val="JRCCovertext"/>
        <w:rPr>
          <w:noProof/>
        </w:rPr>
      </w:pPr>
      <w:r>
        <w:rPr>
          <w:noProof/>
        </w:rPr>
        <w:t xml:space="preserve">How to cite this report: Canzian, G., Ferrara, A. and Ferraresi, M., </w:t>
      </w:r>
      <w:r>
        <w:rPr>
          <w:i/>
          <w:noProof/>
        </w:rPr>
        <w:t>An analysis of the influence of remedies and sanctions on consumers’ exposure to unfair commercial practices and shopping problems</w:t>
      </w:r>
      <w:r>
        <w:rPr>
          <w:noProof/>
        </w:rPr>
        <w:t>, European Commission, Ispra, 2017, JRC109500.</w:t>
      </w:r>
    </w:p>
    <w:p w:rsidR="002430DD" w:rsidRDefault="002430DD">
      <w:pPr>
        <w:pStyle w:val="JRCCovertext"/>
        <w:rPr>
          <w:noProof/>
        </w:rPr>
      </w:pPr>
    </w:p>
    <w:p w:rsidR="002430DD" w:rsidRDefault="0008761B">
      <w:pPr>
        <w:pStyle w:val="JRCCovertext"/>
        <w:rPr>
          <w:rFonts w:eastAsia="MS Mincho"/>
          <w:noProof/>
        </w:rPr>
      </w:pPr>
      <w:r>
        <w:rPr>
          <w:noProof/>
        </w:rPr>
        <w:t>All image</w:t>
      </w:r>
      <w:r>
        <w:rPr>
          <w:noProof/>
        </w:rPr>
        <w:t>s © European Union 2017</w:t>
      </w:r>
    </w:p>
    <w:p w:rsidR="002430DD" w:rsidRDefault="002430DD">
      <w:pPr>
        <w:pStyle w:val="JRCCovertext"/>
        <w:rPr>
          <w:rFonts w:eastAsia="MS Mincho"/>
          <w:noProof/>
        </w:rPr>
      </w:pPr>
    </w:p>
    <w:p w:rsidR="002430DD" w:rsidRDefault="002430DD">
      <w:pPr>
        <w:pStyle w:val="JRCLevel-1Fronttitle"/>
        <w:rPr>
          <w:noProof/>
        </w:rPr>
        <w:sectPr w:rsidR="002430DD">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08"/>
          <w:docGrid w:linePitch="360"/>
        </w:sectPr>
      </w:pPr>
    </w:p>
    <w:p w:rsidR="002430DD" w:rsidRDefault="0008761B">
      <w:pPr>
        <w:pStyle w:val="TOCHeading"/>
        <w:rPr>
          <w:noProof/>
        </w:rPr>
      </w:pPr>
      <w:r>
        <w:rPr>
          <w:noProof/>
        </w:rPr>
        <w:t>Contents</w:t>
      </w:r>
      <w:bookmarkEnd w:id="682"/>
    </w:p>
    <w:p w:rsidR="002430DD" w:rsidRDefault="0008761B">
      <w:pPr>
        <w:pStyle w:val="TOC1"/>
        <w:rPr>
          <w:rFonts w:asciiTheme="minorHAnsi" w:eastAsiaTheme="minorEastAsia" w:hAnsiTheme="minorHAnsi" w:cstheme="minorBidi"/>
          <w:noProof/>
          <w:sz w:val="22"/>
          <w:lang w:val="it-IT" w:eastAsia="it-IT"/>
        </w:rPr>
      </w:pPr>
      <w:r>
        <w:rPr>
          <w:noProof/>
          <w:lang w:val="pt-PT"/>
        </w:rPr>
        <w:fldChar w:fldCharType="begin"/>
      </w:r>
      <w:r>
        <w:rPr>
          <w:noProof/>
        </w:rPr>
        <w:instrText xml:space="preserve"> TOC \h \z </w:instrText>
      </w:r>
      <w:r>
        <w:rPr>
          <w:noProof/>
          <w:lang w:val="pt-PT"/>
        </w:rPr>
        <w:fldChar w:fldCharType="separate"/>
      </w:r>
      <w:hyperlink w:anchor="_Toc499651250" w:history="1">
        <w:r>
          <w:rPr>
            <w:rStyle w:val="Hyperlink"/>
            <w:noProof/>
          </w:rPr>
          <w:t>Acknowledgements</w:t>
        </w:r>
        <w:r>
          <w:rPr>
            <w:noProof/>
            <w:webHidden/>
          </w:rPr>
          <w:tab/>
        </w:r>
        <w:r>
          <w:rPr>
            <w:noProof/>
            <w:webHidden/>
          </w:rPr>
          <w:fldChar w:fldCharType="begin"/>
        </w:r>
        <w:r>
          <w:rPr>
            <w:noProof/>
            <w:webHidden/>
          </w:rPr>
          <w:instrText xml:space="preserve"> PAGEREF _Toc499651250 \h </w:instrText>
        </w:r>
        <w:r>
          <w:rPr>
            <w:noProof/>
            <w:webHidden/>
          </w:rPr>
        </w:r>
        <w:r>
          <w:rPr>
            <w:noProof/>
            <w:webHidden/>
          </w:rPr>
          <w:fldChar w:fldCharType="separate"/>
        </w:r>
        <w:r>
          <w:rPr>
            <w:noProof/>
            <w:webHidden/>
          </w:rPr>
          <w:t>1</w:t>
        </w:r>
        <w:r>
          <w:rPr>
            <w:noProof/>
            <w:webHidden/>
          </w:rPr>
          <w:fldChar w:fldCharType="end"/>
        </w:r>
      </w:hyperlink>
    </w:p>
    <w:p w:rsidR="002430DD" w:rsidRDefault="0008761B">
      <w:pPr>
        <w:pStyle w:val="TOC1"/>
        <w:rPr>
          <w:rFonts w:asciiTheme="minorHAnsi" w:eastAsiaTheme="minorEastAsia" w:hAnsiTheme="minorHAnsi" w:cstheme="minorBidi"/>
          <w:noProof/>
          <w:sz w:val="22"/>
          <w:lang w:val="it-IT" w:eastAsia="it-IT"/>
        </w:rPr>
      </w:pPr>
      <w:hyperlink w:anchor="_Toc499651251" w:history="1">
        <w:r>
          <w:rPr>
            <w:rStyle w:val="Hyperlink"/>
            <w:noProof/>
          </w:rPr>
          <w:t>Executive summary</w:t>
        </w:r>
        <w:r>
          <w:rPr>
            <w:noProof/>
            <w:webHidden/>
          </w:rPr>
          <w:tab/>
        </w:r>
        <w:r>
          <w:rPr>
            <w:noProof/>
            <w:webHidden/>
          </w:rPr>
          <w:fldChar w:fldCharType="begin"/>
        </w:r>
        <w:r>
          <w:rPr>
            <w:noProof/>
            <w:webHidden/>
          </w:rPr>
          <w:instrText xml:space="preserve"> PAGEREF _Toc499651251 \h </w:instrText>
        </w:r>
        <w:r>
          <w:rPr>
            <w:noProof/>
            <w:webHidden/>
          </w:rPr>
        </w:r>
        <w:r>
          <w:rPr>
            <w:noProof/>
            <w:webHidden/>
          </w:rPr>
          <w:fldChar w:fldCharType="separate"/>
        </w:r>
        <w:r>
          <w:rPr>
            <w:noProof/>
            <w:webHidden/>
          </w:rPr>
          <w:t>2</w:t>
        </w:r>
        <w:r>
          <w:rPr>
            <w:noProof/>
            <w:webHidden/>
          </w:rPr>
          <w:fldChar w:fldCharType="end"/>
        </w:r>
      </w:hyperlink>
    </w:p>
    <w:p w:rsidR="002430DD" w:rsidRDefault="0008761B">
      <w:pPr>
        <w:pStyle w:val="TOC1"/>
        <w:rPr>
          <w:rFonts w:asciiTheme="minorHAnsi" w:eastAsiaTheme="minorEastAsia" w:hAnsiTheme="minorHAnsi" w:cstheme="minorBidi"/>
          <w:noProof/>
          <w:sz w:val="22"/>
          <w:lang w:val="it-IT" w:eastAsia="it-IT"/>
        </w:rPr>
      </w:pPr>
      <w:hyperlink w:anchor="_Toc499651252" w:history="1">
        <w:r>
          <w:rPr>
            <w:rStyle w:val="Hyperlink"/>
            <w:noProof/>
          </w:rPr>
          <w:t>1</w:t>
        </w:r>
        <w:r>
          <w:rPr>
            <w:rFonts w:asciiTheme="minorHAnsi" w:eastAsiaTheme="minorEastAsia" w:hAnsiTheme="minorHAnsi" w:cstheme="minorBidi"/>
            <w:noProof/>
            <w:sz w:val="22"/>
            <w:lang w:val="it-IT" w:eastAsia="it-IT"/>
          </w:rPr>
          <w:tab/>
        </w:r>
        <w:r>
          <w:rPr>
            <w:rStyle w:val="Hyperlink"/>
            <w:noProof/>
          </w:rPr>
          <w:t>Introducti</w:t>
        </w:r>
        <w:r>
          <w:rPr>
            <w:rStyle w:val="Hyperlink"/>
            <w:noProof/>
          </w:rPr>
          <w:t>on</w:t>
        </w:r>
        <w:r>
          <w:rPr>
            <w:noProof/>
            <w:webHidden/>
          </w:rPr>
          <w:tab/>
        </w:r>
        <w:r>
          <w:rPr>
            <w:noProof/>
            <w:webHidden/>
          </w:rPr>
          <w:fldChar w:fldCharType="begin"/>
        </w:r>
        <w:r>
          <w:rPr>
            <w:noProof/>
            <w:webHidden/>
          </w:rPr>
          <w:instrText xml:space="preserve"> PAGEREF _Toc499651252 \h </w:instrText>
        </w:r>
        <w:r>
          <w:rPr>
            <w:noProof/>
            <w:webHidden/>
          </w:rPr>
        </w:r>
        <w:r>
          <w:rPr>
            <w:noProof/>
            <w:webHidden/>
          </w:rPr>
          <w:fldChar w:fldCharType="separate"/>
        </w:r>
        <w:r>
          <w:rPr>
            <w:noProof/>
            <w:webHidden/>
          </w:rPr>
          <w:t>3</w:t>
        </w:r>
        <w:r>
          <w:rPr>
            <w:noProof/>
            <w:webHidden/>
          </w:rPr>
          <w:fldChar w:fldCharType="end"/>
        </w:r>
      </w:hyperlink>
    </w:p>
    <w:p w:rsidR="002430DD" w:rsidRDefault="0008761B">
      <w:pPr>
        <w:pStyle w:val="TOC1"/>
        <w:rPr>
          <w:rFonts w:asciiTheme="minorHAnsi" w:eastAsiaTheme="minorEastAsia" w:hAnsiTheme="minorHAnsi" w:cstheme="minorBidi"/>
          <w:noProof/>
          <w:sz w:val="22"/>
          <w:lang w:val="it-IT" w:eastAsia="it-IT"/>
        </w:rPr>
      </w:pPr>
      <w:hyperlink w:anchor="_Toc499651253" w:history="1">
        <w:r>
          <w:rPr>
            <w:rStyle w:val="Hyperlink"/>
            <w:noProof/>
          </w:rPr>
          <w:t>2</w:t>
        </w:r>
        <w:r>
          <w:rPr>
            <w:rFonts w:asciiTheme="minorHAnsi" w:eastAsiaTheme="minorEastAsia" w:hAnsiTheme="minorHAnsi" w:cstheme="minorBidi"/>
            <w:noProof/>
            <w:sz w:val="22"/>
            <w:lang w:val="it-IT" w:eastAsia="it-IT"/>
          </w:rPr>
          <w:tab/>
        </w:r>
        <w:r>
          <w:rPr>
            <w:rStyle w:val="Hyperlink"/>
            <w:noProof/>
          </w:rPr>
          <w:t>Estimation approach</w:t>
        </w:r>
        <w:r>
          <w:rPr>
            <w:noProof/>
            <w:webHidden/>
          </w:rPr>
          <w:tab/>
        </w:r>
        <w:r>
          <w:rPr>
            <w:noProof/>
            <w:webHidden/>
          </w:rPr>
          <w:fldChar w:fldCharType="begin"/>
        </w:r>
        <w:r>
          <w:rPr>
            <w:noProof/>
            <w:webHidden/>
          </w:rPr>
          <w:instrText xml:space="preserve"> PAGEREF _Toc499651253 \h </w:instrText>
        </w:r>
        <w:r>
          <w:rPr>
            <w:noProof/>
            <w:webHidden/>
          </w:rPr>
        </w:r>
        <w:r>
          <w:rPr>
            <w:noProof/>
            <w:webHidden/>
          </w:rPr>
          <w:fldChar w:fldCharType="separate"/>
        </w:r>
        <w:r>
          <w:rPr>
            <w:noProof/>
            <w:webHidden/>
          </w:rPr>
          <w:t>4</w:t>
        </w:r>
        <w:r>
          <w:rPr>
            <w:noProof/>
            <w:webHidden/>
          </w:rPr>
          <w:fldChar w:fldCharType="end"/>
        </w:r>
      </w:hyperlink>
    </w:p>
    <w:p w:rsidR="002430DD" w:rsidRDefault="0008761B">
      <w:pPr>
        <w:pStyle w:val="TOC2"/>
        <w:rPr>
          <w:rFonts w:asciiTheme="minorHAnsi" w:eastAsiaTheme="minorEastAsia" w:hAnsiTheme="minorHAnsi" w:cstheme="minorBidi"/>
          <w:noProof/>
          <w:sz w:val="22"/>
          <w:lang w:val="it-IT" w:eastAsia="it-IT"/>
        </w:rPr>
      </w:pPr>
      <w:hyperlink w:anchor="_Toc499651254" w:history="1">
        <w:r>
          <w:rPr>
            <w:rStyle w:val="Hyperlink"/>
            <w:noProof/>
          </w:rPr>
          <w:t>2.1 Influence of penalties intensity on remedies implementation</w:t>
        </w:r>
        <w:r>
          <w:rPr>
            <w:noProof/>
            <w:webHidden/>
          </w:rPr>
          <w:tab/>
        </w:r>
        <w:r>
          <w:rPr>
            <w:noProof/>
            <w:webHidden/>
          </w:rPr>
          <w:fldChar w:fldCharType="begin"/>
        </w:r>
        <w:r>
          <w:rPr>
            <w:noProof/>
            <w:webHidden/>
          </w:rPr>
          <w:instrText xml:space="preserve"> PAGEREF _Toc499651254 \h </w:instrText>
        </w:r>
        <w:r>
          <w:rPr>
            <w:noProof/>
            <w:webHidden/>
          </w:rPr>
        </w:r>
        <w:r>
          <w:rPr>
            <w:noProof/>
            <w:webHidden/>
          </w:rPr>
          <w:fldChar w:fldCharType="separate"/>
        </w:r>
        <w:r>
          <w:rPr>
            <w:noProof/>
            <w:webHidden/>
          </w:rPr>
          <w:t>5</w:t>
        </w:r>
        <w:r>
          <w:rPr>
            <w:noProof/>
            <w:webHidden/>
          </w:rPr>
          <w:fldChar w:fldCharType="end"/>
        </w:r>
      </w:hyperlink>
    </w:p>
    <w:p w:rsidR="002430DD" w:rsidRDefault="0008761B">
      <w:pPr>
        <w:pStyle w:val="TOC1"/>
        <w:rPr>
          <w:rFonts w:asciiTheme="minorHAnsi" w:eastAsiaTheme="minorEastAsia" w:hAnsiTheme="minorHAnsi" w:cstheme="minorBidi"/>
          <w:noProof/>
          <w:sz w:val="22"/>
          <w:lang w:val="it-IT" w:eastAsia="it-IT"/>
        </w:rPr>
      </w:pPr>
      <w:hyperlink w:anchor="_Toc499651255" w:history="1">
        <w:r>
          <w:rPr>
            <w:rStyle w:val="Hyperlink"/>
            <w:noProof/>
          </w:rPr>
          <w:t>3</w:t>
        </w:r>
        <w:r>
          <w:rPr>
            <w:rFonts w:asciiTheme="minorHAnsi" w:eastAsiaTheme="minorEastAsia" w:hAnsiTheme="minorHAnsi" w:cstheme="minorBidi"/>
            <w:noProof/>
            <w:sz w:val="22"/>
            <w:lang w:val="it-IT" w:eastAsia="it-IT"/>
          </w:rPr>
          <w:tab/>
        </w:r>
        <w:r>
          <w:rPr>
            <w:rStyle w:val="Hyperlink"/>
            <w:noProof/>
          </w:rPr>
          <w:t>Data</w:t>
        </w:r>
        <w:r>
          <w:rPr>
            <w:noProof/>
            <w:webHidden/>
          </w:rPr>
          <w:tab/>
        </w:r>
        <w:r>
          <w:rPr>
            <w:noProof/>
            <w:webHidden/>
          </w:rPr>
          <w:fldChar w:fldCharType="begin"/>
        </w:r>
        <w:r>
          <w:rPr>
            <w:noProof/>
            <w:webHidden/>
          </w:rPr>
          <w:instrText xml:space="preserve"> PAGEREF _Toc499651255 \h </w:instrText>
        </w:r>
        <w:r>
          <w:rPr>
            <w:noProof/>
            <w:webHidden/>
          </w:rPr>
        </w:r>
        <w:r>
          <w:rPr>
            <w:noProof/>
            <w:webHidden/>
          </w:rPr>
          <w:fldChar w:fldCharType="separate"/>
        </w:r>
        <w:r>
          <w:rPr>
            <w:noProof/>
            <w:webHidden/>
          </w:rPr>
          <w:t>6</w:t>
        </w:r>
        <w:r>
          <w:rPr>
            <w:noProof/>
            <w:webHidden/>
          </w:rPr>
          <w:fldChar w:fldCharType="end"/>
        </w:r>
      </w:hyperlink>
    </w:p>
    <w:p w:rsidR="002430DD" w:rsidRDefault="0008761B">
      <w:pPr>
        <w:pStyle w:val="TOC1"/>
        <w:rPr>
          <w:rFonts w:asciiTheme="minorHAnsi" w:eastAsiaTheme="minorEastAsia" w:hAnsiTheme="minorHAnsi" w:cstheme="minorBidi"/>
          <w:noProof/>
          <w:sz w:val="22"/>
          <w:lang w:val="it-IT" w:eastAsia="it-IT"/>
        </w:rPr>
      </w:pPr>
      <w:hyperlink w:anchor="_Toc499651256" w:history="1">
        <w:r>
          <w:rPr>
            <w:rStyle w:val="Hyperlink"/>
            <w:noProof/>
          </w:rPr>
          <w:t>4</w:t>
        </w:r>
        <w:r>
          <w:rPr>
            <w:rFonts w:asciiTheme="minorHAnsi" w:eastAsiaTheme="minorEastAsia" w:hAnsiTheme="minorHAnsi" w:cstheme="minorBidi"/>
            <w:noProof/>
            <w:sz w:val="22"/>
            <w:lang w:val="it-IT" w:eastAsia="it-IT"/>
          </w:rPr>
          <w:tab/>
        </w:r>
        <w:r>
          <w:rPr>
            <w:rStyle w:val="Hyperlink"/>
            <w:noProof/>
          </w:rPr>
          <w:t>Results and interpretation</w:t>
        </w:r>
        <w:r>
          <w:rPr>
            <w:noProof/>
            <w:webHidden/>
          </w:rPr>
          <w:tab/>
        </w:r>
        <w:r>
          <w:rPr>
            <w:noProof/>
            <w:webHidden/>
          </w:rPr>
          <w:fldChar w:fldCharType="begin"/>
        </w:r>
        <w:r>
          <w:rPr>
            <w:noProof/>
            <w:webHidden/>
          </w:rPr>
          <w:instrText xml:space="preserve"> PAGEREF _Toc499651256 \h </w:instrText>
        </w:r>
        <w:r>
          <w:rPr>
            <w:noProof/>
            <w:webHidden/>
          </w:rPr>
        </w:r>
        <w:r>
          <w:rPr>
            <w:noProof/>
            <w:webHidden/>
          </w:rPr>
          <w:fldChar w:fldCharType="separate"/>
        </w:r>
        <w:r>
          <w:rPr>
            <w:noProof/>
            <w:webHidden/>
          </w:rPr>
          <w:t>8</w:t>
        </w:r>
        <w:r>
          <w:rPr>
            <w:noProof/>
            <w:webHidden/>
          </w:rPr>
          <w:fldChar w:fldCharType="end"/>
        </w:r>
      </w:hyperlink>
    </w:p>
    <w:p w:rsidR="002430DD" w:rsidRDefault="0008761B">
      <w:pPr>
        <w:pStyle w:val="TOC1"/>
        <w:rPr>
          <w:rFonts w:asciiTheme="minorHAnsi" w:eastAsiaTheme="minorEastAsia" w:hAnsiTheme="minorHAnsi" w:cstheme="minorBidi"/>
          <w:noProof/>
          <w:sz w:val="22"/>
          <w:lang w:val="it-IT" w:eastAsia="it-IT"/>
        </w:rPr>
      </w:pPr>
      <w:hyperlink w:anchor="_Toc499651257" w:history="1">
        <w:r>
          <w:rPr>
            <w:rStyle w:val="Hyperlink"/>
            <w:noProof/>
          </w:rPr>
          <w:t>5</w:t>
        </w:r>
        <w:r>
          <w:rPr>
            <w:rFonts w:asciiTheme="minorHAnsi" w:eastAsiaTheme="minorEastAsia" w:hAnsiTheme="minorHAnsi" w:cstheme="minorBidi"/>
            <w:noProof/>
            <w:sz w:val="22"/>
            <w:lang w:val="it-IT" w:eastAsia="it-IT"/>
          </w:rPr>
          <w:tab/>
        </w:r>
        <w:r>
          <w:rPr>
            <w:rStyle w:val="Hyperlink"/>
            <w:noProof/>
          </w:rPr>
          <w:t>Further extensions</w:t>
        </w:r>
        <w:r>
          <w:rPr>
            <w:noProof/>
            <w:webHidden/>
          </w:rPr>
          <w:tab/>
        </w:r>
        <w:r>
          <w:rPr>
            <w:noProof/>
            <w:webHidden/>
          </w:rPr>
          <w:fldChar w:fldCharType="begin"/>
        </w:r>
        <w:r>
          <w:rPr>
            <w:noProof/>
            <w:webHidden/>
          </w:rPr>
          <w:instrText xml:space="preserve"> PAGEREF _Toc499651257 \h </w:instrText>
        </w:r>
        <w:r>
          <w:rPr>
            <w:noProof/>
            <w:webHidden/>
          </w:rPr>
        </w:r>
        <w:r>
          <w:rPr>
            <w:noProof/>
            <w:webHidden/>
          </w:rPr>
          <w:fldChar w:fldCharType="separate"/>
        </w:r>
        <w:r>
          <w:rPr>
            <w:noProof/>
            <w:webHidden/>
          </w:rPr>
          <w:t>11</w:t>
        </w:r>
        <w:r>
          <w:rPr>
            <w:noProof/>
            <w:webHidden/>
          </w:rPr>
          <w:fldChar w:fldCharType="end"/>
        </w:r>
      </w:hyperlink>
    </w:p>
    <w:p w:rsidR="002430DD" w:rsidRDefault="0008761B">
      <w:pPr>
        <w:pStyle w:val="TOC1"/>
        <w:rPr>
          <w:rFonts w:asciiTheme="minorHAnsi" w:eastAsiaTheme="minorEastAsia" w:hAnsiTheme="minorHAnsi" w:cstheme="minorBidi"/>
          <w:noProof/>
          <w:sz w:val="22"/>
          <w:lang w:val="it-IT" w:eastAsia="it-IT"/>
        </w:rPr>
      </w:pPr>
      <w:hyperlink w:anchor="_Toc499651258" w:history="1">
        <w:r>
          <w:rPr>
            <w:rStyle w:val="Hyperlink"/>
            <w:noProof/>
          </w:rPr>
          <w:t>List of figures</w:t>
        </w:r>
        <w:r>
          <w:rPr>
            <w:noProof/>
            <w:webHidden/>
          </w:rPr>
          <w:tab/>
        </w:r>
        <w:r>
          <w:rPr>
            <w:noProof/>
            <w:webHidden/>
          </w:rPr>
          <w:fldChar w:fldCharType="begin"/>
        </w:r>
        <w:r>
          <w:rPr>
            <w:noProof/>
            <w:webHidden/>
          </w:rPr>
          <w:instrText xml:space="preserve"> PAGEREF _Toc49965</w:instrText>
        </w:r>
        <w:r>
          <w:rPr>
            <w:noProof/>
            <w:webHidden/>
          </w:rPr>
          <w:instrText xml:space="preserve">1258 \h </w:instrText>
        </w:r>
        <w:r>
          <w:rPr>
            <w:noProof/>
            <w:webHidden/>
          </w:rPr>
        </w:r>
        <w:r>
          <w:rPr>
            <w:noProof/>
            <w:webHidden/>
          </w:rPr>
          <w:fldChar w:fldCharType="separate"/>
        </w:r>
        <w:r>
          <w:rPr>
            <w:noProof/>
            <w:webHidden/>
          </w:rPr>
          <w:t>12</w:t>
        </w:r>
        <w:r>
          <w:rPr>
            <w:noProof/>
            <w:webHidden/>
          </w:rPr>
          <w:fldChar w:fldCharType="end"/>
        </w:r>
      </w:hyperlink>
    </w:p>
    <w:p w:rsidR="002430DD" w:rsidRDefault="0008761B">
      <w:pPr>
        <w:pStyle w:val="TOC1"/>
        <w:rPr>
          <w:rFonts w:asciiTheme="minorHAnsi" w:eastAsiaTheme="minorEastAsia" w:hAnsiTheme="minorHAnsi" w:cstheme="minorBidi"/>
          <w:noProof/>
          <w:sz w:val="22"/>
          <w:lang w:val="it-IT" w:eastAsia="it-IT"/>
        </w:rPr>
      </w:pPr>
      <w:hyperlink w:anchor="_Toc499651259" w:history="1">
        <w:r>
          <w:rPr>
            <w:rStyle w:val="Hyperlink"/>
            <w:noProof/>
          </w:rPr>
          <w:t>List of tables</w:t>
        </w:r>
        <w:r>
          <w:rPr>
            <w:noProof/>
            <w:webHidden/>
          </w:rPr>
          <w:tab/>
        </w:r>
        <w:r>
          <w:rPr>
            <w:noProof/>
            <w:webHidden/>
          </w:rPr>
          <w:fldChar w:fldCharType="begin"/>
        </w:r>
        <w:r>
          <w:rPr>
            <w:noProof/>
            <w:webHidden/>
          </w:rPr>
          <w:instrText xml:space="preserve"> PAGEREF _Toc499651259 \h </w:instrText>
        </w:r>
        <w:r>
          <w:rPr>
            <w:noProof/>
            <w:webHidden/>
          </w:rPr>
        </w:r>
        <w:r>
          <w:rPr>
            <w:noProof/>
            <w:webHidden/>
          </w:rPr>
          <w:fldChar w:fldCharType="separate"/>
        </w:r>
        <w:r>
          <w:rPr>
            <w:noProof/>
            <w:webHidden/>
          </w:rPr>
          <w:t>13</w:t>
        </w:r>
        <w:r>
          <w:rPr>
            <w:noProof/>
            <w:webHidden/>
          </w:rPr>
          <w:fldChar w:fldCharType="end"/>
        </w:r>
      </w:hyperlink>
    </w:p>
    <w:p w:rsidR="002430DD" w:rsidRDefault="0008761B">
      <w:pPr>
        <w:pStyle w:val="JRCText"/>
        <w:rPr>
          <w:noProof/>
          <w:lang w:val="pt-PT"/>
        </w:rPr>
        <w:sectPr w:rsidR="002430DD">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417" w:left="1417" w:header="708" w:footer="708" w:gutter="0"/>
          <w:pgNumType w:fmt="lowerRoman" w:start="1"/>
          <w:cols w:space="708"/>
          <w:docGrid w:linePitch="360"/>
        </w:sectPr>
      </w:pPr>
      <w:r>
        <w:rPr>
          <w:noProof/>
        </w:rPr>
        <w:fldChar w:fldCharType="end"/>
      </w:r>
    </w:p>
    <w:p w:rsidR="002430DD" w:rsidRDefault="0008761B">
      <w:pPr>
        <w:pStyle w:val="JRCLevel-1Backtitle"/>
        <w:rPr>
          <w:noProof/>
          <w:lang w:val="en-GB"/>
        </w:rPr>
      </w:pPr>
      <w:bookmarkStart w:id="683" w:name="_Toc499651250"/>
      <w:bookmarkStart w:id="684" w:name="_Toc506998763"/>
      <w:bookmarkStart w:id="685" w:name="_Toc507075855"/>
      <w:bookmarkStart w:id="686" w:name="_Toc507080599"/>
      <w:bookmarkStart w:id="687" w:name="_Toc507591885"/>
      <w:bookmarkStart w:id="688" w:name="_Toc510018325"/>
      <w:r>
        <w:rPr>
          <w:noProof/>
          <w:lang w:val="en-GB"/>
        </w:rPr>
        <w:t>Acknowledgements</w:t>
      </w:r>
      <w:bookmarkEnd w:id="683"/>
      <w:bookmarkEnd w:id="684"/>
      <w:bookmarkEnd w:id="685"/>
      <w:bookmarkEnd w:id="686"/>
      <w:bookmarkEnd w:id="687"/>
      <w:bookmarkEnd w:id="688"/>
    </w:p>
    <w:p w:rsidR="002430DD" w:rsidRDefault="0008761B">
      <w:pPr>
        <w:pStyle w:val="JRCText"/>
        <w:rPr>
          <w:noProof/>
        </w:rPr>
      </w:pPr>
      <w:r>
        <w:rPr>
          <w:noProof/>
        </w:rPr>
        <w:t>The authors would like to thank colleagues from DG JUST who provided insights and expertise that improved this report. We are also grateful to CC-ME team for their comments on an earlier version of the manuscript.</w:t>
      </w:r>
      <w:r>
        <w:rPr>
          <w:noProof/>
        </w:rPr>
        <w:t xml:space="preserve"> Any errors are our own.</w:t>
      </w:r>
    </w:p>
    <w:p w:rsidR="002430DD" w:rsidRDefault="0008761B">
      <w:pPr>
        <w:pStyle w:val="JRCLevel-2Frontsmalltitle"/>
        <w:rPr>
          <w:noProof/>
          <w:lang w:val="en-GB"/>
        </w:rPr>
      </w:pPr>
      <w:r>
        <w:rPr>
          <w:noProof/>
          <w:lang w:val="en-GB"/>
        </w:rPr>
        <w:t>Authors</w:t>
      </w:r>
    </w:p>
    <w:p w:rsidR="002430DD" w:rsidRDefault="0008761B">
      <w:pPr>
        <w:spacing w:after="0"/>
        <w:jc w:val="left"/>
        <w:rPr>
          <w:noProof/>
          <w:lang w:val="en-GB"/>
        </w:rPr>
      </w:pPr>
      <w:r>
        <w:rPr>
          <w:noProof/>
          <w:lang w:val="en-GB"/>
        </w:rPr>
        <w:t>Giulia Canzian, Antonella Ferrara and Massimiliano Ferraresi</w:t>
      </w:r>
      <w:r>
        <w:rPr>
          <w:noProof/>
          <w:lang w:val="en-GB"/>
        </w:rPr>
        <w:br w:type="page"/>
      </w:r>
    </w:p>
    <w:p w:rsidR="002430DD" w:rsidRDefault="0008761B">
      <w:pPr>
        <w:pStyle w:val="JRCLevel-1Backtitle"/>
        <w:rPr>
          <w:noProof/>
          <w:lang w:val="en-GB"/>
        </w:rPr>
      </w:pPr>
      <w:bookmarkStart w:id="689" w:name="_Toc499651251"/>
      <w:bookmarkStart w:id="690" w:name="_Toc506998764"/>
      <w:bookmarkStart w:id="691" w:name="_Toc507075856"/>
      <w:bookmarkStart w:id="692" w:name="_Toc507080600"/>
      <w:bookmarkStart w:id="693" w:name="_Toc507591886"/>
      <w:bookmarkStart w:id="694" w:name="_Toc510018326"/>
      <w:r>
        <w:rPr>
          <w:noProof/>
          <w:lang w:val="en-GB"/>
        </w:rPr>
        <w:t>Executive summary</w:t>
      </w:r>
      <w:bookmarkEnd w:id="689"/>
      <w:bookmarkEnd w:id="690"/>
      <w:bookmarkEnd w:id="691"/>
      <w:bookmarkEnd w:id="692"/>
      <w:bookmarkEnd w:id="693"/>
      <w:bookmarkEnd w:id="694"/>
    </w:p>
    <w:p w:rsidR="002430DD" w:rsidRDefault="002430DD">
      <w:pPr>
        <w:rPr>
          <w:b/>
          <w:noProof/>
          <w:lang w:val="en-GB"/>
        </w:rPr>
      </w:pPr>
    </w:p>
    <w:p w:rsidR="002430DD" w:rsidRDefault="0008761B">
      <w:pPr>
        <w:pStyle w:val="JRCText"/>
        <w:rPr>
          <w:noProof/>
        </w:rPr>
      </w:pPr>
      <w:r>
        <w:rPr>
          <w:noProof/>
        </w:rPr>
        <w:t xml:space="preserve">This technical note reports about the relationship between consumers’ behaviour and the implementation of the Unfair Commercial Practices </w:t>
      </w:r>
      <w:r>
        <w:rPr>
          <w:noProof/>
        </w:rPr>
        <w:t>Directive (2005/29/EC), aimed at contrasting illegal processes that can harm consumers’ rights and to ease cross-border trading for SMEs and businesses in general.</w:t>
      </w:r>
    </w:p>
    <w:p w:rsidR="002430DD" w:rsidRDefault="0008761B">
      <w:pPr>
        <w:pStyle w:val="JRCText"/>
        <w:rPr>
          <w:noProof/>
        </w:rPr>
      </w:pPr>
      <w:r>
        <w:rPr>
          <w:noProof/>
        </w:rPr>
        <w:t>In particular, it assesses to what extent the implementation by a country of either contract</w:t>
      </w:r>
      <w:r>
        <w:rPr>
          <w:noProof/>
        </w:rPr>
        <w:t>ual or extra-contractual remedies is associated to a lower probability – for a consumer – to experience an unfair commercial practice, and how these remedies influence the perception of consumers, measured by several outcomes.</w:t>
      </w:r>
    </w:p>
    <w:p w:rsidR="002430DD" w:rsidRDefault="0008761B">
      <w:pPr>
        <w:pStyle w:val="JRCText"/>
        <w:rPr>
          <w:noProof/>
        </w:rPr>
      </w:pPr>
      <w:r>
        <w:rPr>
          <w:noProof/>
        </w:rPr>
        <w:t xml:space="preserve">The results presented in the </w:t>
      </w:r>
      <w:r>
        <w:rPr>
          <w:noProof/>
        </w:rPr>
        <w:t>report show a broad range of correlation patterns between the main treatment variable and the outcome of interest. Some particular features of the data do not allow establishing causal relationships between the implementation of remedies and the results of</w:t>
      </w:r>
      <w:r>
        <w:rPr>
          <w:noProof/>
        </w:rPr>
        <w:t xml:space="preserve"> interest.</w:t>
      </w:r>
    </w:p>
    <w:p w:rsidR="002430DD" w:rsidRDefault="0008761B">
      <w:pPr>
        <w:pStyle w:val="JRCText"/>
        <w:rPr>
          <w:noProof/>
        </w:rPr>
      </w:pPr>
      <w:r>
        <w:rPr>
          <w:noProof/>
        </w:rPr>
        <w:t xml:space="preserve">The results indicate that consumers living in countries where remedies are in place experience a lower probability of both reporting a UCP and experiencing any kind of problem while shopping, when compared to consumers living in other countries </w:t>
      </w:r>
      <w:r>
        <w:rPr>
          <w:noProof/>
        </w:rPr>
        <w:t xml:space="preserve">without remedies. Moreover, the deterrent effect of remedies is associated with the value of a measure addressing the level of monitoring exerted by Public Administrations on compliance with consumers’ legislation; and with the severity of </w:t>
      </w:r>
      <w:r>
        <w:rPr>
          <w:rFonts w:eastAsiaTheme="minorHAnsi" w:cstheme="minorBidi"/>
          <w:noProof/>
          <w:szCs w:val="20"/>
        </w:rPr>
        <w:t>penalties for UC</w:t>
      </w:r>
      <w:r>
        <w:rPr>
          <w:rFonts w:eastAsiaTheme="minorHAnsi" w:cstheme="minorBidi"/>
          <w:noProof/>
          <w:szCs w:val="20"/>
        </w:rPr>
        <w:t>PD infringements envisaged by countries.</w:t>
      </w:r>
    </w:p>
    <w:p w:rsidR="002430DD" w:rsidRDefault="0008761B">
      <w:pPr>
        <w:pStyle w:val="JRCText"/>
        <w:rPr>
          <w:noProof/>
        </w:rPr>
      </w:pPr>
      <w:r>
        <w:rPr>
          <w:noProof/>
        </w:rPr>
        <w:t>Eventually, consumers living in countries where remedies are in place display also a higher likelihood of receiving a satisfying assistance once they complain after having suffered a problem while shopping.</w:t>
      </w:r>
    </w:p>
    <w:p w:rsidR="002430DD" w:rsidRDefault="002430DD">
      <w:pPr>
        <w:rPr>
          <w:noProof/>
          <w:lang w:val="en-GB"/>
        </w:rPr>
      </w:pPr>
    </w:p>
    <w:p w:rsidR="002430DD" w:rsidRDefault="0008761B">
      <w:pPr>
        <w:pStyle w:val="JRCLevel-1title"/>
        <w:ind w:left="432"/>
        <w:rPr>
          <w:noProof/>
        </w:rPr>
      </w:pPr>
      <w:bookmarkStart w:id="695" w:name="_Toc442866529"/>
      <w:bookmarkStart w:id="696" w:name="_Toc454372594"/>
      <w:bookmarkStart w:id="697" w:name="_Toc499651252"/>
      <w:bookmarkStart w:id="698" w:name="_Toc506998765"/>
      <w:bookmarkStart w:id="699" w:name="_Toc507075857"/>
      <w:bookmarkStart w:id="700" w:name="_Toc507080601"/>
      <w:bookmarkStart w:id="701" w:name="_Toc507591887"/>
      <w:bookmarkStart w:id="702" w:name="_Toc510018327"/>
      <w:r>
        <w:rPr>
          <w:noProof/>
        </w:rPr>
        <w:t>Introdu</w:t>
      </w:r>
      <w:r>
        <w:rPr>
          <w:noProof/>
        </w:rPr>
        <w:t>ction</w:t>
      </w:r>
      <w:bookmarkEnd w:id="695"/>
      <w:bookmarkEnd w:id="696"/>
      <w:bookmarkEnd w:id="697"/>
      <w:bookmarkEnd w:id="698"/>
      <w:bookmarkEnd w:id="699"/>
      <w:bookmarkEnd w:id="700"/>
      <w:bookmarkEnd w:id="701"/>
      <w:bookmarkEnd w:id="702"/>
    </w:p>
    <w:p w:rsidR="002430DD" w:rsidRDefault="0008761B">
      <w:pPr>
        <w:pStyle w:val="JRCText"/>
        <w:rPr>
          <w:noProof/>
        </w:rPr>
      </w:pPr>
      <w:r>
        <w:rPr>
          <w:noProof/>
        </w:rPr>
        <w:t>Consumers’ protection is at the forefront of European Commission interests. In the last decades a number of initiative has been put in place to ensure fair terms of trade for consumers, and among these, it is worth remembering the Unfair Commercial P</w:t>
      </w:r>
      <w:r>
        <w:rPr>
          <w:noProof/>
        </w:rPr>
        <w:t>ractice (UCP hereinafter) directive (2005/29/EC).</w:t>
      </w:r>
    </w:p>
    <w:p w:rsidR="002430DD" w:rsidRDefault="0008761B">
      <w:pPr>
        <w:pStyle w:val="JRCText"/>
        <w:rPr>
          <w:noProof/>
        </w:rPr>
      </w:pPr>
      <w:r>
        <w:rPr>
          <w:noProof/>
        </w:rPr>
        <w:t>The analysis presented in this report is related to the implementation of the UCP directive on consumers’ behaviour. In particular, it assesses to what extent the implementation by a country of either contr</w:t>
      </w:r>
      <w:r>
        <w:rPr>
          <w:noProof/>
        </w:rPr>
        <w:t>actual or extra-contractual remedies is associated to a lower probability – for a consumer – to experience an unfair commercial practice, and how these remedies influence the perception of consumers, measured by several outcomes.</w:t>
      </w:r>
    </w:p>
    <w:p w:rsidR="002430DD" w:rsidRDefault="002430DD">
      <w:pPr>
        <w:pStyle w:val="JRCText"/>
        <w:rPr>
          <w:noProof/>
        </w:rPr>
      </w:pPr>
    </w:p>
    <w:p w:rsidR="002430DD" w:rsidRDefault="002430DD">
      <w:pPr>
        <w:pStyle w:val="JRCText"/>
        <w:rPr>
          <w:noProof/>
        </w:rPr>
      </w:pPr>
    </w:p>
    <w:p w:rsidR="002430DD" w:rsidRDefault="002430DD">
      <w:pPr>
        <w:pStyle w:val="JRCText"/>
        <w:rPr>
          <w:noProof/>
        </w:rPr>
      </w:pPr>
    </w:p>
    <w:p w:rsidR="002430DD" w:rsidRDefault="002430DD">
      <w:pPr>
        <w:pStyle w:val="JRCText"/>
        <w:rPr>
          <w:noProof/>
        </w:rPr>
      </w:pPr>
    </w:p>
    <w:p w:rsidR="002430DD" w:rsidRDefault="002430DD">
      <w:pPr>
        <w:pStyle w:val="JRCText"/>
        <w:rPr>
          <w:noProof/>
        </w:rPr>
      </w:pPr>
    </w:p>
    <w:p w:rsidR="002430DD" w:rsidRDefault="0008761B">
      <w:pPr>
        <w:pStyle w:val="JRCLevel-1title"/>
        <w:ind w:left="432"/>
        <w:rPr>
          <w:noProof/>
        </w:rPr>
      </w:pPr>
      <w:bookmarkStart w:id="703" w:name="_Toc499651253"/>
      <w:bookmarkStart w:id="704" w:name="_Toc506998766"/>
      <w:bookmarkStart w:id="705" w:name="_Toc507075858"/>
      <w:bookmarkStart w:id="706" w:name="_Toc507080602"/>
      <w:bookmarkStart w:id="707" w:name="_Toc507591888"/>
      <w:bookmarkStart w:id="708" w:name="_Toc510018328"/>
      <w:r>
        <w:rPr>
          <w:noProof/>
        </w:rPr>
        <w:t>Estimation approach</w:t>
      </w:r>
      <w:bookmarkEnd w:id="703"/>
      <w:bookmarkEnd w:id="704"/>
      <w:bookmarkEnd w:id="705"/>
      <w:bookmarkEnd w:id="706"/>
      <w:bookmarkEnd w:id="707"/>
      <w:bookmarkEnd w:id="708"/>
      <w:r>
        <w:rPr>
          <w:noProof/>
        </w:rPr>
        <w:t xml:space="preserve"> </w:t>
      </w:r>
    </w:p>
    <w:p w:rsidR="002430DD" w:rsidRDefault="0008761B">
      <w:pPr>
        <w:pStyle w:val="JRCText"/>
        <w:rPr>
          <w:noProof/>
        </w:rPr>
      </w:pPr>
      <w:r>
        <w:rPr>
          <w:noProof/>
        </w:rPr>
        <w:t xml:space="preserve">The UCP directive was adopted to promote consumers’ rights protection and to ease cross-border trading for SMEs and businesses in general. In this light, the adoption of either contractual or extra-contractual remedies following the Directive was aimed at </w:t>
      </w:r>
      <w:r>
        <w:rPr>
          <w:noProof/>
        </w:rPr>
        <w:t xml:space="preserve">lowering the likelihood for consumers to encounter episodes of UCP, while shopping. </w:t>
      </w:r>
    </w:p>
    <w:p w:rsidR="002430DD" w:rsidRDefault="0008761B">
      <w:pPr>
        <w:pStyle w:val="JRCText"/>
        <w:rPr>
          <w:noProof/>
        </w:rPr>
      </w:pPr>
      <w:r>
        <w:rPr>
          <w:noProof/>
        </w:rPr>
        <w:t>For this reason the analysis focuses on three outcomes: the probability of experiencing a UCP; the probability of experiencing any kind of problem when shopping; and the p</w:t>
      </w:r>
      <w:r>
        <w:rPr>
          <w:noProof/>
        </w:rPr>
        <w:t>robability of receiving a satisfying assistance after complaining for shopping problems. The outcomes are all expressed in binary (0-1) terms.</w:t>
      </w:r>
    </w:p>
    <w:p w:rsidR="002430DD" w:rsidRDefault="0008761B">
      <w:pPr>
        <w:pStyle w:val="JRCText"/>
        <w:rPr>
          <w:noProof/>
        </w:rPr>
      </w:pPr>
      <w:r>
        <w:rPr>
          <w:noProof/>
        </w:rPr>
        <w:t>The evaluation of how the implementation of remedies is associated to these outcomes is done by means of a Linear</w:t>
      </w:r>
      <w:r>
        <w:rPr>
          <w:noProof/>
        </w:rPr>
        <w:t xml:space="preserve"> Probability Model (LPM). In this framework, the LPM returns estimated coefficients similar to that obtained by using either a logistic or a probabilistic model, but with the main advantage of the coefficients to be interpreted as percentage changes. In pa</w:t>
      </w:r>
      <w:r>
        <w:rPr>
          <w:noProof/>
        </w:rPr>
        <w:t>rticular, the results of the LPM represent the differential in the likelihood of a particular outcome to occur in countries where remedies are in place with respect to countries that do not foresee them.</w:t>
      </w:r>
    </w:p>
    <w:p w:rsidR="002430DD" w:rsidRDefault="0008761B">
      <w:pPr>
        <w:pStyle w:val="JRCText"/>
        <w:rPr>
          <w:noProof/>
        </w:rPr>
      </w:pPr>
      <w:r>
        <w:rPr>
          <w:noProof/>
        </w:rPr>
        <w:t xml:space="preserve">While the results of the LPM offer a broad range of </w:t>
      </w:r>
      <w:r>
        <w:rPr>
          <w:noProof/>
        </w:rPr>
        <w:t>correlation patterns, they cannot be interpreted as establishing causal relationships between the implementation of remedies and the outcome of interest. Indeed, in this setting, the available data were not enough to tackle all the endogeneity sources that</w:t>
      </w:r>
      <w:r>
        <w:rPr>
          <w:noProof/>
        </w:rPr>
        <w:t xml:space="preserve"> prevent a causal interpretation of the model performed.</w:t>
      </w:r>
    </w:p>
    <w:p w:rsidR="002430DD" w:rsidRDefault="0008761B">
      <w:pPr>
        <w:pStyle w:val="JRCText"/>
        <w:rPr>
          <w:noProof/>
        </w:rPr>
      </w:pPr>
      <w:r>
        <w:rPr>
          <w:noProof/>
        </w:rPr>
        <w:t xml:space="preserve">Nonetheless, a robust regression analysis has been performed by introducing control variables to account for possible confounding factors related to individual characteristics. </w:t>
      </w:r>
    </w:p>
    <w:p w:rsidR="002430DD" w:rsidRDefault="0008761B">
      <w:pPr>
        <w:pStyle w:val="JRCText"/>
        <w:rPr>
          <w:noProof/>
        </w:rPr>
      </w:pPr>
      <w:r>
        <w:rPr>
          <w:noProof/>
        </w:rPr>
        <w:t>The baseline model is</w:t>
      </w:r>
      <w:r>
        <w:rPr>
          <w:noProof/>
        </w:rPr>
        <w:t xml:space="preserve"> given by the following equation:</w:t>
      </w:r>
    </w:p>
    <w:p w:rsidR="002430DD" w:rsidRDefault="0008761B">
      <w:pPr>
        <w:pStyle w:val="JRCText"/>
        <w:jc w:val="right"/>
        <w:rPr>
          <w:noProof/>
        </w:rPr>
      </w:pPr>
      <m:oMath>
        <m:sSub>
          <m:sSubPr>
            <m:ctrlPr>
              <w:rPr>
                <w:rFonts w:ascii="Cambria Math" w:hAnsi="Cambria Math"/>
                <w:i/>
                <w:noProof/>
              </w:rPr>
            </m:ctrlPr>
          </m:sSubPr>
          <m:e>
            <m:r>
              <w:rPr>
                <w:rFonts w:ascii="Cambria Math" w:hAnsi="Cambria Math"/>
                <w:noProof/>
              </w:rPr>
              <m:t>y</m:t>
            </m:r>
          </m:e>
          <m:sub>
            <m:r>
              <w:rPr>
                <w:rFonts w:ascii="Cambria Math" w:hAnsi="Cambria Math"/>
                <w:noProof/>
              </w:rPr>
              <m:t>ic</m:t>
            </m:r>
          </m:sub>
        </m:sSub>
        <m:r>
          <w:rPr>
            <w:rFonts w:ascii="Cambria Math" w:hAnsi="Cambria Math"/>
            <w:noProof/>
          </w:rPr>
          <m:t>=</m:t>
        </m:r>
        <m:r>
          <w:rPr>
            <w:rFonts w:ascii="Cambria Math" w:hAnsi="Cambria Math"/>
            <w:noProof/>
          </w:rPr>
          <m:t>α</m:t>
        </m:r>
        <m:r>
          <w:rPr>
            <w:rFonts w:ascii="Cambria Math" w:hAnsi="Cambria Math"/>
            <w:noProof/>
          </w:rPr>
          <m:t>+</m:t>
        </m:r>
        <m:sSub>
          <m:sSubPr>
            <m:ctrlPr>
              <w:rPr>
                <w:rFonts w:ascii="Cambria Math" w:hAnsi="Cambria Math"/>
                <w:i/>
                <w:noProof/>
              </w:rPr>
            </m:ctrlPr>
          </m:sSubPr>
          <m:e>
            <m:r>
              <w:rPr>
                <w:rFonts w:ascii="Cambria Math" w:hAnsi="Cambria Math"/>
                <w:noProof/>
              </w:rPr>
              <m:t>β</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Remedies</m:t>
            </m:r>
          </m:e>
          <m:sub>
            <m:r>
              <w:rPr>
                <w:rFonts w:ascii="Cambria Math" w:hAnsi="Cambria Math"/>
                <w:noProof/>
              </w:rPr>
              <m:t>c</m:t>
            </m:r>
          </m:sub>
        </m:sSub>
        <m:r>
          <w:rPr>
            <w:rFonts w:ascii="Cambria Math" w:hAnsi="Cambria Math"/>
            <w:noProof/>
          </w:rPr>
          <m:t>+</m:t>
        </m:r>
        <m:sSub>
          <m:sSubPr>
            <m:ctrlPr>
              <w:rPr>
                <w:rFonts w:ascii="Cambria Math" w:hAnsi="Cambria Math"/>
                <w:i/>
                <w:noProof/>
              </w:rPr>
            </m:ctrlPr>
          </m:sSubPr>
          <m:e>
            <m:r>
              <w:rPr>
                <w:rFonts w:ascii="Cambria Math" w:hAnsi="Cambria Math"/>
                <w:noProof/>
              </w:rPr>
              <m:t>β</m:t>
            </m:r>
          </m:e>
          <m:sub>
            <m:r>
              <w:rPr>
                <w:rFonts w:ascii="Cambria Math" w:hAnsi="Cambria Math"/>
                <w:noProof/>
              </w:rPr>
              <m:t>2</m:t>
            </m:r>
          </m:sub>
        </m:sSub>
        <m:sSub>
          <m:sSubPr>
            <m:ctrlPr>
              <w:rPr>
                <w:rFonts w:ascii="Cambria Math" w:hAnsi="Cambria Math"/>
                <w:i/>
                <w:noProof/>
              </w:rPr>
            </m:ctrlPr>
          </m:sSubPr>
          <m:e>
            <m:r>
              <w:rPr>
                <w:rFonts w:ascii="Cambria Math" w:hAnsi="Cambria Math"/>
                <w:noProof/>
              </w:rPr>
              <m:t>PM</m:t>
            </m:r>
          </m:e>
          <m:sub>
            <m:r>
              <w:rPr>
                <w:rFonts w:ascii="Cambria Math" w:hAnsi="Cambria Math"/>
                <w:noProof/>
              </w:rPr>
              <m:t>c</m:t>
            </m:r>
          </m:sub>
        </m:sSub>
        <m:r>
          <w:rPr>
            <w:rFonts w:ascii="Cambria Math" w:hAnsi="Cambria Math"/>
            <w:noProof/>
          </w:rPr>
          <m:t>+</m:t>
        </m:r>
        <m:sSub>
          <m:sSubPr>
            <m:ctrlPr>
              <w:rPr>
                <w:rFonts w:ascii="Cambria Math" w:hAnsi="Cambria Math"/>
                <w:i/>
                <w:noProof/>
              </w:rPr>
            </m:ctrlPr>
          </m:sSubPr>
          <m:e>
            <m:r>
              <w:rPr>
                <w:rFonts w:ascii="Cambria Math" w:hAnsi="Cambria Math"/>
                <w:noProof/>
              </w:rPr>
              <m:t>β</m:t>
            </m:r>
          </m:e>
          <m:sub>
            <m:r>
              <w:rPr>
                <w:rFonts w:ascii="Cambria Math" w:hAnsi="Cambria Math"/>
                <w:noProof/>
              </w:rPr>
              <m:t>3</m:t>
            </m:r>
          </m:sub>
        </m:sSub>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Remedies</m:t>
                </m:r>
              </m:e>
              <m:sub>
                <m:r>
                  <w:rPr>
                    <w:rFonts w:ascii="Cambria Math" w:hAnsi="Cambria Math"/>
                    <w:noProof/>
                  </w:rPr>
                  <m:t>c</m:t>
                </m:r>
              </m:sub>
            </m:sSub>
            <m:r>
              <w:rPr>
                <w:rFonts w:ascii="Cambria Math" w:hAnsi="Cambria Math"/>
                <w:noProof/>
              </w:rPr>
              <m:t>*</m:t>
            </m:r>
            <m:r>
              <w:rPr>
                <w:rFonts w:ascii="Cambria Math" w:hAnsi="Cambria Math"/>
                <w:noProof/>
              </w:rPr>
              <m:t>PM</m:t>
            </m:r>
          </m:e>
          <m:sub>
            <m:r>
              <w:rPr>
                <w:rFonts w:ascii="Cambria Math" w:hAnsi="Cambria Math"/>
                <w:noProof/>
              </w:rPr>
              <m:t>c</m:t>
            </m:r>
          </m:sub>
        </m:sSub>
        <m:r>
          <w:rPr>
            <w:rFonts w:ascii="Cambria Math" w:hAnsi="Cambria Math"/>
            <w:noProof/>
          </w:rPr>
          <m:t>+</m:t>
        </m:r>
        <m:r>
          <w:rPr>
            <w:rFonts w:ascii="Cambria Math" w:hAnsi="Cambria Math"/>
            <w:noProof/>
          </w:rPr>
          <m:t>γ</m:t>
        </m:r>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ε</m:t>
            </m:r>
          </m:e>
          <m:sub>
            <m:r>
              <w:rPr>
                <w:rFonts w:ascii="Cambria Math" w:hAnsi="Cambria Math"/>
                <w:noProof/>
              </w:rPr>
              <m:t>ic</m:t>
            </m:r>
          </m:sub>
        </m:sSub>
      </m:oMath>
      <w:r>
        <w:rPr>
          <w:noProof/>
        </w:rPr>
        <w:t xml:space="preserve">    </w:t>
      </w:r>
      <w:r>
        <w:rPr>
          <w:noProof/>
        </w:rPr>
        <w:tab/>
      </w:r>
      <w:r>
        <w:rPr>
          <w:noProof/>
        </w:rPr>
        <w:tab/>
        <w:t xml:space="preserve">(1) </w:t>
      </w:r>
    </w:p>
    <w:p w:rsidR="002430DD" w:rsidRDefault="0008761B">
      <w:pPr>
        <w:pStyle w:val="JRCText"/>
        <w:rPr>
          <w:noProof/>
        </w:rPr>
      </w:pPr>
      <w:r>
        <w:rPr>
          <w:noProof/>
        </w:rPr>
        <w:t xml:space="preserve">where </w:t>
      </w:r>
      <m:oMath>
        <m:sSub>
          <m:sSubPr>
            <m:ctrlPr>
              <w:rPr>
                <w:rFonts w:ascii="Cambria Math" w:hAnsi="Cambria Math"/>
                <w:i/>
                <w:noProof/>
              </w:rPr>
            </m:ctrlPr>
          </m:sSubPr>
          <m:e>
            <m:r>
              <w:rPr>
                <w:rFonts w:ascii="Cambria Math" w:hAnsi="Cambria Math"/>
                <w:noProof/>
              </w:rPr>
              <m:t>y</m:t>
            </m:r>
          </m:e>
          <m:sub>
            <m:r>
              <w:rPr>
                <w:rFonts w:ascii="Cambria Math" w:hAnsi="Cambria Math"/>
                <w:noProof/>
              </w:rPr>
              <m:t>ic</m:t>
            </m:r>
          </m:sub>
        </m:sSub>
      </m:oMath>
      <w:r>
        <w:rPr>
          <w:noProof/>
        </w:rPr>
        <w:t xml:space="preserve"> is one of the outcome variables considered for individual </w:t>
      </w:r>
      <w:r>
        <w:rPr>
          <w:i/>
          <w:noProof/>
        </w:rPr>
        <w:t>i</w:t>
      </w:r>
      <w:r>
        <w:rPr>
          <w:noProof/>
        </w:rPr>
        <w:t xml:space="preserve"> and country </w:t>
      </w:r>
      <w:r>
        <w:rPr>
          <w:i/>
          <w:noProof/>
        </w:rPr>
        <w:t>c</w:t>
      </w:r>
      <w:r>
        <w:rPr>
          <w:noProof/>
        </w:rPr>
        <w:t xml:space="preserve">;  </w:t>
      </w:r>
      <m:oMath>
        <m:sSub>
          <m:sSubPr>
            <m:ctrlPr>
              <w:rPr>
                <w:rFonts w:ascii="Cambria Math" w:hAnsi="Cambria Math"/>
                <w:i/>
                <w:noProof/>
              </w:rPr>
            </m:ctrlPr>
          </m:sSubPr>
          <m:e>
            <m:r>
              <w:rPr>
                <w:rFonts w:ascii="Cambria Math" w:hAnsi="Cambria Math"/>
                <w:noProof/>
              </w:rPr>
              <m:t>Remedies</m:t>
            </m:r>
          </m:e>
          <m:sub>
            <m:r>
              <w:rPr>
                <w:rFonts w:ascii="Cambria Math" w:hAnsi="Cambria Math"/>
                <w:noProof/>
              </w:rPr>
              <m:t>c</m:t>
            </m:r>
          </m:sub>
        </m:sSub>
      </m:oMath>
      <w:r>
        <w:rPr>
          <w:noProof/>
        </w:rPr>
        <w:t xml:space="preserve"> is the main treatme</w:t>
      </w:r>
      <w:r>
        <w:rPr>
          <w:noProof/>
        </w:rPr>
        <w:t xml:space="preserve">nt variable that takes the value of one if the country envisages remedies for breaches in consumers’ law – either contractual or extra-contractual – and 0 otherwise. </w:t>
      </w:r>
      <m:oMath>
        <m:sSub>
          <m:sSubPr>
            <m:ctrlPr>
              <w:rPr>
                <w:rFonts w:ascii="Cambria Math" w:hAnsi="Cambria Math"/>
                <w:i/>
                <w:noProof/>
              </w:rPr>
            </m:ctrlPr>
          </m:sSubPr>
          <m:e>
            <m:r>
              <w:rPr>
                <w:rFonts w:ascii="Cambria Math" w:hAnsi="Cambria Math"/>
                <w:noProof/>
              </w:rPr>
              <m:t>PM</m:t>
            </m:r>
          </m:e>
          <m:sub>
            <m:r>
              <w:rPr>
                <w:rFonts w:ascii="Cambria Math" w:hAnsi="Cambria Math"/>
                <w:noProof/>
              </w:rPr>
              <m:t>c</m:t>
            </m:r>
          </m:sub>
        </m:sSub>
        <m:r>
          <w:rPr>
            <w:rFonts w:ascii="Cambria Math" w:hAnsi="Cambria Math"/>
            <w:noProof/>
          </w:rPr>
          <m:t xml:space="preserve"> </m:t>
        </m:r>
      </m:oMath>
      <w:r>
        <w:rPr>
          <w:noProof/>
        </w:rPr>
        <w:t xml:space="preserve">takes into account countries’ specific legislative framework, capturing the extent </w:t>
      </w:r>
      <w:r>
        <w:rPr>
          <w:noProof/>
        </w:rPr>
        <w:t xml:space="preserve">to which retailers in the country believe Public Authorities are effectively monitoring consumer legislation compliance.  </w:t>
      </w:r>
      <m:oMath>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r>
          <w:rPr>
            <w:rFonts w:ascii="Cambria Math" w:hAnsi="Cambria Math"/>
            <w:noProof/>
          </w:rPr>
          <m:t xml:space="preserve"> </m:t>
        </m:r>
      </m:oMath>
      <w:r>
        <w:rPr>
          <w:noProof/>
        </w:rPr>
        <w:t>is a vector of controls that gives reason to possible differences in reporting to the survey related to age, gender, the employme</w:t>
      </w:r>
      <w:r>
        <w:rPr>
          <w:noProof/>
        </w:rPr>
        <w:t>nt status, the intensity of internet usage, the living area, the mother tongue language (whether it is a European language or not), the number of spoken languages, the degree of financial difficulties experienced, the numerical skills and the degree of sel</w:t>
      </w:r>
      <w:r>
        <w:rPr>
          <w:noProof/>
        </w:rPr>
        <w:t xml:space="preserve">f-reported vulnerability with respect to contract terms and offers. </w:t>
      </w:r>
    </w:p>
    <w:p w:rsidR="002430DD" w:rsidRDefault="0008761B">
      <w:pPr>
        <w:pStyle w:val="JRCText"/>
        <w:rPr>
          <w:noProof/>
        </w:rPr>
      </w:pPr>
      <w:r>
        <w:rPr>
          <w:noProof/>
        </w:rPr>
        <w:t xml:space="preserve">The coefficient of interest is computed deriving equation (1) with respect to the </w:t>
      </w:r>
      <w:r>
        <w:rPr>
          <w:i/>
          <w:noProof/>
        </w:rPr>
        <w:t>Remedies</w:t>
      </w:r>
      <w:r>
        <w:rPr>
          <w:noProof/>
        </w:rPr>
        <w:t xml:space="preserve"> variable, which yields the following expression: </w:t>
      </w:r>
    </w:p>
    <w:p w:rsidR="002430DD" w:rsidRDefault="0008761B">
      <w:pPr>
        <w:pStyle w:val="JRCText"/>
        <w:rPr>
          <w:noProof/>
        </w:rPr>
      </w:pPr>
      <m:oMathPara>
        <m:oMath>
          <m:f>
            <m:fPr>
              <m:ctrlPr>
                <w:rPr>
                  <w:rFonts w:ascii="Cambria Math" w:hAnsi="Cambria Math"/>
                  <w:i/>
                  <w:noProof/>
                </w:rPr>
              </m:ctrlPr>
            </m:fPr>
            <m:num>
              <m:r>
                <w:rPr>
                  <w:rFonts w:ascii="Cambria Math" w:hAnsi="Cambria Math"/>
                  <w:noProof/>
                </w:rPr>
                <m:t>∂</m:t>
              </m:r>
              <m:sSub>
                <m:sSubPr>
                  <m:ctrlPr>
                    <w:rPr>
                      <w:rFonts w:ascii="Cambria Math" w:hAnsi="Cambria Math"/>
                      <w:i/>
                      <w:noProof/>
                    </w:rPr>
                  </m:ctrlPr>
                </m:sSubPr>
                <m:e>
                  <m:r>
                    <w:rPr>
                      <w:rFonts w:ascii="Cambria Math" w:hAnsi="Cambria Math"/>
                      <w:noProof/>
                    </w:rPr>
                    <m:t>y</m:t>
                  </m:r>
                </m:e>
                <m:sub>
                  <m:r>
                    <w:rPr>
                      <w:rFonts w:ascii="Cambria Math" w:hAnsi="Cambria Math"/>
                      <w:noProof/>
                    </w:rPr>
                    <m:t>ic</m:t>
                  </m:r>
                </m:sub>
              </m:sSub>
            </m:num>
            <m:den>
              <m:r>
                <w:rPr>
                  <w:rFonts w:ascii="Cambria Math" w:hAnsi="Cambria Math"/>
                  <w:noProof/>
                </w:rPr>
                <m:t>∂</m:t>
              </m:r>
              <m:sSub>
                <m:sSubPr>
                  <m:ctrlPr>
                    <w:rPr>
                      <w:rFonts w:ascii="Cambria Math" w:hAnsi="Cambria Math"/>
                      <w:i/>
                      <w:noProof/>
                    </w:rPr>
                  </m:ctrlPr>
                </m:sSubPr>
                <m:e>
                  <m:r>
                    <w:rPr>
                      <w:rFonts w:ascii="Cambria Math" w:hAnsi="Cambria Math"/>
                      <w:noProof/>
                    </w:rPr>
                    <m:t>Remedies</m:t>
                  </m:r>
                </m:e>
                <m:sub>
                  <m:r>
                    <w:rPr>
                      <w:rFonts w:ascii="Cambria Math" w:hAnsi="Cambria Math"/>
                      <w:noProof/>
                    </w:rPr>
                    <m:t>c</m:t>
                  </m:r>
                </m:sub>
              </m:sSub>
            </m:den>
          </m:f>
          <m:r>
            <w:rPr>
              <w:rFonts w:ascii="Cambria Math" w:hAnsi="Cambria Math"/>
              <w:noProof/>
            </w:rPr>
            <m:t>=</m:t>
          </m:r>
          <m:sSub>
            <m:sSubPr>
              <m:ctrlPr>
                <w:rPr>
                  <w:rFonts w:ascii="Cambria Math" w:hAnsi="Cambria Math"/>
                  <w:i/>
                  <w:noProof/>
                </w:rPr>
              </m:ctrlPr>
            </m:sSubPr>
            <m:e>
              <m:r>
                <w:rPr>
                  <w:rFonts w:ascii="Cambria Math" w:hAnsi="Cambria Math"/>
                  <w:noProof/>
                </w:rPr>
                <m:t>β</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β</m:t>
              </m:r>
            </m:e>
            <m:sub>
              <m:r>
                <w:rPr>
                  <w:rFonts w:ascii="Cambria Math" w:hAnsi="Cambria Math"/>
                  <w:noProof/>
                </w:rPr>
                <m:t>3</m:t>
              </m:r>
            </m:sub>
          </m:sSub>
          <m:r>
            <w:rPr>
              <w:rFonts w:ascii="Cambria Math" w:hAnsi="Cambria Math"/>
              <w:noProof/>
            </w:rPr>
            <m:t>*</m:t>
          </m:r>
          <m:r>
            <w:rPr>
              <w:rFonts w:ascii="Cambria Math" w:hAnsi="Cambria Math"/>
              <w:noProof/>
            </w:rPr>
            <m:t xml:space="preserve"> </m:t>
          </m:r>
          <m:sSub>
            <m:sSubPr>
              <m:ctrlPr>
                <w:rPr>
                  <w:rFonts w:ascii="Cambria Math" w:hAnsi="Cambria Math"/>
                  <w:i/>
                  <w:noProof/>
                </w:rPr>
              </m:ctrlPr>
            </m:sSubPr>
            <m:e>
              <m:r>
                <w:rPr>
                  <w:rFonts w:ascii="Cambria Math" w:hAnsi="Cambria Math"/>
                  <w:noProof/>
                </w:rPr>
                <m:t>PM</m:t>
              </m:r>
            </m:e>
            <m:sub>
              <m:r>
                <w:rPr>
                  <w:rFonts w:ascii="Cambria Math" w:hAnsi="Cambria Math"/>
                  <w:noProof/>
                </w:rPr>
                <m:t>C</m:t>
              </m:r>
            </m:sub>
          </m:sSub>
        </m:oMath>
      </m:oMathPara>
    </w:p>
    <w:p w:rsidR="002430DD" w:rsidRDefault="002430DD">
      <w:pPr>
        <w:pStyle w:val="JRCText"/>
        <w:rPr>
          <w:noProof/>
        </w:rPr>
      </w:pPr>
    </w:p>
    <w:p w:rsidR="002430DD" w:rsidRDefault="0008761B">
      <w:pPr>
        <w:pStyle w:val="JRCText"/>
        <w:rPr>
          <w:noProof/>
        </w:rPr>
      </w:pPr>
      <w:r>
        <w:rPr>
          <w:noProof/>
        </w:rPr>
        <w:t xml:space="preserve">thus, the influence of remedies is the result of the linear combination of the two estimated coefficients, </w:t>
      </w:r>
      <m:oMath>
        <m:sSub>
          <m:sSubPr>
            <m:ctrlPr>
              <w:rPr>
                <w:rFonts w:ascii="Cambria Math" w:hAnsi="Cambria Math"/>
                <w:i/>
                <w:noProof/>
              </w:rPr>
            </m:ctrlPr>
          </m:sSubPr>
          <m:e>
            <m:r>
              <w:rPr>
                <w:rFonts w:ascii="Cambria Math" w:hAnsi="Cambria Math"/>
                <w:noProof/>
              </w:rPr>
              <m:t>β</m:t>
            </m:r>
          </m:e>
          <m:sub>
            <m:r>
              <w:rPr>
                <w:rFonts w:ascii="Cambria Math" w:hAnsi="Cambria Math"/>
                <w:noProof/>
              </w:rPr>
              <m:t>1</m:t>
            </m:r>
          </m:sub>
        </m:sSub>
        <m:r>
          <w:rPr>
            <w:rFonts w:ascii="Cambria Math" w:hAnsi="Cambria Math"/>
            <w:noProof/>
          </w:rPr>
          <m:t xml:space="preserve"> </m:t>
        </m:r>
      </m:oMath>
      <w:r>
        <w:rPr>
          <w:noProof/>
        </w:rPr>
        <w:t xml:space="preserve">and </w:t>
      </w:r>
      <m:oMath>
        <m:sSub>
          <m:sSubPr>
            <m:ctrlPr>
              <w:rPr>
                <w:rFonts w:ascii="Cambria Math" w:hAnsi="Cambria Math"/>
                <w:i/>
                <w:noProof/>
              </w:rPr>
            </m:ctrlPr>
          </m:sSubPr>
          <m:e>
            <m:r>
              <w:rPr>
                <w:rFonts w:ascii="Cambria Math" w:hAnsi="Cambria Math"/>
                <w:noProof/>
              </w:rPr>
              <m:t>β</m:t>
            </m:r>
          </m:e>
          <m:sub>
            <m:r>
              <w:rPr>
                <w:rFonts w:ascii="Cambria Math" w:hAnsi="Cambria Math"/>
                <w:noProof/>
              </w:rPr>
              <m:t>3</m:t>
            </m:r>
          </m:sub>
        </m:sSub>
        <m:r>
          <w:rPr>
            <w:rFonts w:ascii="Cambria Math" w:hAnsi="Cambria Math"/>
            <w:noProof/>
          </w:rPr>
          <m:t xml:space="preserve"> </m:t>
        </m:r>
      </m:oMath>
      <w:r>
        <w:rPr>
          <w:noProof/>
        </w:rPr>
        <w:t>, computed for different levels of Public Monitoring. In particular, the combination is evaluated at minimum, mean, median and maximum va</w:t>
      </w:r>
      <w:r>
        <w:rPr>
          <w:noProof/>
        </w:rPr>
        <w:t xml:space="preserve">lues of PM. </w:t>
      </w:r>
    </w:p>
    <w:p w:rsidR="002430DD" w:rsidRDefault="002430DD">
      <w:pPr>
        <w:pStyle w:val="JRCText"/>
        <w:rPr>
          <w:noProof/>
        </w:rPr>
      </w:pPr>
    </w:p>
    <w:p w:rsidR="002430DD" w:rsidRDefault="002430DD">
      <w:pPr>
        <w:rPr>
          <w:noProof/>
        </w:rPr>
      </w:pPr>
    </w:p>
    <w:p w:rsidR="002430DD" w:rsidRDefault="0008761B">
      <w:pPr>
        <w:pStyle w:val="JRCLevel-2Backtitle"/>
        <w:rPr>
          <w:noProof/>
        </w:rPr>
      </w:pPr>
      <w:bookmarkStart w:id="709" w:name="_Toc499651254"/>
      <w:bookmarkStart w:id="710" w:name="_Toc506998767"/>
      <w:bookmarkStart w:id="711" w:name="_Toc507075859"/>
      <w:bookmarkStart w:id="712" w:name="_Toc507080603"/>
      <w:bookmarkStart w:id="713" w:name="_Toc507591889"/>
      <w:bookmarkStart w:id="714" w:name="_Toc510018329"/>
      <w:r>
        <w:rPr>
          <w:noProof/>
        </w:rPr>
        <w:t>2.1 Influence of penalties intensity on remedies implementation</w:t>
      </w:r>
      <w:bookmarkEnd w:id="709"/>
      <w:bookmarkEnd w:id="710"/>
      <w:bookmarkEnd w:id="711"/>
      <w:bookmarkEnd w:id="712"/>
      <w:bookmarkEnd w:id="713"/>
      <w:bookmarkEnd w:id="714"/>
    </w:p>
    <w:p w:rsidR="002430DD" w:rsidRDefault="0008761B">
      <w:pPr>
        <w:rPr>
          <w:noProof/>
        </w:rPr>
      </w:pPr>
      <w:r>
        <w:rPr>
          <w:noProof/>
        </w:rPr>
        <w:t>European countries envisage the possibility of applying penalties for breaches in consumer protection legislation. The level of penalties is highly heterogeneous across countrie</w:t>
      </w:r>
      <w:r>
        <w:rPr>
          <w:noProof/>
        </w:rPr>
        <w:t>s. In order to control for possible contemporaneous effects of remedies and penalties</w:t>
      </w:r>
      <w:r>
        <w:rPr>
          <w:rStyle w:val="FootnoteReference"/>
          <w:noProof/>
        </w:rPr>
        <w:footnoteReference w:id="49"/>
      </w:r>
      <w:r>
        <w:rPr>
          <w:noProof/>
        </w:rPr>
        <w:t xml:space="preserve"> implementation, a different specification of the previous model has been considered:</w:t>
      </w:r>
    </w:p>
    <w:p w:rsidR="002430DD" w:rsidRDefault="002430DD">
      <w:pPr>
        <w:rPr>
          <w:noProof/>
        </w:rPr>
      </w:pPr>
    </w:p>
    <w:p w:rsidR="002430DD" w:rsidRDefault="0008761B">
      <w:pPr>
        <w:pStyle w:val="JRCText"/>
        <w:jc w:val="right"/>
        <w:rPr>
          <w:noProof/>
        </w:rPr>
      </w:pPr>
      <m:oMath>
        <m:sSub>
          <m:sSubPr>
            <m:ctrlPr>
              <w:rPr>
                <w:rFonts w:ascii="Cambria Math" w:hAnsi="Cambria Math"/>
                <w:i/>
                <w:noProof/>
              </w:rPr>
            </m:ctrlPr>
          </m:sSubPr>
          <m:e>
            <m:r>
              <w:rPr>
                <w:rFonts w:ascii="Cambria Math" w:hAnsi="Cambria Math"/>
                <w:noProof/>
              </w:rPr>
              <m:t>y</m:t>
            </m:r>
          </m:e>
          <m:sub>
            <m:r>
              <w:rPr>
                <w:rFonts w:ascii="Cambria Math" w:hAnsi="Cambria Math"/>
                <w:noProof/>
              </w:rPr>
              <m:t>ic</m:t>
            </m:r>
          </m:sub>
        </m:sSub>
        <m:r>
          <w:rPr>
            <w:rFonts w:ascii="Cambria Math" w:hAnsi="Cambria Math"/>
            <w:noProof/>
          </w:rPr>
          <m:t>=</m:t>
        </m:r>
        <m:r>
          <w:rPr>
            <w:rFonts w:ascii="Cambria Math" w:hAnsi="Cambria Math"/>
            <w:noProof/>
          </w:rPr>
          <m:t>α</m:t>
        </m:r>
        <m:r>
          <w:rPr>
            <w:rFonts w:ascii="Cambria Math" w:hAnsi="Cambria Math"/>
            <w:noProof/>
          </w:rPr>
          <m:t>+</m:t>
        </m:r>
        <m:sSub>
          <m:sSubPr>
            <m:ctrlPr>
              <w:rPr>
                <w:rFonts w:ascii="Cambria Math" w:hAnsi="Cambria Math"/>
                <w:i/>
                <w:noProof/>
              </w:rPr>
            </m:ctrlPr>
          </m:sSubPr>
          <m:e>
            <m:r>
              <w:rPr>
                <w:rFonts w:ascii="Cambria Math" w:hAnsi="Cambria Math"/>
                <w:noProof/>
              </w:rPr>
              <m:t>β</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Remedies</m:t>
            </m:r>
          </m:e>
          <m:sub>
            <m:r>
              <w:rPr>
                <w:rFonts w:ascii="Cambria Math" w:hAnsi="Cambria Math"/>
                <w:noProof/>
              </w:rPr>
              <m:t>c</m:t>
            </m:r>
          </m:sub>
        </m:sSub>
        <m:r>
          <w:rPr>
            <w:rFonts w:ascii="Cambria Math" w:hAnsi="Cambria Math"/>
            <w:noProof/>
          </w:rPr>
          <m:t>+</m:t>
        </m:r>
        <m:sSub>
          <m:sSubPr>
            <m:ctrlPr>
              <w:rPr>
                <w:rFonts w:ascii="Cambria Math" w:hAnsi="Cambria Math"/>
                <w:i/>
                <w:noProof/>
              </w:rPr>
            </m:ctrlPr>
          </m:sSubPr>
          <m:e>
            <m:r>
              <w:rPr>
                <w:rFonts w:ascii="Cambria Math" w:hAnsi="Cambria Math"/>
                <w:noProof/>
              </w:rPr>
              <m:t>β</m:t>
            </m:r>
          </m:e>
          <m:sub>
            <m:r>
              <w:rPr>
                <w:rFonts w:ascii="Cambria Math" w:hAnsi="Cambria Math"/>
                <w:noProof/>
              </w:rPr>
              <m:t>2</m:t>
            </m:r>
          </m:sub>
        </m:sSub>
        <m:sSub>
          <m:sSubPr>
            <m:ctrlPr>
              <w:rPr>
                <w:rFonts w:ascii="Cambria Math" w:hAnsi="Cambria Math"/>
                <w:i/>
                <w:noProof/>
              </w:rPr>
            </m:ctrlPr>
          </m:sSubPr>
          <m:e>
            <m:r>
              <w:rPr>
                <w:rFonts w:ascii="Cambria Math" w:hAnsi="Cambria Math"/>
                <w:noProof/>
              </w:rPr>
              <m:t>Penalties</m:t>
            </m:r>
          </m:e>
          <m:sub>
            <m:r>
              <w:rPr>
                <w:rFonts w:ascii="Cambria Math" w:hAnsi="Cambria Math"/>
                <w:noProof/>
              </w:rPr>
              <m:t>c</m:t>
            </m:r>
          </m:sub>
        </m:sSub>
        <m:r>
          <w:rPr>
            <w:rFonts w:ascii="Cambria Math" w:hAnsi="Cambria Math"/>
            <w:noProof/>
          </w:rPr>
          <m:t>+</m:t>
        </m:r>
        <m:sSub>
          <m:sSubPr>
            <m:ctrlPr>
              <w:rPr>
                <w:rFonts w:ascii="Cambria Math" w:hAnsi="Cambria Math"/>
                <w:i/>
                <w:noProof/>
              </w:rPr>
            </m:ctrlPr>
          </m:sSubPr>
          <m:e>
            <m:r>
              <w:rPr>
                <w:rFonts w:ascii="Cambria Math" w:hAnsi="Cambria Math"/>
                <w:noProof/>
              </w:rPr>
              <m:t>β</m:t>
            </m:r>
          </m:e>
          <m:sub>
            <m:r>
              <w:rPr>
                <w:rFonts w:ascii="Cambria Math" w:hAnsi="Cambria Math"/>
                <w:noProof/>
              </w:rPr>
              <m:t>3</m:t>
            </m:r>
          </m:sub>
        </m:sSub>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Remedies</m:t>
                </m:r>
              </m:e>
              <m:sub>
                <m:r>
                  <w:rPr>
                    <w:rFonts w:ascii="Cambria Math" w:hAnsi="Cambria Math"/>
                    <w:noProof/>
                  </w:rPr>
                  <m:t>c</m:t>
                </m:r>
              </m:sub>
            </m:sSub>
            <m:r>
              <w:rPr>
                <w:rFonts w:ascii="Cambria Math" w:hAnsi="Cambria Math"/>
                <w:noProof/>
              </w:rPr>
              <m:t>*</m:t>
            </m:r>
            <m:sSub>
              <m:sSubPr>
                <m:ctrlPr>
                  <w:rPr>
                    <w:rFonts w:ascii="Cambria Math" w:hAnsi="Cambria Math"/>
                    <w:i/>
                    <w:noProof/>
                  </w:rPr>
                </m:ctrlPr>
              </m:sSubPr>
              <m:e>
                <m:r>
                  <w:rPr>
                    <w:rFonts w:ascii="Cambria Math" w:hAnsi="Cambria Math"/>
                    <w:noProof/>
                  </w:rPr>
                  <m:t>Pe</m:t>
                </m:r>
                <m:r>
                  <w:rPr>
                    <w:rFonts w:ascii="Cambria Math" w:hAnsi="Cambria Math"/>
                    <w:noProof/>
                  </w:rPr>
                  <m:t>n</m:t>
                </m:r>
                <m:r>
                  <w:rPr>
                    <w:rFonts w:ascii="Cambria Math" w:hAnsi="Cambria Math"/>
                    <w:noProof/>
                  </w:rPr>
                  <m:t>alties</m:t>
                </m:r>
              </m:e>
              <m:sub>
                <m:r>
                  <w:rPr>
                    <w:rFonts w:ascii="Cambria Math" w:hAnsi="Cambria Math"/>
                    <w:noProof/>
                  </w:rPr>
                  <m:t>c</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β</m:t>
                </m:r>
              </m:e>
              <m:sub>
                <m:r>
                  <w:rPr>
                    <w:rFonts w:ascii="Cambria Math" w:hAnsi="Cambria Math"/>
                    <w:noProof/>
                  </w:rPr>
                  <m:t>4</m:t>
                </m:r>
              </m:sub>
            </m:sSub>
            <m:r>
              <w:rPr>
                <w:rFonts w:ascii="Cambria Math" w:hAnsi="Cambria Math"/>
                <w:noProof/>
              </w:rPr>
              <m:t>PM</m:t>
            </m:r>
          </m:e>
          <m:sub>
            <m:r>
              <w:rPr>
                <w:rFonts w:ascii="Cambria Math" w:hAnsi="Cambria Math"/>
                <w:noProof/>
              </w:rPr>
              <m:t>c</m:t>
            </m:r>
          </m:sub>
        </m:sSub>
        <m:r>
          <w:rPr>
            <w:rFonts w:ascii="Cambria Math" w:hAnsi="Cambria Math"/>
            <w:noProof/>
          </w:rPr>
          <m:t>+</m:t>
        </m:r>
        <m:r>
          <w:rPr>
            <w:rFonts w:ascii="Cambria Math" w:hAnsi="Cambria Math"/>
            <w:noProof/>
          </w:rPr>
          <m:t>γ</m:t>
        </m:r>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ε</m:t>
            </m:r>
          </m:e>
          <m:sub>
            <m:r>
              <w:rPr>
                <w:rFonts w:ascii="Cambria Math" w:hAnsi="Cambria Math"/>
                <w:noProof/>
              </w:rPr>
              <m:t>ic</m:t>
            </m:r>
          </m:sub>
        </m:sSub>
      </m:oMath>
      <w:r>
        <w:rPr>
          <w:noProof/>
        </w:rPr>
        <w:t xml:space="preserve">    </w:t>
      </w:r>
      <w:r>
        <w:rPr>
          <w:noProof/>
        </w:rPr>
        <w:tab/>
        <w:t xml:space="preserve">(2) </w:t>
      </w:r>
    </w:p>
    <w:p w:rsidR="002430DD" w:rsidRDefault="002430DD">
      <w:pPr>
        <w:pStyle w:val="JRCText"/>
        <w:rPr>
          <w:noProof/>
        </w:rPr>
      </w:pPr>
    </w:p>
    <w:p w:rsidR="002430DD" w:rsidRDefault="0008761B">
      <w:pPr>
        <w:pStyle w:val="JRCText"/>
        <w:rPr>
          <w:noProof/>
        </w:rPr>
      </w:pPr>
      <w:r>
        <w:rPr>
          <w:noProof/>
        </w:rPr>
        <w:t xml:space="preserve">where </w:t>
      </w:r>
      <m:oMath>
        <m:sSub>
          <m:sSubPr>
            <m:ctrlPr>
              <w:rPr>
                <w:rFonts w:ascii="Cambria Math" w:hAnsi="Cambria Math"/>
                <w:i/>
                <w:noProof/>
              </w:rPr>
            </m:ctrlPr>
          </m:sSubPr>
          <m:e>
            <m:r>
              <w:rPr>
                <w:rFonts w:ascii="Cambria Math" w:hAnsi="Cambria Math"/>
                <w:noProof/>
              </w:rPr>
              <m:t>Penalties</m:t>
            </m:r>
          </m:e>
          <m:sub>
            <m:r>
              <w:rPr>
                <w:rFonts w:ascii="Cambria Math" w:hAnsi="Cambria Math"/>
                <w:noProof/>
              </w:rPr>
              <m:t>c</m:t>
            </m:r>
          </m:sub>
        </m:sSub>
      </m:oMath>
      <w:r>
        <w:rPr>
          <w:noProof/>
        </w:rPr>
        <w:t xml:space="preserve"> is a categorical variable taking on values ranging from 0 to 3, according to the intensity of sanctions.  </w:t>
      </w:r>
    </w:p>
    <w:p w:rsidR="002430DD" w:rsidRDefault="0008761B">
      <w:pPr>
        <w:pStyle w:val="JRCText"/>
        <w:rPr>
          <w:noProof/>
        </w:rPr>
      </w:pPr>
      <w:r>
        <w:rPr>
          <w:noProof/>
        </w:rPr>
        <w:t>As before, the coefficient of interest is computed deriving equation (2</w:t>
      </w:r>
      <w:r>
        <w:rPr>
          <w:noProof/>
        </w:rPr>
        <w:t xml:space="preserve">) with respect to the </w:t>
      </w:r>
      <w:r>
        <w:rPr>
          <w:i/>
          <w:noProof/>
        </w:rPr>
        <w:t>Remedies</w:t>
      </w:r>
      <w:r>
        <w:rPr>
          <w:noProof/>
        </w:rPr>
        <w:t xml:space="preserve"> variable, which yields the following expression:</w:t>
      </w:r>
    </w:p>
    <w:p w:rsidR="002430DD" w:rsidRDefault="0008761B">
      <w:pPr>
        <w:pStyle w:val="JRCText"/>
        <w:rPr>
          <w:noProof/>
        </w:rPr>
      </w:pPr>
      <m:oMathPara>
        <m:oMath>
          <m:f>
            <m:fPr>
              <m:ctrlPr>
                <w:rPr>
                  <w:rFonts w:ascii="Cambria Math" w:hAnsi="Cambria Math"/>
                  <w:i/>
                  <w:noProof/>
                </w:rPr>
              </m:ctrlPr>
            </m:fPr>
            <m:num>
              <m:r>
                <w:rPr>
                  <w:rFonts w:ascii="Cambria Math" w:hAnsi="Cambria Math"/>
                  <w:noProof/>
                </w:rPr>
                <m:t>∂y</m:t>
              </m:r>
            </m:num>
            <m:den>
              <m:r>
                <w:rPr>
                  <w:rFonts w:ascii="Cambria Math" w:hAnsi="Cambria Math"/>
                  <w:noProof/>
                </w:rPr>
                <m:t>∂Remedies</m:t>
              </m:r>
            </m:den>
          </m:f>
          <m:r>
            <w:rPr>
              <w:rFonts w:ascii="Cambria Math" w:hAnsi="Cambria Math"/>
              <w:noProof/>
            </w:rPr>
            <m:t>=</m:t>
          </m:r>
          <m:sSub>
            <m:sSubPr>
              <m:ctrlPr>
                <w:rPr>
                  <w:rFonts w:ascii="Cambria Math" w:hAnsi="Cambria Math"/>
                  <w:i/>
                  <w:noProof/>
                </w:rPr>
              </m:ctrlPr>
            </m:sSubPr>
            <m:e>
              <m:r>
                <w:rPr>
                  <w:rFonts w:ascii="Cambria Math" w:hAnsi="Cambria Math"/>
                  <w:noProof/>
                </w:rPr>
                <m:t>β</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β</m:t>
              </m:r>
            </m:e>
            <m:sub>
              <m:r>
                <w:rPr>
                  <w:rFonts w:ascii="Cambria Math" w:hAnsi="Cambria Math"/>
                  <w:noProof/>
                </w:rPr>
                <m:t>3</m:t>
              </m:r>
            </m:sub>
          </m:sSub>
          <m:r>
            <w:rPr>
              <w:rFonts w:ascii="Cambria Math" w:hAnsi="Cambria Math"/>
              <w:noProof/>
            </w:rPr>
            <m:t>*</m:t>
          </m:r>
          <m:r>
            <w:rPr>
              <w:rFonts w:ascii="Cambria Math" w:hAnsi="Cambria Math"/>
              <w:noProof/>
            </w:rPr>
            <m:t xml:space="preserve"> </m:t>
          </m:r>
          <m:r>
            <w:rPr>
              <w:rFonts w:ascii="Cambria Math" w:hAnsi="Cambria Math"/>
              <w:noProof/>
            </w:rPr>
            <m:t>Penalties</m:t>
          </m:r>
        </m:oMath>
      </m:oMathPara>
    </w:p>
    <w:p w:rsidR="002430DD" w:rsidRDefault="002430DD">
      <w:pPr>
        <w:pStyle w:val="JRCText"/>
        <w:rPr>
          <w:noProof/>
        </w:rPr>
      </w:pPr>
    </w:p>
    <w:p w:rsidR="002430DD" w:rsidRDefault="0008761B">
      <w:pPr>
        <w:pStyle w:val="JRCText"/>
        <w:rPr>
          <w:noProof/>
        </w:rPr>
      </w:pPr>
      <w:r>
        <w:rPr>
          <w:noProof/>
        </w:rPr>
        <w:t xml:space="preserve">The influence of remedies is then evaluated for each level taken by the </w:t>
      </w:r>
      <m:oMath>
        <m:r>
          <w:rPr>
            <w:rFonts w:ascii="Cambria Math" w:hAnsi="Cambria Math"/>
            <w:noProof/>
          </w:rPr>
          <m:t>Penalties</m:t>
        </m:r>
      </m:oMath>
      <w:r>
        <w:rPr>
          <w:noProof/>
        </w:rPr>
        <w:t xml:space="preserve"> variable. </w:t>
      </w:r>
    </w:p>
    <w:p w:rsidR="002430DD" w:rsidRDefault="002430DD">
      <w:pPr>
        <w:pStyle w:val="JRCText"/>
        <w:rPr>
          <w:noProof/>
        </w:rPr>
      </w:pPr>
    </w:p>
    <w:p w:rsidR="002430DD" w:rsidRDefault="002430DD">
      <w:pPr>
        <w:pStyle w:val="JRCText"/>
        <w:rPr>
          <w:noProof/>
        </w:rPr>
      </w:pPr>
    </w:p>
    <w:p w:rsidR="002430DD" w:rsidRDefault="002430DD">
      <w:pPr>
        <w:rPr>
          <w:noProof/>
        </w:rPr>
      </w:pPr>
    </w:p>
    <w:p w:rsidR="002430DD" w:rsidRDefault="002430DD">
      <w:pPr>
        <w:rPr>
          <w:noProof/>
        </w:rPr>
      </w:pPr>
    </w:p>
    <w:p w:rsidR="002430DD" w:rsidRDefault="0008761B">
      <w:pPr>
        <w:pStyle w:val="JRCLevel-1title"/>
        <w:ind w:left="432"/>
        <w:rPr>
          <w:noProof/>
        </w:rPr>
      </w:pPr>
      <w:bookmarkStart w:id="715" w:name="_Toc499651255"/>
      <w:bookmarkStart w:id="716" w:name="_Toc506998768"/>
      <w:bookmarkStart w:id="717" w:name="_Toc507075860"/>
      <w:bookmarkStart w:id="718" w:name="_Toc507080604"/>
      <w:bookmarkStart w:id="719" w:name="_Toc507591890"/>
      <w:bookmarkStart w:id="720" w:name="_Toc510018330"/>
      <w:r>
        <w:rPr>
          <w:noProof/>
        </w:rPr>
        <w:t>Data</w:t>
      </w:r>
      <w:bookmarkEnd w:id="715"/>
      <w:bookmarkEnd w:id="716"/>
      <w:bookmarkEnd w:id="717"/>
      <w:bookmarkEnd w:id="718"/>
      <w:bookmarkEnd w:id="719"/>
      <w:bookmarkEnd w:id="720"/>
    </w:p>
    <w:p w:rsidR="002430DD" w:rsidRDefault="002430DD">
      <w:pPr>
        <w:pStyle w:val="JRCText"/>
        <w:rPr>
          <w:noProof/>
        </w:rPr>
      </w:pPr>
    </w:p>
    <w:p w:rsidR="002430DD" w:rsidRDefault="0008761B">
      <w:pPr>
        <w:pStyle w:val="JRCText"/>
        <w:rPr>
          <w:noProof/>
        </w:rPr>
      </w:pPr>
      <w:r>
        <w:rPr>
          <w:noProof/>
        </w:rPr>
        <w:t>The analysis</w:t>
      </w:r>
      <w:r>
        <w:rPr>
          <w:noProof/>
        </w:rPr>
        <w:t xml:space="preserve"> is mainly based on individual consumer data collected in 2017 by the survey on Consumers’ attitudes towards cross-border trade and consumer protection (SCA hereinafter)</w:t>
      </w:r>
      <w:r>
        <w:rPr>
          <w:rStyle w:val="FootnoteReference"/>
          <w:noProof/>
        </w:rPr>
        <w:footnoteReference w:id="50"/>
      </w:r>
      <w:r>
        <w:rPr>
          <w:noProof/>
        </w:rPr>
        <w:t>. On the other hand, the information about the implementation of remedies and penaltie</w:t>
      </w:r>
      <w:r>
        <w:rPr>
          <w:noProof/>
        </w:rPr>
        <w:t>s in each EU country has been provided by DG JUST.03.</w:t>
      </w:r>
    </w:p>
    <w:p w:rsidR="002430DD" w:rsidRDefault="0008761B">
      <w:pPr>
        <w:contextualSpacing/>
        <w:rPr>
          <w:noProof/>
        </w:rPr>
      </w:pPr>
      <w:r>
        <w:rPr>
          <w:noProof/>
        </w:rPr>
        <w:t xml:space="preserve">As already mentioned, the study focuses on three main outcomes. All of them have been defined on the basis of the information contained in the SCA. </w:t>
      </w:r>
    </w:p>
    <w:p w:rsidR="002430DD" w:rsidRDefault="002430DD">
      <w:pPr>
        <w:contextualSpacing/>
        <w:rPr>
          <w:noProof/>
        </w:rPr>
      </w:pPr>
    </w:p>
    <w:p w:rsidR="002430DD" w:rsidRDefault="0008761B">
      <w:pPr>
        <w:contextualSpacing/>
        <w:rPr>
          <w:noProof/>
        </w:rPr>
      </w:pPr>
      <w:r>
        <w:rPr>
          <w:noProof/>
        </w:rPr>
        <w:t>The “probability of experiencing a UCP in domestic c</w:t>
      </w:r>
      <w:r>
        <w:rPr>
          <w:noProof/>
        </w:rPr>
        <w:t>ountries” is a dummy variable taking the value of one if the consumer has experienced at least one UCP in the last 12 months among those listed in the submitted question (Q13). To focus on domestic UCPs, only answers to the option “Yes, with retailers or s</w:t>
      </w:r>
      <w:r>
        <w:rPr>
          <w:noProof/>
        </w:rPr>
        <w:t>ervice providers located in our (domestic) country” have been considered.</w:t>
      </w:r>
    </w:p>
    <w:p w:rsidR="002430DD" w:rsidRDefault="002430DD">
      <w:pPr>
        <w:contextualSpacing/>
        <w:rPr>
          <w:noProof/>
        </w:rPr>
      </w:pPr>
    </w:p>
    <w:p w:rsidR="002430DD" w:rsidRDefault="0008761B">
      <w:pPr>
        <w:contextualSpacing/>
        <w:rPr>
          <w:noProof/>
        </w:rPr>
      </w:pPr>
      <w:r>
        <w:rPr>
          <w:noProof/>
        </w:rPr>
        <w:t xml:space="preserve">As for the “probability of experiencing a problem” outcome, the variable is based on the question “In the past 12 months, have you experienced any problems when buying or using any </w:t>
      </w:r>
      <w:r>
        <w:rPr>
          <w:noProof/>
        </w:rPr>
        <w:t>goods where you thought you had a legitimate cause for complaint?” (Q9), and it takes the value of one when consumers declare either to have experienced the problem and to have taken action to solve it or to have experienced a problem but to have not taken</w:t>
      </w:r>
      <w:r>
        <w:rPr>
          <w:noProof/>
        </w:rPr>
        <w:t xml:space="preserve"> any action to solve it; 0 otherwise.</w:t>
      </w:r>
    </w:p>
    <w:p w:rsidR="002430DD" w:rsidRDefault="002430DD">
      <w:pPr>
        <w:contextualSpacing/>
        <w:rPr>
          <w:noProof/>
        </w:rPr>
      </w:pPr>
    </w:p>
    <w:p w:rsidR="002430DD" w:rsidRDefault="0008761B">
      <w:pPr>
        <w:contextualSpacing/>
        <w:rPr>
          <w:noProof/>
        </w:rPr>
      </w:pPr>
      <w:r>
        <w:rPr>
          <w:noProof/>
        </w:rPr>
        <w:t>The “probability of receiving a satisfying assistance from retailers after having experienced a problem” is referred to the question “In general, how satisfied or dissatisfied were you with the way your complaints wer</w:t>
      </w:r>
      <w:r>
        <w:rPr>
          <w:noProof/>
        </w:rPr>
        <w:t xml:space="preserve">e dealt with by the retailer or service provider?” (Q11). The question targets a subsample of the respondents, namely those who declared to have suffered a problem and to have tried to solve it directly referring to the retailer. It takes the value of one </w:t>
      </w:r>
      <w:r>
        <w:rPr>
          <w:noProof/>
        </w:rPr>
        <w:t>if the result of the complaint very satisfied or fairly satisfied the consumer and 0 otherwise.</w:t>
      </w:r>
    </w:p>
    <w:p w:rsidR="002430DD" w:rsidRDefault="002430DD">
      <w:pPr>
        <w:contextualSpacing/>
        <w:rPr>
          <w:noProof/>
        </w:rPr>
      </w:pPr>
    </w:p>
    <w:p w:rsidR="002430DD" w:rsidRDefault="0008761B">
      <w:pPr>
        <w:rPr>
          <w:noProof/>
        </w:rPr>
      </w:pPr>
      <w:r>
        <w:rPr>
          <w:noProof/>
        </w:rPr>
        <w:t>The country level variable accounting for consumer legislation compliance is derived from the 2016 edition of the survey on Retailers’ attitude towards cross-b</w:t>
      </w:r>
      <w:r>
        <w:rPr>
          <w:noProof/>
        </w:rPr>
        <w:t>order trade and consumer protection</w:t>
      </w:r>
      <w:r>
        <w:rPr>
          <w:rStyle w:val="FootnoteReference"/>
          <w:noProof/>
        </w:rPr>
        <w:footnoteReference w:id="51"/>
      </w:r>
      <w:r>
        <w:rPr>
          <w:noProof/>
        </w:rPr>
        <w:t>. It is given by the fraction of retailers that strongly agree or agree with the statement “the Public Authorities actively monitor and insure compliance with consumer legislation in your sector”.</w:t>
      </w:r>
    </w:p>
    <w:p w:rsidR="002430DD" w:rsidRDefault="0008761B">
      <w:pPr>
        <w:contextualSpacing/>
        <w:rPr>
          <w:noProof/>
        </w:rPr>
      </w:pPr>
      <w:r>
        <w:rPr>
          <w:noProof/>
        </w:rPr>
        <w:t>As already mentioned, a</w:t>
      </w:r>
      <w:r>
        <w:rPr>
          <w:noProof/>
        </w:rPr>
        <w:t xml:space="preserve"> number of additional control variables have been introduced. The age of the consumer when the interview took place can have had an impact on both the willingness to respond to the questionnaire and to the likelihood of reporting UCP experienced. Indeed, i</w:t>
      </w:r>
      <w:r>
        <w:rPr>
          <w:noProof/>
        </w:rPr>
        <w:t>t can be argued that the younger, being in general more educated and more keen to ensure their rights are met, are more likely to detect and report UCPs. In order to control for this, an “age” variable has been introduced that recodes consumers’ age into 3</w:t>
      </w:r>
      <w:r>
        <w:rPr>
          <w:noProof/>
        </w:rPr>
        <w:t xml:space="preserve"> main categories: those aged between 18 and 34; those aged between 34 and 54 and those older than 55 years. </w:t>
      </w:r>
    </w:p>
    <w:p w:rsidR="002430DD" w:rsidRDefault="0008761B">
      <w:pPr>
        <w:contextualSpacing/>
        <w:rPr>
          <w:noProof/>
        </w:rPr>
      </w:pPr>
      <w:r>
        <w:rPr>
          <w:noProof/>
        </w:rPr>
        <w:t>Following the same line of reasoning, there could be differences in the likelihood of reporting problems or in the evaluation of the assistance rec</w:t>
      </w:r>
      <w:r>
        <w:rPr>
          <w:noProof/>
        </w:rPr>
        <w:t>eived between men and women. These possible differences are accounted through a dummy variable taking value 1 if the consumer is a female and 0 if he is a male.</w:t>
      </w:r>
    </w:p>
    <w:p w:rsidR="002430DD" w:rsidRDefault="0008761B">
      <w:pPr>
        <w:contextualSpacing/>
        <w:rPr>
          <w:noProof/>
        </w:rPr>
      </w:pPr>
      <w:r>
        <w:rPr>
          <w:noProof/>
        </w:rPr>
        <w:t>Being unemployed or being a white collar could entail different shopping behaviours, and, event</w:t>
      </w:r>
      <w:r>
        <w:rPr>
          <w:noProof/>
        </w:rPr>
        <w:t>ually, different assessment of UCPs or the assistance received. For this reason, regressions are made robust controlling for the employment status of the respondent. In particular, it has been described according to 7 categories: i) self-employed; ii) whit</w:t>
      </w:r>
      <w:r>
        <w:rPr>
          <w:noProof/>
        </w:rPr>
        <w:t xml:space="preserve">e collar; iii) blue collar; iv) unemployed; v) seeking a job; vi) student; vii) retired. </w:t>
      </w:r>
    </w:p>
    <w:p w:rsidR="002430DD" w:rsidRDefault="0008761B">
      <w:pPr>
        <w:contextualSpacing/>
        <w:rPr>
          <w:noProof/>
        </w:rPr>
      </w:pPr>
      <w:r>
        <w:rPr>
          <w:noProof/>
        </w:rPr>
        <w:t xml:space="preserve">The likelihood to report UCPs could be related to the understanding of the terms of sale by the consumer. An individual whose mother tongue is the one of the country </w:t>
      </w:r>
      <w:r>
        <w:rPr>
          <w:noProof/>
        </w:rPr>
        <w:t>where she lives, will have a better understanding of the terms of sale and would have less probability to experience and report a UCP. The analysis controls for this through a dummy variable equals to 1 when the consumer’s mother tongue is an official lang</w:t>
      </w:r>
      <w:r>
        <w:rPr>
          <w:noProof/>
        </w:rPr>
        <w:t>uage of the home country and 0 otherwise. Apart from the mother tongue language, consumers can consider the terms of sale to be so complex that they feel vulnerable when making the purchase: it can be argued that the more vulnerable they feel, the more lik</w:t>
      </w:r>
      <w:r>
        <w:rPr>
          <w:noProof/>
        </w:rPr>
        <w:t>ely they will experience and report a UCP. In order to account for this effect, the model has been enriched with a variable capturing consumers’ self-reported degree of vulnerability. The latter is coded into three categories capturing the degree of vulner</w:t>
      </w:r>
      <w:r>
        <w:rPr>
          <w:noProof/>
        </w:rPr>
        <w:t xml:space="preserve">ability, namely “Very vulnerable”, “Somewhat vulnerable” and “Not vulnerable”. </w:t>
      </w:r>
    </w:p>
    <w:p w:rsidR="002430DD" w:rsidRDefault="002430DD">
      <w:pPr>
        <w:contextualSpacing/>
        <w:rPr>
          <w:noProof/>
        </w:rPr>
      </w:pPr>
    </w:p>
    <w:p w:rsidR="002430DD" w:rsidRDefault="0008761B">
      <w:pPr>
        <w:contextualSpacing/>
        <w:rPr>
          <w:noProof/>
        </w:rPr>
      </w:pPr>
      <w:r>
        <w:rPr>
          <w:noProof/>
        </w:rPr>
        <w:t>The degree of vulnerability could be influenced by several factors. In principle, the higher the problem solving ability of a consumer, the lower would be the likelihood for h</w:t>
      </w:r>
      <w:r>
        <w:rPr>
          <w:noProof/>
        </w:rPr>
        <w:t>im to be exposed to UCPs. The SCA offers two variables to be used in the analysis as proxies for the problem solving ability of the consumers. First, the survey accounts for the number of spoken languages by the consumer (cardinal variable taking values fr</w:t>
      </w:r>
      <w:r>
        <w:rPr>
          <w:noProof/>
        </w:rPr>
        <w:t>om 1 up to 4); secondly, it evaluates the numerical skills of the respondent through a short numerical test, and it categorised them into a variable whose values range from 1 (“High skills”) to 3 (“Low”).</w:t>
      </w:r>
    </w:p>
    <w:p w:rsidR="002430DD" w:rsidRDefault="002430DD">
      <w:pPr>
        <w:contextualSpacing/>
        <w:rPr>
          <w:noProof/>
        </w:rPr>
      </w:pPr>
    </w:p>
    <w:p w:rsidR="002430DD" w:rsidRDefault="0008761B">
      <w:pPr>
        <w:contextualSpacing/>
        <w:rPr>
          <w:noProof/>
        </w:rPr>
      </w:pPr>
      <w:r>
        <w:rPr>
          <w:noProof/>
        </w:rPr>
        <w:t>Another factor that might affect consumers’ purcha</w:t>
      </w:r>
      <w:r>
        <w:rPr>
          <w:noProof/>
        </w:rPr>
        <w:t>sing behaviour and experiences is the intensity of internet usage. Given the multidimensional role of the web, worldwide tool to spread out information and huge marketplace, it influences both the awareness of the consumers on their rights and also the num</w:t>
      </w:r>
      <w:r>
        <w:rPr>
          <w:noProof/>
        </w:rPr>
        <w:t xml:space="preserve">ber of commercial transactions they could perform. This is a categorical variable, coded into five levels of intensity of the use of internet: daily, weekly, monthly, hardly ever, never. </w:t>
      </w:r>
    </w:p>
    <w:p w:rsidR="002430DD" w:rsidRDefault="0008761B">
      <w:pPr>
        <w:contextualSpacing/>
        <w:rPr>
          <w:noProof/>
        </w:rPr>
      </w:pPr>
      <w:r>
        <w:rPr>
          <w:noProof/>
        </w:rPr>
        <w:t>The financial position of the consumers matter in determining number</w:t>
      </w:r>
      <w:r>
        <w:rPr>
          <w:noProof/>
        </w:rPr>
        <w:t xml:space="preserve"> and entity of their transactions and the effort put to enforce their rights.  In order to account for this, the variable “Degree of financial difficulties” has been introduced. This variable, originally coded into four categories (very difficult, fairly d</w:t>
      </w:r>
      <w:r>
        <w:rPr>
          <w:noProof/>
        </w:rPr>
        <w:t xml:space="preserve">ifficult, fairly easy, very easy), has been recoded into a dummy variable equal to 1 if the degree of financial difficulties was fairly easy or easy and 0 otherwise. </w:t>
      </w:r>
    </w:p>
    <w:p w:rsidR="002430DD" w:rsidRDefault="002430DD">
      <w:pPr>
        <w:contextualSpacing/>
        <w:rPr>
          <w:noProof/>
        </w:rPr>
      </w:pPr>
    </w:p>
    <w:p w:rsidR="002430DD" w:rsidRDefault="0008761B">
      <w:pPr>
        <w:rPr>
          <w:noProof/>
        </w:rPr>
      </w:pPr>
      <w:r>
        <w:rPr>
          <w:noProof/>
        </w:rPr>
        <w:t>Along with this more personally related aspects, a variable accounting for the degree of</w:t>
      </w:r>
      <w:r>
        <w:rPr>
          <w:noProof/>
        </w:rPr>
        <w:t xml:space="preserve"> urbanization of the living are has been included. The variable “living area” distinguishes three categories: rural area, small town, large town.</w:t>
      </w:r>
    </w:p>
    <w:p w:rsidR="002430DD" w:rsidRDefault="002430DD">
      <w:pPr>
        <w:contextualSpacing/>
        <w:rPr>
          <w:noProof/>
        </w:rPr>
      </w:pPr>
    </w:p>
    <w:p w:rsidR="002430DD" w:rsidRDefault="002430DD">
      <w:pPr>
        <w:pStyle w:val="JRCText"/>
        <w:rPr>
          <w:noProof/>
        </w:rPr>
      </w:pPr>
    </w:p>
    <w:p w:rsidR="002430DD" w:rsidRDefault="0008761B">
      <w:pPr>
        <w:pStyle w:val="JRCLevel-1title"/>
        <w:ind w:left="432"/>
        <w:rPr>
          <w:noProof/>
        </w:rPr>
      </w:pPr>
      <w:bookmarkStart w:id="721" w:name="_Toc499651256"/>
      <w:bookmarkStart w:id="722" w:name="_Toc506998769"/>
      <w:bookmarkStart w:id="723" w:name="_Toc507075861"/>
      <w:bookmarkStart w:id="724" w:name="_Toc507080605"/>
      <w:bookmarkStart w:id="725" w:name="_Toc507591891"/>
      <w:bookmarkStart w:id="726" w:name="_Toc510018331"/>
      <w:r>
        <w:rPr>
          <w:noProof/>
        </w:rPr>
        <w:t>Results and interpretation</w:t>
      </w:r>
      <w:bookmarkEnd w:id="721"/>
      <w:bookmarkEnd w:id="722"/>
      <w:bookmarkEnd w:id="723"/>
      <w:bookmarkEnd w:id="724"/>
      <w:bookmarkEnd w:id="725"/>
      <w:bookmarkEnd w:id="726"/>
      <w:r>
        <w:rPr>
          <w:noProof/>
        </w:rPr>
        <w:t xml:space="preserve"> </w:t>
      </w:r>
    </w:p>
    <w:p w:rsidR="002430DD" w:rsidRDefault="0008761B">
      <w:pPr>
        <w:spacing w:after="200"/>
        <w:rPr>
          <w:rFonts w:eastAsia="Calibri"/>
          <w:noProof/>
        </w:rPr>
      </w:pPr>
      <w:r>
        <w:rPr>
          <w:rFonts w:eastAsia="Calibri"/>
          <w:noProof/>
        </w:rPr>
        <w:t>When looking at the influence of remedies implementation on the likelihood of ex</w:t>
      </w:r>
      <w:r>
        <w:rPr>
          <w:rFonts w:eastAsia="Calibri"/>
          <w:noProof/>
        </w:rPr>
        <w:t>periencing UCP, consumers in countries where remedies are in place experience a 3.99% lower probability of experiencing a UCP with respect to consumers living in other countries (Table 1). Table 2 and figure 1 show that the influence of remedies implementa</w:t>
      </w:r>
      <w:r>
        <w:rPr>
          <w:rFonts w:eastAsia="Calibri"/>
          <w:noProof/>
        </w:rPr>
        <w:t>tion is associated with the level of Public Monitoring. That is to say, the deterrent effect of remedies on the likelihood of experiencing UCP changes accordingly to the value of the Public Monitoring. In particular, for the minimum level of Public Monitor</w:t>
      </w:r>
      <w:r>
        <w:rPr>
          <w:rFonts w:eastAsia="Calibri"/>
          <w:noProof/>
        </w:rPr>
        <w:t>ing, there is no deterrent effect of remedies on the probability of experiencing UCP (the coefficient is positive and statistically significant), while the effects become negative and significant for any levels of Public Monitoring equal or higher than its</w:t>
      </w:r>
      <w:r>
        <w:rPr>
          <w:rFonts w:eastAsia="Calibri"/>
          <w:noProof/>
        </w:rPr>
        <w:t xml:space="preserve"> median value.  </w:t>
      </w:r>
    </w:p>
    <w:p w:rsidR="002430DD" w:rsidRDefault="0008761B">
      <w:pPr>
        <w:pStyle w:val="Caption"/>
        <w:keepNext/>
        <w:rPr>
          <w:rFonts w:eastAsiaTheme="minorHAnsi" w:cstheme="minorBidi"/>
          <w:b w:val="0"/>
          <w:noProof/>
          <w:color w:val="auto"/>
          <w:lang w:eastAsia="en-US"/>
        </w:rPr>
      </w:pPr>
      <w:bookmarkStart w:id="727" w:name="_Toc500231465"/>
      <w:r>
        <w:rPr>
          <w:noProof/>
          <w:color w:val="auto"/>
        </w:rPr>
        <w:t xml:space="preserve">Table </w:t>
      </w:r>
      <w:r>
        <w:rPr>
          <w:noProof/>
          <w:color w:val="auto"/>
        </w:rPr>
        <w:fldChar w:fldCharType="begin"/>
      </w:r>
      <w:r>
        <w:rPr>
          <w:noProof/>
          <w:color w:val="auto"/>
        </w:rPr>
        <w:instrText xml:space="preserve"> SEQ Table \* ARABIC </w:instrText>
      </w:r>
      <w:r>
        <w:rPr>
          <w:noProof/>
          <w:color w:val="auto"/>
        </w:rPr>
        <w:fldChar w:fldCharType="separate"/>
      </w:r>
      <w:r>
        <w:rPr>
          <w:noProof/>
          <w:color w:val="auto"/>
        </w:rPr>
        <w:t>1</w:t>
      </w:r>
      <w:r>
        <w:rPr>
          <w:noProof/>
          <w:color w:val="auto"/>
        </w:rPr>
        <w:fldChar w:fldCharType="end"/>
      </w:r>
      <w:r>
        <w:rPr>
          <w:noProof/>
          <w:color w:val="auto"/>
        </w:rPr>
        <w:t>.</w:t>
      </w:r>
      <w:r>
        <w:rPr>
          <w:noProof/>
          <w:color w:val="000000"/>
          <w:lang w:val="en-US" w:eastAsia="en-US"/>
        </w:rPr>
        <w:t xml:space="preserve"> </w:t>
      </w:r>
      <w:r>
        <w:rPr>
          <w:rFonts w:eastAsiaTheme="minorHAnsi" w:cstheme="minorBidi"/>
          <w:b w:val="0"/>
          <w:noProof/>
          <w:color w:val="auto"/>
          <w:lang w:eastAsia="en-US"/>
        </w:rPr>
        <w:t>Baseline coefficient of the “remedies” variable on the likelihood of experiencing at least one UCP in the domestic country. Percentage value.</w:t>
      </w:r>
      <w:bookmarkEnd w:id="727"/>
    </w:p>
    <w:tbl>
      <w:tblPr>
        <w:tblW w:w="5000" w:type="pct"/>
        <w:tblLook w:val="04A0" w:firstRow="1" w:lastRow="0" w:firstColumn="1" w:lastColumn="0" w:noHBand="0" w:noVBand="1"/>
      </w:tblPr>
      <w:tblGrid>
        <w:gridCol w:w="7369"/>
        <w:gridCol w:w="2485"/>
      </w:tblGrid>
      <w:tr w:rsidR="002430DD">
        <w:trPr>
          <w:trHeight w:val="413"/>
        </w:trPr>
        <w:tc>
          <w:tcPr>
            <w:tcW w:w="3739" w:type="pct"/>
            <w:tcBorders>
              <w:top w:val="single" w:sz="4" w:space="0" w:color="auto"/>
              <w:bottom w:val="single" w:sz="4" w:space="0" w:color="auto"/>
            </w:tcBorders>
            <w:shd w:val="clear" w:color="auto" w:fill="auto"/>
            <w:vAlign w:val="bottom"/>
            <w:hideMark/>
          </w:tcPr>
          <w:p w:rsidR="002430DD" w:rsidRDefault="0008761B">
            <w:pPr>
              <w:spacing w:after="0"/>
              <w:rPr>
                <w:noProof/>
                <w:color w:val="000000"/>
                <w:sz w:val="18"/>
                <w:szCs w:val="18"/>
                <w:lang w:val="en-US"/>
              </w:rPr>
            </w:pPr>
            <w:r>
              <w:rPr>
                <w:noProof/>
                <w:color w:val="000000"/>
                <w:sz w:val="18"/>
                <w:szCs w:val="18"/>
                <w:lang w:val="en-US"/>
              </w:rPr>
              <w:t>Baseline coefficient of the remedies variable</w:t>
            </w:r>
          </w:p>
        </w:tc>
        <w:tc>
          <w:tcPr>
            <w:tcW w:w="1261" w:type="pct"/>
            <w:tcBorders>
              <w:top w:val="single" w:sz="4" w:space="0" w:color="auto"/>
              <w:bottom w:val="single" w:sz="4" w:space="0" w:color="auto"/>
            </w:tcBorders>
            <w:shd w:val="clear" w:color="auto" w:fill="auto"/>
            <w:noWrap/>
            <w:vAlign w:val="bottom"/>
            <w:hideMark/>
          </w:tcPr>
          <w:p w:rsidR="002430DD" w:rsidRDefault="002430DD">
            <w:pPr>
              <w:spacing w:after="0"/>
              <w:rPr>
                <w:noProof/>
                <w:color w:val="000000"/>
                <w:sz w:val="18"/>
                <w:szCs w:val="18"/>
                <w:lang w:val="en-US"/>
              </w:rPr>
            </w:pPr>
          </w:p>
        </w:tc>
      </w:tr>
      <w:tr w:rsidR="002430DD">
        <w:trPr>
          <w:trHeight w:val="300"/>
        </w:trPr>
        <w:tc>
          <w:tcPr>
            <w:tcW w:w="3739" w:type="pct"/>
            <w:shd w:val="clear" w:color="auto" w:fill="auto"/>
            <w:noWrap/>
            <w:vAlign w:val="bottom"/>
            <w:hideMark/>
          </w:tcPr>
          <w:p w:rsidR="002430DD" w:rsidRDefault="0008761B">
            <w:pPr>
              <w:spacing w:after="0"/>
              <w:rPr>
                <w:noProof/>
                <w:color w:val="000000"/>
                <w:sz w:val="18"/>
                <w:szCs w:val="18"/>
                <w:lang w:val="en-US"/>
              </w:rPr>
            </w:pPr>
            <w:r>
              <w:rPr>
                <w:noProof/>
                <w:color w:val="000000"/>
                <w:sz w:val="18"/>
                <w:szCs w:val="18"/>
                <w:lang w:val="en-US"/>
              </w:rPr>
              <w:t>Remedies</w:t>
            </w:r>
          </w:p>
        </w:tc>
        <w:tc>
          <w:tcPr>
            <w:tcW w:w="1261" w:type="pct"/>
            <w:shd w:val="clear" w:color="auto" w:fill="auto"/>
            <w:noWrap/>
            <w:vAlign w:val="bottom"/>
            <w:hideMark/>
          </w:tcPr>
          <w:p w:rsidR="002430DD" w:rsidRDefault="0008761B">
            <w:pPr>
              <w:spacing w:after="0"/>
              <w:jc w:val="center"/>
              <w:rPr>
                <w:noProof/>
                <w:color w:val="000000"/>
                <w:sz w:val="18"/>
                <w:szCs w:val="18"/>
                <w:lang w:val="en-US"/>
              </w:rPr>
            </w:pPr>
            <w:r>
              <w:rPr>
                <w:noProof/>
                <w:color w:val="000000"/>
                <w:sz w:val="18"/>
                <w:szCs w:val="18"/>
                <w:lang w:val="en-US"/>
              </w:rPr>
              <w:t>-3.99481***</w:t>
            </w:r>
          </w:p>
        </w:tc>
      </w:tr>
      <w:tr w:rsidR="002430DD">
        <w:trPr>
          <w:trHeight w:val="300"/>
        </w:trPr>
        <w:tc>
          <w:tcPr>
            <w:tcW w:w="3739" w:type="pct"/>
            <w:tcBorders>
              <w:bottom w:val="single" w:sz="4" w:space="0" w:color="auto"/>
            </w:tcBorders>
            <w:shd w:val="clear" w:color="auto" w:fill="auto"/>
            <w:noWrap/>
            <w:vAlign w:val="bottom"/>
            <w:hideMark/>
          </w:tcPr>
          <w:p w:rsidR="002430DD" w:rsidRDefault="002430DD">
            <w:pPr>
              <w:spacing w:after="0"/>
              <w:rPr>
                <w:noProof/>
                <w:color w:val="000000"/>
                <w:sz w:val="18"/>
                <w:szCs w:val="18"/>
                <w:lang w:val="en-US"/>
              </w:rPr>
            </w:pPr>
          </w:p>
        </w:tc>
        <w:tc>
          <w:tcPr>
            <w:tcW w:w="1261" w:type="pct"/>
            <w:tcBorders>
              <w:bottom w:val="single" w:sz="4" w:space="0" w:color="auto"/>
            </w:tcBorders>
            <w:shd w:val="clear" w:color="auto" w:fill="auto"/>
            <w:noWrap/>
            <w:vAlign w:val="bottom"/>
            <w:hideMark/>
          </w:tcPr>
          <w:p w:rsidR="002430DD" w:rsidRDefault="0008761B">
            <w:pPr>
              <w:spacing w:after="0"/>
              <w:jc w:val="center"/>
              <w:rPr>
                <w:noProof/>
                <w:color w:val="000000"/>
                <w:sz w:val="18"/>
                <w:szCs w:val="18"/>
                <w:lang w:val="en-US"/>
              </w:rPr>
            </w:pPr>
            <w:r>
              <w:rPr>
                <w:noProof/>
                <w:color w:val="000000"/>
                <w:sz w:val="18"/>
                <w:szCs w:val="18"/>
                <w:lang w:val="en-US"/>
              </w:rPr>
              <w:t>(0.008647)</w:t>
            </w:r>
          </w:p>
        </w:tc>
      </w:tr>
    </w:tbl>
    <w:p w:rsidR="002430DD" w:rsidRDefault="0008761B">
      <w:pPr>
        <w:spacing w:after="0"/>
        <w:rPr>
          <w:rFonts w:cstheme="minorBidi"/>
          <w:noProof/>
          <w:sz w:val="18"/>
          <w:szCs w:val="18"/>
        </w:rPr>
      </w:pPr>
      <w:r>
        <w:rPr>
          <w:rFonts w:cstheme="minorBidi"/>
          <w:b/>
          <w:noProof/>
          <w:sz w:val="18"/>
          <w:szCs w:val="18"/>
        </w:rPr>
        <w:t>Source:</w:t>
      </w:r>
      <w:r>
        <w:rPr>
          <w:rFonts w:cstheme="minorBidi"/>
          <w:noProof/>
          <w:sz w:val="18"/>
          <w:szCs w:val="18"/>
        </w:rPr>
        <w:t xml:space="preserve"> own calculations- LPM regression, robust standard errors in parenthesis. </w:t>
      </w:r>
    </w:p>
    <w:p w:rsidR="002430DD" w:rsidRDefault="0008761B">
      <w:pPr>
        <w:spacing w:after="0"/>
        <w:rPr>
          <w:rFonts w:cstheme="minorBidi"/>
          <w:noProof/>
          <w:sz w:val="18"/>
          <w:szCs w:val="18"/>
        </w:rPr>
      </w:pPr>
      <w:r>
        <w:rPr>
          <w:rFonts w:cstheme="minorBidi"/>
          <w:noProof/>
          <w:sz w:val="18"/>
          <w:szCs w:val="18"/>
        </w:rPr>
        <w:t>*** p&lt;0.01, ** p&lt;0.05, * p&lt;0.1</w:t>
      </w:r>
    </w:p>
    <w:p w:rsidR="002430DD" w:rsidRDefault="002430DD">
      <w:pPr>
        <w:spacing w:after="200"/>
        <w:rPr>
          <w:noProof/>
          <w:color w:val="000000"/>
          <w:sz w:val="18"/>
          <w:szCs w:val="18"/>
          <w:lang w:val="en-US"/>
        </w:rPr>
      </w:pPr>
    </w:p>
    <w:p w:rsidR="002430DD" w:rsidRDefault="0008761B">
      <w:pPr>
        <w:pStyle w:val="Caption"/>
        <w:keepNext/>
        <w:rPr>
          <w:noProof/>
        </w:rPr>
      </w:pPr>
      <w:bookmarkStart w:id="728" w:name="_Toc500231466"/>
      <w:r>
        <w:rPr>
          <w:noProof/>
          <w:color w:val="auto"/>
        </w:rPr>
        <w:t xml:space="preserve">Table </w:t>
      </w:r>
      <w:r>
        <w:rPr>
          <w:noProof/>
          <w:color w:val="auto"/>
        </w:rPr>
        <w:fldChar w:fldCharType="begin"/>
      </w:r>
      <w:r>
        <w:rPr>
          <w:noProof/>
          <w:color w:val="auto"/>
        </w:rPr>
        <w:instrText xml:space="preserve"> SEQ Table \* ARABIC </w:instrText>
      </w:r>
      <w:r>
        <w:rPr>
          <w:noProof/>
          <w:color w:val="auto"/>
        </w:rPr>
        <w:fldChar w:fldCharType="separate"/>
      </w:r>
      <w:r>
        <w:rPr>
          <w:noProof/>
          <w:color w:val="auto"/>
        </w:rPr>
        <w:t>2</w:t>
      </w:r>
      <w:r>
        <w:rPr>
          <w:noProof/>
          <w:color w:val="auto"/>
        </w:rPr>
        <w:fldChar w:fldCharType="end"/>
      </w:r>
      <w:r>
        <w:rPr>
          <w:noProof/>
          <w:color w:val="auto"/>
        </w:rPr>
        <w:t xml:space="preserve">. </w:t>
      </w:r>
      <w:r>
        <w:rPr>
          <w:rFonts w:eastAsiaTheme="minorHAnsi" w:cstheme="minorBidi"/>
          <w:b w:val="0"/>
          <w:noProof/>
          <w:color w:val="auto"/>
          <w:lang w:eastAsia="en-US"/>
        </w:rPr>
        <w:t xml:space="preserve">Baseline coefficient of the “remedies” variable at different levels (minimum, </w:t>
      </w:r>
      <w:r>
        <w:rPr>
          <w:rFonts w:eastAsiaTheme="minorHAnsi" w:cstheme="minorBidi"/>
          <w:b w:val="0"/>
          <w:noProof/>
          <w:color w:val="auto"/>
          <w:lang w:eastAsia="en-US"/>
        </w:rPr>
        <w:t>median, maximum) of “Public Monitoring on Consumer Legislation”. Percentage values.</w:t>
      </w:r>
      <w:bookmarkEnd w:id="728"/>
    </w:p>
    <w:tbl>
      <w:tblPr>
        <w:tblW w:w="5000" w:type="pct"/>
        <w:tblLook w:val="04A0" w:firstRow="1" w:lastRow="0" w:firstColumn="1" w:lastColumn="0" w:noHBand="0" w:noVBand="1"/>
      </w:tblPr>
      <w:tblGrid>
        <w:gridCol w:w="7260"/>
        <w:gridCol w:w="2594"/>
      </w:tblGrid>
      <w:tr w:rsidR="002430DD">
        <w:trPr>
          <w:trHeight w:val="458"/>
        </w:trPr>
        <w:tc>
          <w:tcPr>
            <w:tcW w:w="3684" w:type="pct"/>
            <w:tcBorders>
              <w:top w:val="single" w:sz="4" w:space="0" w:color="auto"/>
              <w:bottom w:val="single" w:sz="4" w:space="0" w:color="auto"/>
            </w:tcBorders>
            <w:shd w:val="clear" w:color="auto" w:fill="auto"/>
            <w:vAlign w:val="bottom"/>
            <w:hideMark/>
          </w:tcPr>
          <w:p w:rsidR="002430DD" w:rsidRDefault="0008761B">
            <w:pPr>
              <w:spacing w:after="0"/>
              <w:jc w:val="left"/>
              <w:rPr>
                <w:bCs/>
                <w:i/>
                <w:noProof/>
                <w:color w:val="000000"/>
                <w:sz w:val="18"/>
                <w:szCs w:val="18"/>
                <w:lang w:val="en-US"/>
              </w:rPr>
            </w:pPr>
            <w:r>
              <w:rPr>
                <w:bCs/>
                <w:i/>
                <w:noProof/>
                <w:color w:val="000000"/>
                <w:sz w:val="18"/>
                <w:szCs w:val="18"/>
                <w:lang w:val="en-US"/>
              </w:rPr>
              <w:t xml:space="preserve">Baseline coefficient of the remedies variable for different values of PM </w:t>
            </w:r>
          </w:p>
        </w:tc>
        <w:tc>
          <w:tcPr>
            <w:tcW w:w="1316" w:type="pct"/>
            <w:tcBorders>
              <w:top w:val="single" w:sz="4" w:space="0" w:color="auto"/>
              <w:bottom w:val="single" w:sz="4" w:space="0" w:color="auto"/>
            </w:tcBorders>
            <w:shd w:val="clear" w:color="auto" w:fill="auto"/>
            <w:noWrap/>
            <w:vAlign w:val="bottom"/>
            <w:hideMark/>
          </w:tcPr>
          <w:p w:rsidR="002430DD" w:rsidRDefault="002430DD">
            <w:pPr>
              <w:spacing w:after="0"/>
              <w:jc w:val="left"/>
              <w:rPr>
                <w:i/>
                <w:noProof/>
                <w:color w:val="000000"/>
                <w:sz w:val="18"/>
                <w:szCs w:val="18"/>
                <w:lang w:val="en-US"/>
              </w:rPr>
            </w:pPr>
          </w:p>
        </w:tc>
      </w:tr>
      <w:tr w:rsidR="002430DD">
        <w:trPr>
          <w:trHeight w:val="300"/>
        </w:trPr>
        <w:tc>
          <w:tcPr>
            <w:tcW w:w="3684" w:type="pct"/>
            <w:shd w:val="clear" w:color="auto" w:fill="auto"/>
            <w:noWrap/>
            <w:vAlign w:val="bottom"/>
            <w:hideMark/>
          </w:tcPr>
          <w:p w:rsidR="002430DD" w:rsidRDefault="0008761B">
            <w:pPr>
              <w:spacing w:after="0"/>
              <w:jc w:val="left"/>
              <w:rPr>
                <w:noProof/>
                <w:color w:val="000000"/>
                <w:sz w:val="18"/>
                <w:szCs w:val="18"/>
                <w:lang w:val="en-US"/>
              </w:rPr>
            </w:pPr>
            <w:r>
              <w:rPr>
                <w:noProof/>
                <w:color w:val="000000"/>
                <w:sz w:val="18"/>
                <w:szCs w:val="18"/>
                <w:lang w:val="en-US"/>
              </w:rPr>
              <w:t xml:space="preserve">Remedies - PM (min level) </w:t>
            </w:r>
          </w:p>
        </w:tc>
        <w:tc>
          <w:tcPr>
            <w:tcW w:w="1316" w:type="pct"/>
            <w:shd w:val="clear" w:color="auto" w:fill="auto"/>
            <w:noWrap/>
            <w:vAlign w:val="bottom"/>
            <w:hideMark/>
          </w:tcPr>
          <w:p w:rsidR="002430DD" w:rsidRDefault="0008761B">
            <w:pPr>
              <w:spacing w:after="0"/>
              <w:jc w:val="center"/>
              <w:rPr>
                <w:noProof/>
                <w:color w:val="000000"/>
                <w:sz w:val="18"/>
                <w:szCs w:val="18"/>
                <w:lang w:val="en-US"/>
              </w:rPr>
            </w:pPr>
            <w:r>
              <w:rPr>
                <w:noProof/>
                <w:color w:val="000000"/>
                <w:sz w:val="18"/>
                <w:szCs w:val="18"/>
                <w:lang w:val="en-US"/>
              </w:rPr>
              <w:t>15.07004***</w:t>
            </w:r>
          </w:p>
        </w:tc>
      </w:tr>
      <w:tr w:rsidR="002430DD">
        <w:trPr>
          <w:trHeight w:val="300"/>
        </w:trPr>
        <w:tc>
          <w:tcPr>
            <w:tcW w:w="3684" w:type="pct"/>
            <w:shd w:val="clear" w:color="auto" w:fill="auto"/>
            <w:noWrap/>
            <w:vAlign w:val="bottom"/>
            <w:hideMark/>
          </w:tcPr>
          <w:p w:rsidR="002430DD" w:rsidRDefault="002430DD">
            <w:pPr>
              <w:spacing w:after="0"/>
              <w:jc w:val="left"/>
              <w:rPr>
                <w:noProof/>
                <w:color w:val="000000"/>
                <w:sz w:val="18"/>
                <w:szCs w:val="18"/>
                <w:lang w:val="en-US"/>
              </w:rPr>
            </w:pPr>
          </w:p>
        </w:tc>
        <w:tc>
          <w:tcPr>
            <w:tcW w:w="1316" w:type="pct"/>
            <w:shd w:val="clear" w:color="auto" w:fill="auto"/>
            <w:noWrap/>
            <w:vAlign w:val="bottom"/>
            <w:hideMark/>
          </w:tcPr>
          <w:p w:rsidR="002430DD" w:rsidRDefault="0008761B">
            <w:pPr>
              <w:spacing w:after="0"/>
              <w:jc w:val="center"/>
              <w:rPr>
                <w:noProof/>
                <w:color w:val="000000"/>
                <w:sz w:val="18"/>
                <w:szCs w:val="18"/>
                <w:lang w:val="en-US"/>
              </w:rPr>
            </w:pPr>
            <w:r>
              <w:rPr>
                <w:noProof/>
                <w:color w:val="000000"/>
                <w:sz w:val="18"/>
                <w:szCs w:val="18"/>
                <w:lang w:val="en-US"/>
              </w:rPr>
              <w:t>(0.02064)</w:t>
            </w:r>
          </w:p>
        </w:tc>
      </w:tr>
      <w:tr w:rsidR="002430DD">
        <w:trPr>
          <w:trHeight w:val="300"/>
        </w:trPr>
        <w:tc>
          <w:tcPr>
            <w:tcW w:w="3684" w:type="pct"/>
            <w:shd w:val="clear" w:color="auto" w:fill="auto"/>
            <w:noWrap/>
            <w:vAlign w:val="bottom"/>
            <w:hideMark/>
          </w:tcPr>
          <w:p w:rsidR="002430DD" w:rsidRDefault="0008761B">
            <w:pPr>
              <w:spacing w:after="0"/>
              <w:jc w:val="left"/>
              <w:rPr>
                <w:noProof/>
                <w:color w:val="000000"/>
                <w:sz w:val="18"/>
                <w:szCs w:val="18"/>
                <w:lang w:val="en-US"/>
              </w:rPr>
            </w:pPr>
            <w:r>
              <w:rPr>
                <w:noProof/>
                <w:color w:val="000000"/>
                <w:sz w:val="18"/>
                <w:szCs w:val="18"/>
                <w:lang w:val="en-US"/>
              </w:rPr>
              <w:t>Remedies - PM (median level)</w:t>
            </w:r>
          </w:p>
        </w:tc>
        <w:tc>
          <w:tcPr>
            <w:tcW w:w="1316" w:type="pct"/>
            <w:shd w:val="clear" w:color="auto" w:fill="auto"/>
            <w:noWrap/>
            <w:vAlign w:val="bottom"/>
            <w:hideMark/>
          </w:tcPr>
          <w:p w:rsidR="002430DD" w:rsidRDefault="0008761B">
            <w:pPr>
              <w:spacing w:after="0"/>
              <w:jc w:val="center"/>
              <w:rPr>
                <w:noProof/>
                <w:color w:val="000000"/>
                <w:sz w:val="18"/>
                <w:szCs w:val="18"/>
                <w:lang w:val="en-US"/>
              </w:rPr>
            </w:pPr>
            <w:r>
              <w:rPr>
                <w:noProof/>
                <w:color w:val="000000"/>
                <w:sz w:val="18"/>
                <w:szCs w:val="18"/>
                <w:lang w:val="en-US"/>
              </w:rPr>
              <w:t>-5.57152***</w:t>
            </w:r>
          </w:p>
        </w:tc>
      </w:tr>
      <w:tr w:rsidR="002430DD">
        <w:trPr>
          <w:trHeight w:val="300"/>
        </w:trPr>
        <w:tc>
          <w:tcPr>
            <w:tcW w:w="3684" w:type="pct"/>
            <w:shd w:val="clear" w:color="auto" w:fill="auto"/>
            <w:noWrap/>
            <w:vAlign w:val="bottom"/>
            <w:hideMark/>
          </w:tcPr>
          <w:p w:rsidR="002430DD" w:rsidRDefault="002430DD">
            <w:pPr>
              <w:spacing w:after="0"/>
              <w:jc w:val="left"/>
              <w:rPr>
                <w:noProof/>
                <w:color w:val="000000"/>
                <w:sz w:val="18"/>
                <w:szCs w:val="18"/>
                <w:lang w:val="en-US"/>
              </w:rPr>
            </w:pPr>
          </w:p>
        </w:tc>
        <w:tc>
          <w:tcPr>
            <w:tcW w:w="1316" w:type="pct"/>
            <w:shd w:val="clear" w:color="auto" w:fill="auto"/>
            <w:noWrap/>
            <w:vAlign w:val="bottom"/>
            <w:hideMark/>
          </w:tcPr>
          <w:p w:rsidR="002430DD" w:rsidRDefault="0008761B">
            <w:pPr>
              <w:spacing w:after="0"/>
              <w:jc w:val="center"/>
              <w:rPr>
                <w:noProof/>
                <w:color w:val="000000"/>
                <w:sz w:val="18"/>
                <w:szCs w:val="18"/>
                <w:lang w:val="en-US"/>
              </w:rPr>
            </w:pPr>
            <w:r>
              <w:rPr>
                <w:noProof/>
                <w:color w:val="000000"/>
                <w:sz w:val="18"/>
                <w:szCs w:val="18"/>
                <w:lang w:val="en-US"/>
              </w:rPr>
              <w:t>(0.008515)</w:t>
            </w:r>
          </w:p>
        </w:tc>
      </w:tr>
      <w:tr w:rsidR="002430DD">
        <w:trPr>
          <w:trHeight w:val="300"/>
        </w:trPr>
        <w:tc>
          <w:tcPr>
            <w:tcW w:w="3684" w:type="pct"/>
            <w:shd w:val="clear" w:color="auto" w:fill="auto"/>
            <w:noWrap/>
            <w:vAlign w:val="bottom"/>
            <w:hideMark/>
          </w:tcPr>
          <w:p w:rsidR="002430DD" w:rsidRDefault="0008761B">
            <w:pPr>
              <w:spacing w:after="0"/>
              <w:jc w:val="left"/>
              <w:rPr>
                <w:noProof/>
                <w:color w:val="000000"/>
                <w:sz w:val="18"/>
                <w:szCs w:val="18"/>
                <w:lang w:val="en-US"/>
              </w:rPr>
            </w:pPr>
            <w:r>
              <w:rPr>
                <w:noProof/>
                <w:color w:val="000000"/>
                <w:sz w:val="18"/>
                <w:szCs w:val="18"/>
                <w:lang w:val="en-US"/>
              </w:rPr>
              <w:t>Remedies - PM (max level)</w:t>
            </w:r>
          </w:p>
        </w:tc>
        <w:tc>
          <w:tcPr>
            <w:tcW w:w="1316" w:type="pct"/>
            <w:shd w:val="clear" w:color="auto" w:fill="auto"/>
            <w:noWrap/>
            <w:vAlign w:val="bottom"/>
            <w:hideMark/>
          </w:tcPr>
          <w:p w:rsidR="002430DD" w:rsidRDefault="0008761B">
            <w:pPr>
              <w:spacing w:after="0"/>
              <w:jc w:val="center"/>
              <w:rPr>
                <w:noProof/>
                <w:color w:val="000000"/>
                <w:sz w:val="18"/>
                <w:szCs w:val="18"/>
                <w:lang w:val="en-US"/>
              </w:rPr>
            </w:pPr>
            <w:r>
              <w:rPr>
                <w:noProof/>
                <w:color w:val="000000"/>
                <w:sz w:val="18"/>
                <w:szCs w:val="18"/>
                <w:lang w:val="en-US"/>
              </w:rPr>
              <w:t>-21.4358***</w:t>
            </w:r>
          </w:p>
        </w:tc>
      </w:tr>
      <w:tr w:rsidR="002430DD">
        <w:trPr>
          <w:trHeight w:val="300"/>
        </w:trPr>
        <w:tc>
          <w:tcPr>
            <w:tcW w:w="3684" w:type="pct"/>
            <w:tcBorders>
              <w:bottom w:val="single" w:sz="4" w:space="0" w:color="auto"/>
            </w:tcBorders>
            <w:shd w:val="clear" w:color="auto" w:fill="auto"/>
            <w:noWrap/>
            <w:vAlign w:val="bottom"/>
            <w:hideMark/>
          </w:tcPr>
          <w:p w:rsidR="002430DD" w:rsidRDefault="002430DD">
            <w:pPr>
              <w:spacing w:after="0"/>
              <w:jc w:val="left"/>
              <w:rPr>
                <w:noProof/>
                <w:color w:val="000000"/>
                <w:sz w:val="18"/>
                <w:szCs w:val="18"/>
                <w:lang w:val="en-US"/>
              </w:rPr>
            </w:pPr>
          </w:p>
        </w:tc>
        <w:tc>
          <w:tcPr>
            <w:tcW w:w="1316" w:type="pct"/>
            <w:tcBorders>
              <w:bottom w:val="single" w:sz="4" w:space="0" w:color="auto"/>
            </w:tcBorders>
            <w:shd w:val="clear" w:color="auto" w:fill="auto"/>
            <w:noWrap/>
            <w:vAlign w:val="bottom"/>
            <w:hideMark/>
          </w:tcPr>
          <w:p w:rsidR="002430DD" w:rsidRDefault="0008761B">
            <w:pPr>
              <w:spacing w:after="0"/>
              <w:jc w:val="center"/>
              <w:rPr>
                <w:noProof/>
                <w:color w:val="000000"/>
                <w:sz w:val="18"/>
                <w:szCs w:val="18"/>
                <w:lang w:val="en-US"/>
              </w:rPr>
            </w:pPr>
            <w:r>
              <w:rPr>
                <w:noProof/>
                <w:color w:val="000000"/>
                <w:sz w:val="18"/>
                <w:szCs w:val="18"/>
                <w:lang w:val="en-US"/>
              </w:rPr>
              <w:t>(0.017308)</w:t>
            </w:r>
          </w:p>
        </w:tc>
      </w:tr>
    </w:tbl>
    <w:p w:rsidR="002430DD" w:rsidRDefault="0008761B">
      <w:pPr>
        <w:spacing w:after="0"/>
        <w:rPr>
          <w:rFonts w:cstheme="minorBidi"/>
          <w:noProof/>
          <w:sz w:val="18"/>
          <w:szCs w:val="18"/>
        </w:rPr>
      </w:pPr>
      <w:r>
        <w:rPr>
          <w:rFonts w:cstheme="minorBidi"/>
          <w:b/>
          <w:noProof/>
          <w:sz w:val="18"/>
          <w:szCs w:val="18"/>
        </w:rPr>
        <w:t>Source:</w:t>
      </w:r>
      <w:r>
        <w:rPr>
          <w:rFonts w:cstheme="minorBidi"/>
          <w:noProof/>
          <w:sz w:val="18"/>
          <w:szCs w:val="18"/>
        </w:rPr>
        <w:t xml:space="preserve"> own calculations- LPM regression, robust standard errors in parenthesis. </w:t>
      </w:r>
    </w:p>
    <w:p w:rsidR="002430DD" w:rsidRDefault="0008761B">
      <w:pPr>
        <w:spacing w:after="0"/>
        <w:rPr>
          <w:rFonts w:cstheme="minorBidi"/>
          <w:noProof/>
          <w:sz w:val="18"/>
          <w:szCs w:val="18"/>
        </w:rPr>
      </w:pPr>
      <w:r>
        <w:rPr>
          <w:rFonts w:cstheme="minorBidi"/>
          <w:noProof/>
          <w:sz w:val="18"/>
          <w:szCs w:val="18"/>
        </w:rPr>
        <w:t>*** p&lt;0.01, ** p&lt;0.05, * p&lt;0.1</w:t>
      </w:r>
    </w:p>
    <w:p w:rsidR="002430DD" w:rsidRDefault="002430DD">
      <w:pPr>
        <w:spacing w:after="0"/>
        <w:rPr>
          <w:rFonts w:cstheme="minorBidi"/>
          <w:noProof/>
          <w:sz w:val="18"/>
          <w:szCs w:val="18"/>
        </w:rPr>
      </w:pPr>
    </w:p>
    <w:p w:rsidR="002430DD" w:rsidRDefault="002430DD">
      <w:pPr>
        <w:spacing w:after="0"/>
        <w:rPr>
          <w:rFonts w:cstheme="minorBidi"/>
          <w:noProof/>
          <w:sz w:val="18"/>
          <w:szCs w:val="18"/>
        </w:rPr>
      </w:pPr>
    </w:p>
    <w:p w:rsidR="002430DD" w:rsidRDefault="002430DD">
      <w:pPr>
        <w:spacing w:after="0"/>
        <w:rPr>
          <w:rFonts w:cstheme="minorBidi"/>
          <w:noProof/>
          <w:sz w:val="18"/>
          <w:szCs w:val="18"/>
        </w:rPr>
      </w:pPr>
    </w:p>
    <w:p w:rsidR="002430DD" w:rsidRDefault="002430DD">
      <w:pPr>
        <w:spacing w:after="0"/>
        <w:rPr>
          <w:rFonts w:cstheme="minorBidi"/>
          <w:noProof/>
          <w:sz w:val="18"/>
          <w:szCs w:val="18"/>
        </w:rPr>
      </w:pPr>
    </w:p>
    <w:p w:rsidR="002430DD" w:rsidRDefault="002430DD">
      <w:pPr>
        <w:spacing w:after="0"/>
        <w:rPr>
          <w:rFonts w:cstheme="minorBidi"/>
          <w:noProof/>
          <w:sz w:val="18"/>
          <w:szCs w:val="18"/>
        </w:rPr>
      </w:pPr>
    </w:p>
    <w:p w:rsidR="002430DD" w:rsidRDefault="002430DD">
      <w:pPr>
        <w:spacing w:after="0"/>
        <w:rPr>
          <w:rFonts w:cstheme="minorBidi"/>
          <w:noProof/>
          <w:sz w:val="18"/>
          <w:szCs w:val="18"/>
        </w:rPr>
      </w:pPr>
    </w:p>
    <w:p w:rsidR="002430DD" w:rsidRDefault="002430DD">
      <w:pPr>
        <w:spacing w:after="0"/>
        <w:rPr>
          <w:rFonts w:cstheme="minorBidi"/>
          <w:noProof/>
          <w:sz w:val="18"/>
          <w:szCs w:val="18"/>
        </w:rPr>
      </w:pPr>
    </w:p>
    <w:p w:rsidR="002430DD" w:rsidRDefault="002430DD">
      <w:pPr>
        <w:spacing w:after="0"/>
        <w:rPr>
          <w:rFonts w:cstheme="minorBidi"/>
          <w:noProof/>
          <w:sz w:val="18"/>
          <w:szCs w:val="18"/>
        </w:rPr>
      </w:pPr>
    </w:p>
    <w:p w:rsidR="002430DD" w:rsidRDefault="002430DD">
      <w:pPr>
        <w:spacing w:after="0"/>
        <w:rPr>
          <w:rFonts w:cstheme="minorBidi"/>
          <w:noProof/>
          <w:sz w:val="18"/>
          <w:szCs w:val="18"/>
        </w:rPr>
      </w:pPr>
    </w:p>
    <w:p w:rsidR="002430DD" w:rsidRDefault="002430DD">
      <w:pPr>
        <w:spacing w:after="0"/>
        <w:rPr>
          <w:rFonts w:cstheme="minorBidi"/>
          <w:noProof/>
          <w:sz w:val="18"/>
          <w:szCs w:val="18"/>
        </w:rPr>
      </w:pPr>
    </w:p>
    <w:p w:rsidR="002430DD" w:rsidRDefault="002430DD">
      <w:pPr>
        <w:spacing w:after="0"/>
        <w:rPr>
          <w:rFonts w:cstheme="minorBidi"/>
          <w:noProof/>
          <w:sz w:val="18"/>
          <w:szCs w:val="18"/>
        </w:rPr>
      </w:pPr>
    </w:p>
    <w:p w:rsidR="002430DD" w:rsidRDefault="002430DD">
      <w:pPr>
        <w:spacing w:after="0"/>
        <w:rPr>
          <w:rFonts w:cstheme="minorBidi"/>
          <w:noProof/>
          <w:sz w:val="18"/>
          <w:szCs w:val="18"/>
        </w:rPr>
      </w:pPr>
    </w:p>
    <w:p w:rsidR="002430DD" w:rsidRDefault="002430DD">
      <w:pPr>
        <w:spacing w:after="0"/>
        <w:rPr>
          <w:rFonts w:cstheme="minorBidi"/>
          <w:noProof/>
          <w:sz w:val="18"/>
          <w:szCs w:val="18"/>
        </w:rPr>
      </w:pPr>
    </w:p>
    <w:p w:rsidR="002430DD" w:rsidRDefault="0008761B">
      <w:pPr>
        <w:pStyle w:val="Caption"/>
        <w:rPr>
          <w:rFonts w:eastAsiaTheme="minorHAnsi" w:cstheme="minorBidi"/>
          <w:noProof/>
          <w:lang w:eastAsia="en-US"/>
        </w:rPr>
      </w:pPr>
      <w:bookmarkStart w:id="729" w:name="_Toc499651263"/>
      <w:r>
        <w:rPr>
          <w:noProof/>
          <w:color w:val="auto"/>
        </w:rPr>
        <w:t xml:space="preserve">Figure </w:t>
      </w:r>
      <w:r>
        <w:rPr>
          <w:noProof/>
          <w:color w:val="auto"/>
        </w:rPr>
        <w:fldChar w:fldCharType="begin"/>
      </w:r>
      <w:r>
        <w:rPr>
          <w:noProof/>
          <w:color w:val="auto"/>
        </w:rPr>
        <w:instrText xml:space="preserve"> SEQ Figure \* ARABIC </w:instrText>
      </w:r>
      <w:r>
        <w:rPr>
          <w:noProof/>
          <w:color w:val="auto"/>
        </w:rPr>
        <w:fldChar w:fldCharType="separate"/>
      </w:r>
      <w:r>
        <w:rPr>
          <w:noProof/>
          <w:color w:val="auto"/>
        </w:rPr>
        <w:t>1</w:t>
      </w:r>
      <w:r>
        <w:rPr>
          <w:noProof/>
          <w:color w:val="auto"/>
        </w:rPr>
        <w:fldChar w:fldCharType="end"/>
      </w:r>
      <w:r>
        <w:rPr>
          <w:rFonts w:eastAsiaTheme="minorHAnsi" w:cstheme="minorBidi"/>
          <w:noProof/>
          <w:color w:val="auto"/>
          <w:lang w:eastAsia="en-US"/>
        </w:rPr>
        <w:t xml:space="preserve">. </w:t>
      </w:r>
      <w:r>
        <w:rPr>
          <w:rFonts w:eastAsiaTheme="minorHAnsi" w:cstheme="minorBidi"/>
          <w:b w:val="0"/>
          <w:noProof/>
          <w:color w:val="auto"/>
          <w:lang w:eastAsia="en-US"/>
        </w:rPr>
        <w:t xml:space="preserve">Baseline coefficient of the </w:t>
      </w:r>
      <w:r>
        <w:rPr>
          <w:rFonts w:eastAsiaTheme="minorHAnsi" w:cstheme="minorBidi"/>
          <w:b w:val="0"/>
          <w:noProof/>
          <w:color w:val="auto"/>
          <w:lang w:eastAsia="en-US"/>
        </w:rPr>
        <w:t>“remedies” variable at different levels of “Public Monitoring on Consumer Legislation”.</w:t>
      </w:r>
      <w:bookmarkEnd w:id="729"/>
      <w:r>
        <w:rPr>
          <w:rFonts w:eastAsiaTheme="minorHAnsi" w:cstheme="minorBidi"/>
          <w:noProof/>
          <w:color w:val="auto"/>
          <w:lang w:eastAsia="en-US"/>
        </w:rPr>
        <w:t xml:space="preserve"> </w:t>
      </w:r>
    </w:p>
    <w:p w:rsidR="002430DD" w:rsidRDefault="0008761B">
      <w:pPr>
        <w:spacing w:after="200"/>
        <w:jc w:val="center"/>
        <w:rPr>
          <w:rFonts w:cstheme="minorBidi"/>
          <w:noProof/>
          <w:sz w:val="18"/>
          <w:szCs w:val="18"/>
        </w:rPr>
      </w:pPr>
      <w:r>
        <w:rPr>
          <w:rFonts w:cstheme="minorBidi"/>
          <w:noProof/>
          <w:sz w:val="18"/>
          <w:szCs w:val="18"/>
          <w:lang w:val="en-GB" w:eastAsia="en-GB"/>
        </w:rPr>
        <w:drawing>
          <wp:inline distT="0" distB="0" distL="0" distR="0">
            <wp:extent cx="3288780" cy="2384755"/>
            <wp:effectExtent l="0" t="0" r="6985" b="0"/>
            <wp:docPr id="698" name="Picture 698" descr="T:\DGs\DG JUST\Projects\Audit on IA_consumer law_DG JUST.03\Unfair Commercial Practices\tables\ucp_pmon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Gs\DG JUST\Projects\Audit on IA_consumer law_DG JUST.03\Unfair Commercial Practices\tables\ucp_pmonitor.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92174" cy="2387216"/>
                    </a:xfrm>
                    <a:prstGeom prst="rect">
                      <a:avLst/>
                    </a:prstGeom>
                    <a:noFill/>
                    <a:ln>
                      <a:noFill/>
                    </a:ln>
                  </pic:spPr>
                </pic:pic>
              </a:graphicData>
            </a:graphic>
          </wp:inline>
        </w:drawing>
      </w:r>
    </w:p>
    <w:p w:rsidR="002430DD" w:rsidRDefault="002430DD">
      <w:pPr>
        <w:spacing w:after="200"/>
        <w:jc w:val="center"/>
        <w:rPr>
          <w:rFonts w:cstheme="minorBidi"/>
          <w:noProof/>
          <w:sz w:val="22"/>
        </w:rPr>
      </w:pPr>
    </w:p>
    <w:p w:rsidR="002430DD" w:rsidRDefault="0008761B">
      <w:pPr>
        <w:spacing w:after="200"/>
        <w:rPr>
          <w:rFonts w:cstheme="minorBidi"/>
          <w:noProof/>
          <w:szCs w:val="20"/>
        </w:rPr>
      </w:pPr>
      <w:r>
        <w:rPr>
          <w:rFonts w:cstheme="minorBidi"/>
          <w:noProof/>
          <w:szCs w:val="20"/>
        </w:rPr>
        <w:t>Similar results come up assessing the likelihood of experiencing a problem when shopping. For consumers living in countries where remedies are implemented, the probability of experiencing a problem while shopping is 3.15% lower with respect to those living</w:t>
      </w:r>
      <w:r>
        <w:rPr>
          <w:rFonts w:cstheme="minorBidi"/>
          <w:noProof/>
          <w:szCs w:val="20"/>
        </w:rPr>
        <w:t xml:space="preserve"> in other countries (Table 3). </w:t>
      </w:r>
    </w:p>
    <w:p w:rsidR="002430DD" w:rsidRDefault="0008761B">
      <w:pPr>
        <w:pStyle w:val="Caption"/>
        <w:rPr>
          <w:rFonts w:eastAsiaTheme="minorHAnsi" w:cstheme="minorBidi"/>
          <w:b w:val="0"/>
          <w:noProof/>
          <w:color w:val="auto"/>
          <w:szCs w:val="20"/>
          <w:lang w:eastAsia="en-US"/>
        </w:rPr>
      </w:pPr>
      <w:bookmarkStart w:id="730" w:name="_Toc500231467"/>
      <w:r>
        <w:rPr>
          <w:noProof/>
          <w:color w:val="auto"/>
        </w:rPr>
        <w:t xml:space="preserve">Table </w:t>
      </w:r>
      <w:r>
        <w:rPr>
          <w:noProof/>
          <w:color w:val="auto"/>
        </w:rPr>
        <w:fldChar w:fldCharType="begin"/>
      </w:r>
      <w:r>
        <w:rPr>
          <w:noProof/>
          <w:color w:val="auto"/>
        </w:rPr>
        <w:instrText xml:space="preserve"> SEQ Table \* ARABIC </w:instrText>
      </w:r>
      <w:r>
        <w:rPr>
          <w:noProof/>
          <w:color w:val="auto"/>
        </w:rPr>
        <w:fldChar w:fldCharType="separate"/>
      </w:r>
      <w:r>
        <w:rPr>
          <w:noProof/>
          <w:color w:val="auto"/>
        </w:rPr>
        <w:t>3</w:t>
      </w:r>
      <w:r>
        <w:rPr>
          <w:noProof/>
          <w:color w:val="auto"/>
        </w:rPr>
        <w:fldChar w:fldCharType="end"/>
      </w:r>
      <w:r>
        <w:rPr>
          <w:noProof/>
          <w:color w:val="auto"/>
        </w:rPr>
        <w:t>.</w:t>
      </w:r>
      <w:r>
        <w:rPr>
          <w:noProof/>
        </w:rPr>
        <w:t xml:space="preserve"> </w:t>
      </w:r>
      <w:r>
        <w:rPr>
          <w:rFonts w:eastAsiaTheme="minorHAnsi" w:cstheme="minorBidi"/>
          <w:b w:val="0"/>
          <w:noProof/>
          <w:color w:val="auto"/>
          <w:szCs w:val="20"/>
          <w:lang w:eastAsia="en-US"/>
        </w:rPr>
        <w:t>Baseline coefficient of the “remedies” variable on the likelihood of experiencing a problem while shopping in the domestic country. Percentage value; standard errors in parenthesis</w:t>
      </w:r>
      <w:bookmarkEnd w:id="730"/>
    </w:p>
    <w:tbl>
      <w:tblPr>
        <w:tblW w:w="5000" w:type="pct"/>
        <w:tblLook w:val="04A0" w:firstRow="1" w:lastRow="0" w:firstColumn="1" w:lastColumn="0" w:noHBand="0" w:noVBand="1"/>
      </w:tblPr>
      <w:tblGrid>
        <w:gridCol w:w="6858"/>
        <w:gridCol w:w="2996"/>
      </w:tblGrid>
      <w:tr w:rsidR="002430DD">
        <w:trPr>
          <w:trHeight w:val="404"/>
        </w:trPr>
        <w:tc>
          <w:tcPr>
            <w:tcW w:w="3480" w:type="pct"/>
            <w:tcBorders>
              <w:top w:val="single" w:sz="4" w:space="0" w:color="auto"/>
              <w:bottom w:val="single" w:sz="4" w:space="0" w:color="auto"/>
            </w:tcBorders>
            <w:shd w:val="clear" w:color="auto" w:fill="auto"/>
            <w:vAlign w:val="bottom"/>
            <w:hideMark/>
          </w:tcPr>
          <w:p w:rsidR="002430DD" w:rsidRDefault="0008761B">
            <w:pPr>
              <w:spacing w:after="0"/>
              <w:rPr>
                <w:noProof/>
                <w:color w:val="000000"/>
                <w:szCs w:val="20"/>
                <w:lang w:val="en-US"/>
              </w:rPr>
            </w:pPr>
            <w:r>
              <w:rPr>
                <w:noProof/>
                <w:color w:val="000000"/>
                <w:szCs w:val="20"/>
                <w:lang w:val="en-US"/>
              </w:rPr>
              <w:t>Baseline c</w:t>
            </w:r>
            <w:r>
              <w:rPr>
                <w:noProof/>
                <w:color w:val="000000"/>
                <w:szCs w:val="20"/>
                <w:lang w:val="en-US"/>
              </w:rPr>
              <w:t>oefficient of the remedies variable</w:t>
            </w:r>
          </w:p>
        </w:tc>
        <w:tc>
          <w:tcPr>
            <w:tcW w:w="1520" w:type="pct"/>
            <w:tcBorders>
              <w:top w:val="single" w:sz="4" w:space="0" w:color="auto"/>
              <w:bottom w:val="single" w:sz="4" w:space="0" w:color="auto"/>
            </w:tcBorders>
            <w:shd w:val="clear" w:color="auto" w:fill="auto"/>
            <w:noWrap/>
            <w:vAlign w:val="bottom"/>
            <w:hideMark/>
          </w:tcPr>
          <w:p w:rsidR="002430DD" w:rsidRDefault="002430DD">
            <w:pPr>
              <w:spacing w:after="0"/>
              <w:rPr>
                <w:bCs/>
                <w:i/>
                <w:noProof/>
                <w:color w:val="000000"/>
                <w:szCs w:val="20"/>
                <w:lang w:val="en-US"/>
              </w:rPr>
            </w:pPr>
          </w:p>
        </w:tc>
      </w:tr>
      <w:tr w:rsidR="002430DD">
        <w:trPr>
          <w:trHeight w:val="300"/>
        </w:trPr>
        <w:tc>
          <w:tcPr>
            <w:tcW w:w="3480" w:type="pct"/>
            <w:shd w:val="clear" w:color="auto" w:fill="auto"/>
            <w:noWrap/>
            <w:vAlign w:val="bottom"/>
            <w:hideMark/>
          </w:tcPr>
          <w:p w:rsidR="002430DD" w:rsidRDefault="0008761B">
            <w:pPr>
              <w:spacing w:after="0"/>
              <w:rPr>
                <w:noProof/>
                <w:color w:val="000000"/>
                <w:szCs w:val="20"/>
                <w:lang w:val="en-US"/>
              </w:rPr>
            </w:pPr>
            <w:r>
              <w:rPr>
                <w:noProof/>
                <w:color w:val="000000"/>
                <w:szCs w:val="20"/>
                <w:lang w:val="en-US"/>
              </w:rPr>
              <w:t>Remedies</w:t>
            </w:r>
          </w:p>
        </w:tc>
        <w:tc>
          <w:tcPr>
            <w:tcW w:w="1520" w:type="pct"/>
            <w:shd w:val="clear" w:color="auto" w:fill="auto"/>
            <w:noWrap/>
            <w:vAlign w:val="bottom"/>
            <w:hideMark/>
          </w:tcPr>
          <w:p w:rsidR="002430DD" w:rsidRDefault="0008761B">
            <w:pPr>
              <w:spacing w:after="0"/>
              <w:jc w:val="center"/>
              <w:rPr>
                <w:noProof/>
                <w:color w:val="000000"/>
                <w:szCs w:val="20"/>
                <w:lang w:val="en-US"/>
              </w:rPr>
            </w:pPr>
            <w:r>
              <w:rPr>
                <w:noProof/>
                <w:color w:val="000000"/>
                <w:szCs w:val="20"/>
                <w:lang w:val="en-US"/>
              </w:rPr>
              <w:t>-3.15081***</w:t>
            </w:r>
          </w:p>
        </w:tc>
      </w:tr>
      <w:tr w:rsidR="002430DD">
        <w:trPr>
          <w:trHeight w:val="300"/>
        </w:trPr>
        <w:tc>
          <w:tcPr>
            <w:tcW w:w="3480" w:type="pct"/>
            <w:tcBorders>
              <w:bottom w:val="single" w:sz="4" w:space="0" w:color="auto"/>
            </w:tcBorders>
            <w:shd w:val="clear" w:color="auto" w:fill="auto"/>
            <w:noWrap/>
            <w:vAlign w:val="bottom"/>
            <w:hideMark/>
          </w:tcPr>
          <w:p w:rsidR="002430DD" w:rsidRDefault="002430DD">
            <w:pPr>
              <w:spacing w:after="0"/>
              <w:rPr>
                <w:noProof/>
                <w:color w:val="000000"/>
                <w:szCs w:val="20"/>
                <w:lang w:val="en-US"/>
              </w:rPr>
            </w:pPr>
          </w:p>
        </w:tc>
        <w:tc>
          <w:tcPr>
            <w:tcW w:w="1520" w:type="pct"/>
            <w:tcBorders>
              <w:bottom w:val="single" w:sz="4" w:space="0" w:color="auto"/>
            </w:tcBorders>
            <w:shd w:val="clear" w:color="auto" w:fill="auto"/>
            <w:noWrap/>
            <w:vAlign w:val="bottom"/>
            <w:hideMark/>
          </w:tcPr>
          <w:p w:rsidR="002430DD" w:rsidRDefault="0008761B">
            <w:pPr>
              <w:spacing w:after="0"/>
              <w:jc w:val="center"/>
              <w:rPr>
                <w:noProof/>
                <w:color w:val="000000"/>
                <w:szCs w:val="20"/>
                <w:lang w:val="en-US"/>
              </w:rPr>
            </w:pPr>
            <w:r>
              <w:rPr>
                <w:noProof/>
                <w:color w:val="000000"/>
                <w:szCs w:val="20"/>
                <w:lang w:val="en-US"/>
              </w:rPr>
              <w:t>(0.0079546)</w:t>
            </w:r>
          </w:p>
        </w:tc>
      </w:tr>
    </w:tbl>
    <w:p w:rsidR="002430DD" w:rsidRDefault="0008761B">
      <w:pPr>
        <w:spacing w:after="0"/>
        <w:rPr>
          <w:rFonts w:cstheme="minorBidi"/>
          <w:noProof/>
          <w:sz w:val="18"/>
          <w:szCs w:val="18"/>
        </w:rPr>
      </w:pPr>
      <w:r>
        <w:rPr>
          <w:rFonts w:cstheme="minorBidi"/>
          <w:b/>
          <w:noProof/>
          <w:sz w:val="18"/>
          <w:szCs w:val="18"/>
        </w:rPr>
        <w:t>Source:</w:t>
      </w:r>
      <w:r>
        <w:rPr>
          <w:rFonts w:cstheme="minorBidi"/>
          <w:noProof/>
          <w:sz w:val="18"/>
          <w:szCs w:val="18"/>
        </w:rPr>
        <w:t xml:space="preserve"> own calculations- LPM regression, robust standard errors in parenthesis. </w:t>
      </w:r>
    </w:p>
    <w:p w:rsidR="002430DD" w:rsidRDefault="0008761B">
      <w:pPr>
        <w:spacing w:after="0"/>
        <w:rPr>
          <w:rFonts w:cstheme="minorBidi"/>
          <w:noProof/>
          <w:sz w:val="18"/>
          <w:szCs w:val="18"/>
        </w:rPr>
      </w:pPr>
      <w:r>
        <w:rPr>
          <w:rFonts w:cstheme="minorBidi"/>
          <w:noProof/>
          <w:sz w:val="18"/>
          <w:szCs w:val="18"/>
        </w:rPr>
        <w:t>*** p&lt;0.01, ** p&lt;0.05, * p&lt;0.1</w:t>
      </w:r>
    </w:p>
    <w:p w:rsidR="002430DD" w:rsidRDefault="002430DD">
      <w:pPr>
        <w:spacing w:after="200"/>
        <w:rPr>
          <w:noProof/>
          <w:color w:val="000000"/>
          <w:szCs w:val="20"/>
          <w:lang w:val="en-US"/>
        </w:rPr>
      </w:pPr>
    </w:p>
    <w:p w:rsidR="002430DD" w:rsidRDefault="0008761B">
      <w:pPr>
        <w:spacing w:after="200"/>
        <w:rPr>
          <w:rFonts w:cstheme="minorBidi"/>
          <w:noProof/>
          <w:szCs w:val="20"/>
        </w:rPr>
      </w:pPr>
      <w:r>
        <w:rPr>
          <w:rFonts w:cstheme="minorBidi"/>
          <w:noProof/>
          <w:szCs w:val="20"/>
        </w:rPr>
        <w:t xml:space="preserve">Table 4 and figure 2 confirm the findings on the influence of the </w:t>
      </w:r>
      <w:r>
        <w:rPr>
          <w:rFonts w:cstheme="minorBidi"/>
          <w:noProof/>
          <w:szCs w:val="20"/>
        </w:rPr>
        <w:t>level of PM presented in table 1 and figure 1.</w:t>
      </w:r>
    </w:p>
    <w:p w:rsidR="002430DD" w:rsidRDefault="0008761B">
      <w:pPr>
        <w:pStyle w:val="Caption"/>
        <w:rPr>
          <w:rFonts w:eastAsiaTheme="minorHAnsi" w:cstheme="minorBidi"/>
          <w:noProof/>
          <w:szCs w:val="20"/>
          <w:lang w:eastAsia="en-US"/>
        </w:rPr>
      </w:pPr>
      <w:bookmarkStart w:id="731" w:name="_Toc500231468"/>
      <w:r>
        <w:rPr>
          <w:noProof/>
          <w:color w:val="auto"/>
        </w:rPr>
        <w:t xml:space="preserve">Table </w:t>
      </w:r>
      <w:r>
        <w:rPr>
          <w:noProof/>
          <w:color w:val="auto"/>
        </w:rPr>
        <w:fldChar w:fldCharType="begin"/>
      </w:r>
      <w:r>
        <w:rPr>
          <w:noProof/>
          <w:color w:val="auto"/>
        </w:rPr>
        <w:instrText xml:space="preserve"> SEQ Table \* ARABIC </w:instrText>
      </w:r>
      <w:r>
        <w:rPr>
          <w:noProof/>
          <w:color w:val="auto"/>
        </w:rPr>
        <w:fldChar w:fldCharType="separate"/>
      </w:r>
      <w:r>
        <w:rPr>
          <w:noProof/>
          <w:color w:val="auto"/>
        </w:rPr>
        <w:t>4</w:t>
      </w:r>
      <w:r>
        <w:rPr>
          <w:noProof/>
          <w:color w:val="auto"/>
        </w:rPr>
        <w:fldChar w:fldCharType="end"/>
      </w:r>
      <w:r>
        <w:rPr>
          <w:noProof/>
          <w:color w:val="auto"/>
        </w:rPr>
        <w:t>.</w:t>
      </w:r>
      <w:r>
        <w:rPr>
          <w:b w:val="0"/>
          <w:noProof/>
          <w:color w:val="auto"/>
        </w:rPr>
        <w:t xml:space="preserve"> </w:t>
      </w:r>
      <w:r>
        <w:rPr>
          <w:rFonts w:eastAsiaTheme="minorHAnsi" w:cstheme="minorBidi"/>
          <w:b w:val="0"/>
          <w:noProof/>
          <w:color w:val="auto"/>
          <w:szCs w:val="20"/>
          <w:lang w:eastAsia="en-US"/>
        </w:rPr>
        <w:t>Baseline coefficient of the “remedies” variable on the likelihood of experiencing a problem while shopping in the domestic country, at different values of “Public Monitoring on</w:t>
      </w:r>
      <w:r>
        <w:rPr>
          <w:rFonts w:eastAsiaTheme="minorHAnsi" w:cstheme="minorBidi"/>
          <w:b w:val="0"/>
          <w:noProof/>
          <w:color w:val="auto"/>
          <w:szCs w:val="20"/>
          <w:lang w:eastAsia="en-US"/>
        </w:rPr>
        <w:t xml:space="preserve"> Consumer Legislation”. Percentage values.</w:t>
      </w:r>
      <w:bookmarkEnd w:id="731"/>
    </w:p>
    <w:tbl>
      <w:tblPr>
        <w:tblW w:w="5000" w:type="pct"/>
        <w:tblLook w:val="04A0" w:firstRow="1" w:lastRow="0" w:firstColumn="1" w:lastColumn="0" w:noHBand="0" w:noVBand="1"/>
      </w:tblPr>
      <w:tblGrid>
        <w:gridCol w:w="6858"/>
        <w:gridCol w:w="2996"/>
      </w:tblGrid>
      <w:tr w:rsidR="002430DD">
        <w:trPr>
          <w:trHeight w:val="386"/>
        </w:trPr>
        <w:tc>
          <w:tcPr>
            <w:tcW w:w="3480" w:type="pct"/>
            <w:tcBorders>
              <w:top w:val="single" w:sz="4" w:space="0" w:color="auto"/>
              <w:bottom w:val="single" w:sz="4" w:space="0" w:color="auto"/>
            </w:tcBorders>
            <w:shd w:val="clear" w:color="auto" w:fill="auto"/>
            <w:vAlign w:val="bottom"/>
            <w:hideMark/>
          </w:tcPr>
          <w:p w:rsidR="002430DD" w:rsidRDefault="0008761B">
            <w:pPr>
              <w:spacing w:after="0"/>
              <w:jc w:val="left"/>
              <w:rPr>
                <w:b/>
                <w:bCs/>
                <w:noProof/>
                <w:color w:val="000000"/>
                <w:szCs w:val="20"/>
                <w:lang w:val="en-US"/>
              </w:rPr>
            </w:pPr>
            <w:r>
              <w:rPr>
                <w:bCs/>
                <w:i/>
                <w:noProof/>
                <w:color w:val="000000"/>
                <w:szCs w:val="20"/>
                <w:lang w:val="en-US"/>
              </w:rPr>
              <w:t>Baseline coefficient of the remedies variable for different values of PM</w:t>
            </w:r>
          </w:p>
        </w:tc>
        <w:tc>
          <w:tcPr>
            <w:tcW w:w="1520" w:type="pct"/>
            <w:tcBorders>
              <w:top w:val="single" w:sz="4" w:space="0" w:color="auto"/>
              <w:bottom w:val="single" w:sz="4" w:space="0" w:color="auto"/>
            </w:tcBorders>
            <w:shd w:val="clear" w:color="auto" w:fill="auto"/>
            <w:noWrap/>
            <w:vAlign w:val="bottom"/>
            <w:hideMark/>
          </w:tcPr>
          <w:p w:rsidR="002430DD" w:rsidRDefault="002430DD">
            <w:pPr>
              <w:spacing w:after="0"/>
              <w:jc w:val="left"/>
              <w:rPr>
                <w:noProof/>
                <w:color w:val="000000"/>
                <w:szCs w:val="20"/>
                <w:lang w:val="en-US"/>
              </w:rPr>
            </w:pPr>
          </w:p>
        </w:tc>
      </w:tr>
      <w:tr w:rsidR="002430DD">
        <w:trPr>
          <w:trHeight w:val="300"/>
        </w:trPr>
        <w:tc>
          <w:tcPr>
            <w:tcW w:w="3480" w:type="pct"/>
            <w:shd w:val="clear" w:color="auto" w:fill="auto"/>
            <w:noWrap/>
            <w:vAlign w:val="bottom"/>
            <w:hideMark/>
          </w:tcPr>
          <w:p w:rsidR="002430DD" w:rsidRDefault="0008761B">
            <w:pPr>
              <w:spacing w:after="0"/>
              <w:jc w:val="left"/>
              <w:rPr>
                <w:noProof/>
                <w:color w:val="000000"/>
                <w:szCs w:val="20"/>
                <w:lang w:val="en-US"/>
              </w:rPr>
            </w:pPr>
            <w:r>
              <w:rPr>
                <w:noProof/>
                <w:color w:val="000000"/>
                <w:szCs w:val="20"/>
                <w:lang w:val="en-US"/>
              </w:rPr>
              <w:t xml:space="preserve">Remedies - PM (min level) </w:t>
            </w:r>
          </w:p>
        </w:tc>
        <w:tc>
          <w:tcPr>
            <w:tcW w:w="1520" w:type="pct"/>
            <w:shd w:val="clear" w:color="auto" w:fill="auto"/>
            <w:noWrap/>
            <w:vAlign w:val="bottom"/>
            <w:hideMark/>
          </w:tcPr>
          <w:p w:rsidR="002430DD" w:rsidRDefault="0008761B">
            <w:pPr>
              <w:spacing w:after="0"/>
              <w:jc w:val="center"/>
              <w:rPr>
                <w:noProof/>
                <w:color w:val="000000"/>
                <w:szCs w:val="20"/>
                <w:lang w:val="en-US"/>
              </w:rPr>
            </w:pPr>
            <w:r>
              <w:rPr>
                <w:noProof/>
                <w:color w:val="000000"/>
                <w:szCs w:val="20"/>
                <w:lang w:val="en-US"/>
              </w:rPr>
              <w:t>8.25197***</w:t>
            </w:r>
          </w:p>
        </w:tc>
      </w:tr>
      <w:tr w:rsidR="002430DD">
        <w:trPr>
          <w:trHeight w:val="300"/>
        </w:trPr>
        <w:tc>
          <w:tcPr>
            <w:tcW w:w="3480" w:type="pct"/>
            <w:shd w:val="clear" w:color="auto" w:fill="auto"/>
            <w:noWrap/>
            <w:vAlign w:val="bottom"/>
            <w:hideMark/>
          </w:tcPr>
          <w:p w:rsidR="002430DD" w:rsidRDefault="002430DD">
            <w:pPr>
              <w:spacing w:after="0"/>
              <w:jc w:val="left"/>
              <w:rPr>
                <w:noProof/>
                <w:color w:val="000000"/>
                <w:szCs w:val="20"/>
                <w:lang w:val="en-US"/>
              </w:rPr>
            </w:pPr>
          </w:p>
        </w:tc>
        <w:tc>
          <w:tcPr>
            <w:tcW w:w="1520" w:type="pct"/>
            <w:shd w:val="clear" w:color="auto" w:fill="auto"/>
            <w:noWrap/>
            <w:vAlign w:val="bottom"/>
            <w:hideMark/>
          </w:tcPr>
          <w:p w:rsidR="002430DD" w:rsidRDefault="0008761B">
            <w:pPr>
              <w:spacing w:after="0"/>
              <w:jc w:val="center"/>
              <w:rPr>
                <w:noProof/>
                <w:color w:val="000000"/>
                <w:szCs w:val="20"/>
                <w:lang w:val="en-US"/>
              </w:rPr>
            </w:pPr>
            <w:r>
              <w:rPr>
                <w:noProof/>
                <w:color w:val="000000"/>
                <w:szCs w:val="20"/>
                <w:lang w:val="en-US"/>
              </w:rPr>
              <w:t>(0.0183917)</w:t>
            </w:r>
          </w:p>
        </w:tc>
      </w:tr>
      <w:tr w:rsidR="002430DD">
        <w:trPr>
          <w:trHeight w:val="300"/>
        </w:trPr>
        <w:tc>
          <w:tcPr>
            <w:tcW w:w="3480" w:type="pct"/>
            <w:shd w:val="clear" w:color="auto" w:fill="auto"/>
            <w:noWrap/>
            <w:vAlign w:val="bottom"/>
            <w:hideMark/>
          </w:tcPr>
          <w:p w:rsidR="002430DD" w:rsidRDefault="0008761B">
            <w:pPr>
              <w:spacing w:after="0"/>
              <w:jc w:val="left"/>
              <w:rPr>
                <w:noProof/>
                <w:color w:val="000000"/>
                <w:szCs w:val="20"/>
                <w:lang w:val="en-US"/>
              </w:rPr>
            </w:pPr>
            <w:r>
              <w:rPr>
                <w:noProof/>
                <w:color w:val="000000"/>
                <w:szCs w:val="20"/>
                <w:lang w:val="en-US"/>
              </w:rPr>
              <w:t>Remedies - PM (median level)</w:t>
            </w:r>
          </w:p>
        </w:tc>
        <w:tc>
          <w:tcPr>
            <w:tcW w:w="1520" w:type="pct"/>
            <w:shd w:val="clear" w:color="auto" w:fill="auto"/>
            <w:noWrap/>
            <w:vAlign w:val="bottom"/>
            <w:hideMark/>
          </w:tcPr>
          <w:p w:rsidR="002430DD" w:rsidRDefault="0008761B">
            <w:pPr>
              <w:spacing w:after="0"/>
              <w:jc w:val="center"/>
              <w:rPr>
                <w:noProof/>
                <w:color w:val="000000"/>
                <w:szCs w:val="20"/>
                <w:lang w:val="en-US"/>
              </w:rPr>
            </w:pPr>
            <w:r>
              <w:rPr>
                <w:noProof/>
                <w:color w:val="000000"/>
                <w:szCs w:val="20"/>
                <w:lang w:val="en-US"/>
              </w:rPr>
              <w:t>-4.0984***</w:t>
            </w:r>
          </w:p>
        </w:tc>
      </w:tr>
      <w:tr w:rsidR="002430DD">
        <w:trPr>
          <w:trHeight w:val="300"/>
        </w:trPr>
        <w:tc>
          <w:tcPr>
            <w:tcW w:w="3480" w:type="pct"/>
            <w:shd w:val="clear" w:color="auto" w:fill="auto"/>
            <w:noWrap/>
            <w:vAlign w:val="bottom"/>
            <w:hideMark/>
          </w:tcPr>
          <w:p w:rsidR="002430DD" w:rsidRDefault="002430DD">
            <w:pPr>
              <w:spacing w:after="0"/>
              <w:jc w:val="left"/>
              <w:rPr>
                <w:noProof/>
                <w:color w:val="000000"/>
                <w:szCs w:val="20"/>
                <w:lang w:val="en-US"/>
              </w:rPr>
            </w:pPr>
          </w:p>
        </w:tc>
        <w:tc>
          <w:tcPr>
            <w:tcW w:w="1520" w:type="pct"/>
            <w:shd w:val="clear" w:color="auto" w:fill="auto"/>
            <w:noWrap/>
            <w:vAlign w:val="bottom"/>
            <w:hideMark/>
          </w:tcPr>
          <w:p w:rsidR="002430DD" w:rsidRDefault="0008761B">
            <w:pPr>
              <w:spacing w:after="0"/>
              <w:jc w:val="center"/>
              <w:rPr>
                <w:noProof/>
                <w:color w:val="000000"/>
                <w:szCs w:val="20"/>
                <w:lang w:val="en-US"/>
              </w:rPr>
            </w:pPr>
            <w:r>
              <w:rPr>
                <w:noProof/>
                <w:color w:val="000000"/>
                <w:szCs w:val="20"/>
                <w:lang w:val="en-US"/>
              </w:rPr>
              <w:t>(0.007857)</w:t>
            </w:r>
          </w:p>
        </w:tc>
      </w:tr>
      <w:tr w:rsidR="002430DD">
        <w:trPr>
          <w:trHeight w:val="300"/>
        </w:trPr>
        <w:tc>
          <w:tcPr>
            <w:tcW w:w="3480" w:type="pct"/>
            <w:shd w:val="clear" w:color="auto" w:fill="auto"/>
            <w:noWrap/>
            <w:vAlign w:val="bottom"/>
            <w:hideMark/>
          </w:tcPr>
          <w:p w:rsidR="002430DD" w:rsidRDefault="0008761B">
            <w:pPr>
              <w:spacing w:after="0"/>
              <w:jc w:val="left"/>
              <w:rPr>
                <w:noProof/>
                <w:color w:val="000000"/>
                <w:szCs w:val="20"/>
                <w:lang w:val="en-US"/>
              </w:rPr>
            </w:pPr>
            <w:r>
              <w:rPr>
                <w:noProof/>
                <w:color w:val="000000"/>
                <w:szCs w:val="20"/>
                <w:lang w:val="en-US"/>
              </w:rPr>
              <w:t>Remedies - PM (max level)</w:t>
            </w:r>
          </w:p>
        </w:tc>
        <w:tc>
          <w:tcPr>
            <w:tcW w:w="1520" w:type="pct"/>
            <w:shd w:val="clear" w:color="auto" w:fill="auto"/>
            <w:noWrap/>
            <w:vAlign w:val="bottom"/>
            <w:hideMark/>
          </w:tcPr>
          <w:p w:rsidR="002430DD" w:rsidRDefault="0008761B">
            <w:pPr>
              <w:spacing w:after="0"/>
              <w:jc w:val="center"/>
              <w:rPr>
                <w:noProof/>
                <w:color w:val="000000"/>
                <w:szCs w:val="20"/>
                <w:lang w:val="en-US"/>
              </w:rPr>
            </w:pPr>
            <w:r>
              <w:rPr>
                <w:noProof/>
                <w:color w:val="000000"/>
                <w:szCs w:val="20"/>
                <w:lang w:val="en-US"/>
              </w:rPr>
              <w:t>-13.59039***</w:t>
            </w:r>
          </w:p>
        </w:tc>
      </w:tr>
      <w:tr w:rsidR="002430DD">
        <w:trPr>
          <w:trHeight w:val="300"/>
        </w:trPr>
        <w:tc>
          <w:tcPr>
            <w:tcW w:w="3480" w:type="pct"/>
            <w:tcBorders>
              <w:bottom w:val="single" w:sz="4" w:space="0" w:color="auto"/>
            </w:tcBorders>
            <w:shd w:val="clear" w:color="auto" w:fill="auto"/>
            <w:noWrap/>
            <w:vAlign w:val="bottom"/>
            <w:hideMark/>
          </w:tcPr>
          <w:p w:rsidR="002430DD" w:rsidRDefault="002430DD">
            <w:pPr>
              <w:spacing w:after="0"/>
              <w:jc w:val="left"/>
              <w:rPr>
                <w:noProof/>
                <w:color w:val="000000"/>
                <w:szCs w:val="20"/>
                <w:lang w:val="en-US"/>
              </w:rPr>
            </w:pPr>
          </w:p>
        </w:tc>
        <w:tc>
          <w:tcPr>
            <w:tcW w:w="1520" w:type="pct"/>
            <w:tcBorders>
              <w:bottom w:val="single" w:sz="4" w:space="0" w:color="auto"/>
            </w:tcBorders>
            <w:shd w:val="clear" w:color="auto" w:fill="auto"/>
            <w:noWrap/>
            <w:vAlign w:val="bottom"/>
            <w:hideMark/>
          </w:tcPr>
          <w:p w:rsidR="002430DD" w:rsidRDefault="0008761B">
            <w:pPr>
              <w:spacing w:after="0"/>
              <w:jc w:val="center"/>
              <w:rPr>
                <w:noProof/>
                <w:color w:val="000000"/>
                <w:szCs w:val="20"/>
                <w:lang w:val="en-US"/>
              </w:rPr>
            </w:pPr>
            <w:r>
              <w:rPr>
                <w:noProof/>
                <w:color w:val="000000"/>
                <w:szCs w:val="20"/>
                <w:lang w:val="en-US"/>
              </w:rPr>
              <w:t>(0.0153349)</w:t>
            </w:r>
          </w:p>
        </w:tc>
      </w:tr>
    </w:tbl>
    <w:p w:rsidR="002430DD" w:rsidRDefault="0008761B">
      <w:pPr>
        <w:spacing w:after="0"/>
        <w:rPr>
          <w:rFonts w:cstheme="minorBidi"/>
          <w:noProof/>
          <w:sz w:val="18"/>
          <w:szCs w:val="18"/>
        </w:rPr>
      </w:pPr>
      <w:r>
        <w:rPr>
          <w:rFonts w:cstheme="minorBidi"/>
          <w:b/>
          <w:noProof/>
          <w:sz w:val="18"/>
          <w:szCs w:val="18"/>
        </w:rPr>
        <w:t>Source:</w:t>
      </w:r>
      <w:r>
        <w:rPr>
          <w:rFonts w:cstheme="minorBidi"/>
          <w:noProof/>
          <w:sz w:val="18"/>
          <w:szCs w:val="18"/>
        </w:rPr>
        <w:t xml:space="preserve"> own calculations- LPM regression, robust standard errors in parenthesis. </w:t>
      </w:r>
    </w:p>
    <w:p w:rsidR="002430DD" w:rsidRDefault="0008761B">
      <w:pPr>
        <w:spacing w:after="0"/>
        <w:rPr>
          <w:rFonts w:cstheme="minorBidi"/>
          <w:noProof/>
          <w:sz w:val="18"/>
          <w:szCs w:val="18"/>
        </w:rPr>
      </w:pPr>
      <w:r>
        <w:rPr>
          <w:rFonts w:cstheme="minorBidi"/>
          <w:noProof/>
          <w:sz w:val="18"/>
          <w:szCs w:val="18"/>
        </w:rPr>
        <w:t>*** p&lt;0.01, ** p&lt;0.05, * p&lt;0.1</w:t>
      </w:r>
    </w:p>
    <w:p w:rsidR="002430DD" w:rsidRDefault="002430DD">
      <w:pPr>
        <w:spacing w:after="200"/>
        <w:contextualSpacing/>
        <w:rPr>
          <w:rFonts w:cstheme="minorBidi"/>
          <w:b/>
          <w:noProof/>
          <w:szCs w:val="20"/>
        </w:rPr>
      </w:pPr>
    </w:p>
    <w:p w:rsidR="002430DD" w:rsidRDefault="002430DD">
      <w:pPr>
        <w:spacing w:after="200"/>
        <w:contextualSpacing/>
        <w:rPr>
          <w:rFonts w:cstheme="minorBidi"/>
          <w:b/>
          <w:noProof/>
          <w:szCs w:val="20"/>
        </w:rPr>
      </w:pPr>
    </w:p>
    <w:p w:rsidR="002430DD" w:rsidRDefault="0008761B">
      <w:pPr>
        <w:pStyle w:val="Caption"/>
        <w:rPr>
          <w:rFonts w:eastAsiaTheme="minorHAnsi" w:cstheme="minorBidi"/>
          <w:noProof/>
          <w:szCs w:val="20"/>
          <w:lang w:eastAsia="en-US"/>
        </w:rPr>
      </w:pPr>
      <w:bookmarkStart w:id="732" w:name="_Toc499651264"/>
      <w:r>
        <w:rPr>
          <w:noProof/>
          <w:color w:val="auto"/>
        </w:rPr>
        <w:t xml:space="preserve">Figure </w:t>
      </w:r>
      <w:r>
        <w:rPr>
          <w:noProof/>
          <w:color w:val="auto"/>
        </w:rPr>
        <w:fldChar w:fldCharType="begin"/>
      </w:r>
      <w:r>
        <w:rPr>
          <w:noProof/>
          <w:color w:val="auto"/>
        </w:rPr>
        <w:instrText xml:space="preserve"> SEQ Figure \* ARABIC </w:instrText>
      </w:r>
      <w:r>
        <w:rPr>
          <w:noProof/>
          <w:color w:val="auto"/>
        </w:rPr>
        <w:fldChar w:fldCharType="separate"/>
      </w:r>
      <w:r>
        <w:rPr>
          <w:noProof/>
          <w:color w:val="auto"/>
        </w:rPr>
        <w:t>2</w:t>
      </w:r>
      <w:r>
        <w:rPr>
          <w:noProof/>
          <w:color w:val="auto"/>
        </w:rPr>
        <w:fldChar w:fldCharType="end"/>
      </w:r>
      <w:r>
        <w:rPr>
          <w:noProof/>
          <w:color w:val="auto"/>
        </w:rPr>
        <w:t>.</w:t>
      </w:r>
      <w:r>
        <w:rPr>
          <w:b w:val="0"/>
          <w:noProof/>
          <w:color w:val="auto"/>
        </w:rPr>
        <w:t xml:space="preserve"> </w:t>
      </w:r>
      <w:r>
        <w:rPr>
          <w:rFonts w:eastAsiaTheme="minorHAnsi" w:cstheme="minorBidi"/>
          <w:b w:val="0"/>
          <w:noProof/>
          <w:color w:val="auto"/>
          <w:szCs w:val="20"/>
          <w:lang w:eastAsia="en-US"/>
        </w:rPr>
        <w:t>Baseline coefficient of the “remedies” variable at different levels of “Public</w:t>
      </w:r>
      <w:r>
        <w:rPr>
          <w:rFonts w:eastAsiaTheme="minorHAnsi" w:cstheme="minorBidi"/>
          <w:b w:val="0"/>
          <w:noProof/>
          <w:color w:val="auto"/>
          <w:szCs w:val="20"/>
          <w:lang w:eastAsia="en-US"/>
        </w:rPr>
        <w:t xml:space="preserve"> Monitoring on Consumer Legislation”.</w:t>
      </w:r>
      <w:bookmarkEnd w:id="732"/>
      <w:r>
        <w:rPr>
          <w:rFonts w:eastAsiaTheme="minorHAnsi" w:cstheme="minorBidi"/>
          <w:b w:val="0"/>
          <w:noProof/>
          <w:color w:val="auto"/>
          <w:szCs w:val="20"/>
          <w:lang w:eastAsia="en-US"/>
        </w:rPr>
        <w:t xml:space="preserve"> </w:t>
      </w:r>
    </w:p>
    <w:p w:rsidR="002430DD" w:rsidRDefault="0008761B">
      <w:pPr>
        <w:spacing w:after="200"/>
        <w:ind w:left="360"/>
        <w:jc w:val="center"/>
        <w:rPr>
          <w:rFonts w:cstheme="minorBidi"/>
          <w:noProof/>
          <w:szCs w:val="20"/>
        </w:rPr>
      </w:pPr>
      <w:r>
        <w:rPr>
          <w:rFonts w:cstheme="minorBidi"/>
          <w:noProof/>
          <w:szCs w:val="20"/>
          <w:lang w:val="en-GB" w:eastAsia="en-GB"/>
        </w:rPr>
        <w:drawing>
          <wp:inline distT="0" distB="0" distL="0" distR="0">
            <wp:extent cx="3794078" cy="2773972"/>
            <wp:effectExtent l="0" t="0" r="0" b="762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94751" cy="2774464"/>
                    </a:xfrm>
                    <a:prstGeom prst="rect">
                      <a:avLst/>
                    </a:prstGeom>
                    <a:noFill/>
                    <a:ln>
                      <a:noFill/>
                    </a:ln>
                  </pic:spPr>
                </pic:pic>
              </a:graphicData>
            </a:graphic>
          </wp:inline>
        </w:drawing>
      </w:r>
    </w:p>
    <w:p w:rsidR="002430DD" w:rsidRDefault="0008761B">
      <w:pPr>
        <w:spacing w:after="200"/>
        <w:rPr>
          <w:rFonts w:cstheme="minorBidi"/>
          <w:noProof/>
          <w:szCs w:val="20"/>
        </w:rPr>
      </w:pPr>
      <w:r>
        <w:rPr>
          <w:rFonts w:cstheme="minorBidi"/>
          <w:noProof/>
          <w:szCs w:val="20"/>
        </w:rPr>
        <w:t xml:space="preserve">On average, where remedies are implemented consumers complaining with retailers after encountering a problem have a higher probability (8.7%, </w:t>
      </w:r>
      <w:r>
        <w:rPr>
          <w:rFonts w:eastAsia="Calibri"/>
          <w:noProof/>
        </w:rPr>
        <w:t>statistically significant at 5%</w:t>
      </w:r>
      <w:r>
        <w:rPr>
          <w:noProof/>
          <w:color w:val="000000"/>
          <w:szCs w:val="20"/>
          <w:lang w:val="en-US"/>
        </w:rPr>
        <w:t>)</w:t>
      </w:r>
      <w:r>
        <w:rPr>
          <w:rFonts w:cstheme="minorBidi"/>
          <w:noProof/>
          <w:szCs w:val="20"/>
        </w:rPr>
        <w:t xml:space="preserve"> of receiving a satisfying assistance, co</w:t>
      </w:r>
      <w:r>
        <w:rPr>
          <w:rFonts w:cstheme="minorBidi"/>
          <w:noProof/>
          <w:szCs w:val="20"/>
        </w:rPr>
        <w:t>mpared to countries without remedies.</w:t>
      </w:r>
    </w:p>
    <w:p w:rsidR="002430DD" w:rsidRDefault="0008761B">
      <w:pPr>
        <w:spacing w:after="200"/>
        <w:rPr>
          <w:rFonts w:cstheme="minorBidi"/>
          <w:noProof/>
          <w:szCs w:val="20"/>
        </w:rPr>
      </w:pPr>
      <w:r>
        <w:rPr>
          <w:rFonts w:cstheme="minorBidi"/>
          <w:noProof/>
          <w:szCs w:val="20"/>
        </w:rPr>
        <w:t>Eventually, regressions estimates presented in table 5, show that in countries foreseeing higher penalties for UCPD infringements, the introduction of remedies is associated with a decrease of the probability to encoun</w:t>
      </w:r>
      <w:r>
        <w:rPr>
          <w:rFonts w:cstheme="minorBidi"/>
          <w:noProof/>
          <w:szCs w:val="20"/>
        </w:rPr>
        <w:t>ter a UCP that is roughly 3 times larger than in countries with medium or lower penalties.</w:t>
      </w:r>
    </w:p>
    <w:p w:rsidR="002430DD" w:rsidRDefault="0008761B">
      <w:pPr>
        <w:pStyle w:val="Caption"/>
        <w:keepNext/>
        <w:rPr>
          <w:noProof/>
        </w:rPr>
      </w:pPr>
      <w:bookmarkStart w:id="733" w:name="_Toc500231469"/>
      <w:r>
        <w:rPr>
          <w:noProof/>
          <w:color w:val="auto"/>
        </w:rPr>
        <w:t xml:space="preserve">Table </w:t>
      </w:r>
      <w:r>
        <w:rPr>
          <w:noProof/>
          <w:color w:val="auto"/>
        </w:rPr>
        <w:fldChar w:fldCharType="begin"/>
      </w:r>
      <w:r>
        <w:rPr>
          <w:noProof/>
          <w:color w:val="auto"/>
        </w:rPr>
        <w:instrText xml:space="preserve"> SEQ Table \* ARABIC </w:instrText>
      </w:r>
      <w:r>
        <w:rPr>
          <w:noProof/>
          <w:color w:val="auto"/>
        </w:rPr>
        <w:fldChar w:fldCharType="separate"/>
      </w:r>
      <w:r>
        <w:rPr>
          <w:noProof/>
          <w:color w:val="auto"/>
        </w:rPr>
        <w:t>5</w:t>
      </w:r>
      <w:r>
        <w:rPr>
          <w:noProof/>
          <w:color w:val="auto"/>
        </w:rPr>
        <w:fldChar w:fldCharType="end"/>
      </w:r>
      <w:r>
        <w:rPr>
          <w:noProof/>
          <w:color w:val="auto"/>
        </w:rPr>
        <w:t>.</w:t>
      </w:r>
      <w:r>
        <w:rPr>
          <w:b w:val="0"/>
          <w:noProof/>
          <w:color w:val="auto"/>
        </w:rPr>
        <w:t xml:space="preserve"> Baseline coefficient of the “remedies” variable for each sanction category. Percentage values.</w:t>
      </w:r>
      <w:bookmarkEnd w:id="733"/>
      <w:r>
        <w:rPr>
          <w:b w:val="0"/>
          <w:noProof/>
          <w:color w:val="auto"/>
        </w:rPr>
        <w:t xml:space="preserve"> </w:t>
      </w:r>
    </w:p>
    <w:tbl>
      <w:tblPr>
        <w:tblW w:w="5000" w:type="pct"/>
        <w:tblLook w:val="04A0" w:firstRow="1" w:lastRow="0" w:firstColumn="1" w:lastColumn="0" w:noHBand="0" w:noVBand="1"/>
      </w:tblPr>
      <w:tblGrid>
        <w:gridCol w:w="7548"/>
        <w:gridCol w:w="2306"/>
      </w:tblGrid>
      <w:tr w:rsidR="002430DD">
        <w:trPr>
          <w:trHeight w:val="368"/>
        </w:trPr>
        <w:tc>
          <w:tcPr>
            <w:tcW w:w="3830" w:type="pct"/>
            <w:tcBorders>
              <w:top w:val="single" w:sz="4" w:space="0" w:color="auto"/>
              <w:left w:val="nil"/>
              <w:bottom w:val="single" w:sz="4" w:space="0" w:color="auto"/>
              <w:right w:val="nil"/>
            </w:tcBorders>
            <w:shd w:val="clear" w:color="auto" w:fill="auto"/>
            <w:vAlign w:val="bottom"/>
            <w:hideMark/>
          </w:tcPr>
          <w:p w:rsidR="002430DD" w:rsidRDefault="0008761B">
            <w:pPr>
              <w:spacing w:after="0"/>
              <w:contextualSpacing/>
              <w:rPr>
                <w:rFonts w:ascii="Calibri" w:hAnsi="Calibri"/>
                <w:b/>
                <w:bCs/>
                <w:i/>
                <w:noProof/>
                <w:color w:val="000000"/>
                <w:lang w:val="en-US"/>
              </w:rPr>
            </w:pPr>
            <w:r>
              <w:rPr>
                <w:i/>
                <w:noProof/>
                <w:color w:val="000000"/>
                <w:szCs w:val="20"/>
                <w:lang w:val="en-US"/>
              </w:rPr>
              <w:t xml:space="preserve">Baseline coefficient of for each </w:t>
            </w:r>
            <w:r>
              <w:rPr>
                <w:i/>
                <w:noProof/>
                <w:color w:val="000000"/>
                <w:szCs w:val="20"/>
                <w:lang w:val="en-US"/>
              </w:rPr>
              <w:t>sanction category</w:t>
            </w:r>
          </w:p>
        </w:tc>
        <w:tc>
          <w:tcPr>
            <w:tcW w:w="1170" w:type="pct"/>
            <w:tcBorders>
              <w:top w:val="single" w:sz="4" w:space="0" w:color="auto"/>
              <w:left w:val="nil"/>
              <w:bottom w:val="single" w:sz="4" w:space="0" w:color="auto"/>
              <w:right w:val="nil"/>
            </w:tcBorders>
            <w:shd w:val="clear" w:color="auto" w:fill="auto"/>
            <w:noWrap/>
            <w:vAlign w:val="bottom"/>
            <w:hideMark/>
          </w:tcPr>
          <w:p w:rsidR="002430DD" w:rsidRDefault="002430DD">
            <w:pPr>
              <w:spacing w:after="0"/>
              <w:contextualSpacing/>
              <w:rPr>
                <w:rFonts w:ascii="Calibri" w:hAnsi="Calibri"/>
                <w:noProof/>
                <w:color w:val="000000"/>
                <w:lang w:val="en-US"/>
              </w:rPr>
            </w:pPr>
          </w:p>
        </w:tc>
      </w:tr>
      <w:tr w:rsidR="002430DD">
        <w:trPr>
          <w:trHeight w:val="350"/>
        </w:trPr>
        <w:tc>
          <w:tcPr>
            <w:tcW w:w="3830" w:type="pct"/>
            <w:tcBorders>
              <w:top w:val="nil"/>
              <w:left w:val="nil"/>
              <w:bottom w:val="nil"/>
              <w:right w:val="nil"/>
            </w:tcBorders>
            <w:shd w:val="clear" w:color="auto" w:fill="auto"/>
            <w:noWrap/>
            <w:hideMark/>
          </w:tcPr>
          <w:p w:rsidR="002430DD" w:rsidRDefault="0008761B">
            <w:pPr>
              <w:spacing w:after="0"/>
              <w:contextualSpacing/>
              <w:rPr>
                <w:noProof/>
                <w:color w:val="000000"/>
                <w:szCs w:val="20"/>
                <w:lang w:val="en-US"/>
              </w:rPr>
            </w:pPr>
            <w:r>
              <w:rPr>
                <w:noProof/>
                <w:color w:val="000000"/>
                <w:szCs w:val="20"/>
                <w:lang w:val="en-US"/>
              </w:rPr>
              <w:t>Remedies - Low sanctions</w:t>
            </w:r>
          </w:p>
        </w:tc>
        <w:tc>
          <w:tcPr>
            <w:tcW w:w="1170" w:type="pct"/>
            <w:tcBorders>
              <w:top w:val="nil"/>
              <w:left w:val="nil"/>
              <w:bottom w:val="nil"/>
              <w:right w:val="nil"/>
            </w:tcBorders>
            <w:shd w:val="clear" w:color="auto" w:fill="auto"/>
            <w:noWrap/>
            <w:vAlign w:val="bottom"/>
            <w:hideMark/>
          </w:tcPr>
          <w:p w:rsidR="002430DD" w:rsidRDefault="0008761B">
            <w:pPr>
              <w:contextualSpacing/>
              <w:jc w:val="center"/>
              <w:rPr>
                <w:noProof/>
                <w:color w:val="000000"/>
                <w:szCs w:val="20"/>
                <w:lang w:val="en-US"/>
              </w:rPr>
            </w:pPr>
            <w:r>
              <w:rPr>
                <w:noProof/>
                <w:color w:val="000000"/>
                <w:szCs w:val="20"/>
                <w:lang w:val="en-US"/>
              </w:rPr>
              <w:t>-11.92734***</w:t>
            </w:r>
          </w:p>
        </w:tc>
      </w:tr>
      <w:tr w:rsidR="002430DD">
        <w:trPr>
          <w:trHeight w:val="300"/>
        </w:trPr>
        <w:tc>
          <w:tcPr>
            <w:tcW w:w="3830" w:type="pct"/>
            <w:tcBorders>
              <w:top w:val="nil"/>
              <w:left w:val="nil"/>
              <w:bottom w:val="nil"/>
              <w:right w:val="nil"/>
            </w:tcBorders>
            <w:shd w:val="clear" w:color="auto" w:fill="auto"/>
            <w:noWrap/>
            <w:hideMark/>
          </w:tcPr>
          <w:p w:rsidR="002430DD" w:rsidRDefault="002430DD">
            <w:pPr>
              <w:spacing w:after="0"/>
              <w:contextualSpacing/>
              <w:rPr>
                <w:noProof/>
                <w:color w:val="000000"/>
                <w:szCs w:val="20"/>
                <w:lang w:val="en-US"/>
              </w:rPr>
            </w:pPr>
          </w:p>
        </w:tc>
        <w:tc>
          <w:tcPr>
            <w:tcW w:w="1170" w:type="pct"/>
            <w:tcBorders>
              <w:top w:val="nil"/>
              <w:left w:val="nil"/>
              <w:bottom w:val="nil"/>
              <w:right w:val="nil"/>
            </w:tcBorders>
            <w:shd w:val="clear" w:color="auto" w:fill="auto"/>
            <w:noWrap/>
            <w:vAlign w:val="bottom"/>
            <w:hideMark/>
          </w:tcPr>
          <w:p w:rsidR="002430DD" w:rsidRDefault="0008761B">
            <w:pPr>
              <w:contextualSpacing/>
              <w:jc w:val="center"/>
              <w:rPr>
                <w:noProof/>
                <w:color w:val="000000"/>
                <w:szCs w:val="20"/>
                <w:lang w:val="en-US"/>
              </w:rPr>
            </w:pPr>
            <w:r>
              <w:rPr>
                <w:noProof/>
                <w:color w:val="000000"/>
                <w:szCs w:val="20"/>
                <w:lang w:val="en-US"/>
              </w:rPr>
              <w:t>(0.0186859)</w:t>
            </w:r>
          </w:p>
        </w:tc>
      </w:tr>
      <w:tr w:rsidR="002430DD">
        <w:trPr>
          <w:trHeight w:val="300"/>
        </w:trPr>
        <w:tc>
          <w:tcPr>
            <w:tcW w:w="3830" w:type="pct"/>
            <w:tcBorders>
              <w:top w:val="nil"/>
              <w:left w:val="nil"/>
              <w:bottom w:val="nil"/>
              <w:right w:val="nil"/>
            </w:tcBorders>
            <w:shd w:val="clear" w:color="auto" w:fill="auto"/>
            <w:noWrap/>
            <w:hideMark/>
          </w:tcPr>
          <w:p w:rsidR="002430DD" w:rsidRDefault="0008761B">
            <w:pPr>
              <w:spacing w:after="0"/>
              <w:contextualSpacing/>
              <w:rPr>
                <w:noProof/>
                <w:color w:val="000000"/>
                <w:szCs w:val="20"/>
                <w:lang w:val="en-US"/>
              </w:rPr>
            </w:pPr>
            <w:r>
              <w:rPr>
                <w:noProof/>
                <w:color w:val="000000"/>
                <w:szCs w:val="20"/>
                <w:lang w:val="en-US"/>
              </w:rPr>
              <w:t>Remedies - Medium sanctions</w:t>
            </w:r>
          </w:p>
        </w:tc>
        <w:tc>
          <w:tcPr>
            <w:tcW w:w="1170" w:type="pct"/>
            <w:tcBorders>
              <w:top w:val="nil"/>
              <w:left w:val="nil"/>
              <w:bottom w:val="nil"/>
              <w:right w:val="nil"/>
            </w:tcBorders>
            <w:shd w:val="clear" w:color="auto" w:fill="auto"/>
            <w:noWrap/>
            <w:vAlign w:val="bottom"/>
            <w:hideMark/>
          </w:tcPr>
          <w:p w:rsidR="002430DD" w:rsidRDefault="0008761B">
            <w:pPr>
              <w:contextualSpacing/>
              <w:jc w:val="center"/>
              <w:rPr>
                <w:noProof/>
                <w:color w:val="000000"/>
                <w:szCs w:val="20"/>
                <w:lang w:val="en-US"/>
              </w:rPr>
            </w:pPr>
            <w:r>
              <w:rPr>
                <w:noProof/>
                <w:color w:val="000000"/>
                <w:szCs w:val="20"/>
                <w:lang w:val="en-US"/>
              </w:rPr>
              <w:t>-9.29867***</w:t>
            </w:r>
          </w:p>
        </w:tc>
      </w:tr>
      <w:tr w:rsidR="002430DD">
        <w:trPr>
          <w:trHeight w:val="300"/>
        </w:trPr>
        <w:tc>
          <w:tcPr>
            <w:tcW w:w="3830" w:type="pct"/>
            <w:tcBorders>
              <w:top w:val="nil"/>
              <w:left w:val="nil"/>
              <w:bottom w:val="nil"/>
              <w:right w:val="nil"/>
            </w:tcBorders>
            <w:shd w:val="clear" w:color="auto" w:fill="auto"/>
            <w:noWrap/>
            <w:hideMark/>
          </w:tcPr>
          <w:p w:rsidR="002430DD" w:rsidRDefault="002430DD">
            <w:pPr>
              <w:spacing w:after="0"/>
              <w:contextualSpacing/>
              <w:rPr>
                <w:noProof/>
                <w:color w:val="000000"/>
                <w:szCs w:val="20"/>
                <w:lang w:val="en-US"/>
              </w:rPr>
            </w:pPr>
          </w:p>
        </w:tc>
        <w:tc>
          <w:tcPr>
            <w:tcW w:w="1170" w:type="pct"/>
            <w:tcBorders>
              <w:top w:val="nil"/>
              <w:left w:val="nil"/>
              <w:bottom w:val="nil"/>
              <w:right w:val="nil"/>
            </w:tcBorders>
            <w:shd w:val="clear" w:color="auto" w:fill="auto"/>
            <w:noWrap/>
            <w:vAlign w:val="bottom"/>
            <w:hideMark/>
          </w:tcPr>
          <w:p w:rsidR="002430DD" w:rsidRDefault="0008761B">
            <w:pPr>
              <w:contextualSpacing/>
              <w:jc w:val="center"/>
              <w:rPr>
                <w:noProof/>
                <w:color w:val="000000"/>
                <w:szCs w:val="20"/>
                <w:lang w:val="en-US"/>
              </w:rPr>
            </w:pPr>
            <w:r>
              <w:rPr>
                <w:noProof/>
                <w:color w:val="000000"/>
                <w:szCs w:val="20"/>
                <w:lang w:val="en-US"/>
              </w:rPr>
              <w:t>(0.0180855)</w:t>
            </w:r>
          </w:p>
        </w:tc>
      </w:tr>
      <w:tr w:rsidR="002430DD">
        <w:trPr>
          <w:trHeight w:val="300"/>
        </w:trPr>
        <w:tc>
          <w:tcPr>
            <w:tcW w:w="3830" w:type="pct"/>
            <w:tcBorders>
              <w:top w:val="nil"/>
              <w:left w:val="nil"/>
              <w:right w:val="nil"/>
            </w:tcBorders>
            <w:shd w:val="clear" w:color="auto" w:fill="auto"/>
            <w:noWrap/>
            <w:hideMark/>
          </w:tcPr>
          <w:p w:rsidR="002430DD" w:rsidRDefault="0008761B">
            <w:pPr>
              <w:spacing w:after="0"/>
              <w:contextualSpacing/>
              <w:rPr>
                <w:noProof/>
                <w:color w:val="000000"/>
                <w:szCs w:val="20"/>
                <w:lang w:val="en-US"/>
              </w:rPr>
            </w:pPr>
            <w:r>
              <w:rPr>
                <w:noProof/>
                <w:color w:val="000000"/>
                <w:szCs w:val="20"/>
                <w:lang w:val="en-US"/>
              </w:rPr>
              <w:t>Remedies - High sanctions</w:t>
            </w:r>
          </w:p>
        </w:tc>
        <w:tc>
          <w:tcPr>
            <w:tcW w:w="1170" w:type="pct"/>
            <w:tcBorders>
              <w:top w:val="nil"/>
              <w:left w:val="nil"/>
              <w:right w:val="nil"/>
            </w:tcBorders>
            <w:shd w:val="clear" w:color="auto" w:fill="auto"/>
            <w:noWrap/>
            <w:vAlign w:val="bottom"/>
            <w:hideMark/>
          </w:tcPr>
          <w:p w:rsidR="002430DD" w:rsidRDefault="0008761B">
            <w:pPr>
              <w:contextualSpacing/>
              <w:jc w:val="center"/>
              <w:rPr>
                <w:noProof/>
                <w:color w:val="000000"/>
                <w:szCs w:val="20"/>
                <w:lang w:val="en-US"/>
              </w:rPr>
            </w:pPr>
            <w:r>
              <w:rPr>
                <w:noProof/>
                <w:color w:val="000000"/>
                <w:szCs w:val="20"/>
                <w:lang w:val="en-US"/>
              </w:rPr>
              <w:t>-29.35719***</w:t>
            </w:r>
          </w:p>
        </w:tc>
      </w:tr>
      <w:tr w:rsidR="002430DD">
        <w:trPr>
          <w:trHeight w:val="74"/>
        </w:trPr>
        <w:tc>
          <w:tcPr>
            <w:tcW w:w="3830" w:type="pct"/>
            <w:tcBorders>
              <w:top w:val="nil"/>
              <w:left w:val="nil"/>
              <w:bottom w:val="single" w:sz="4" w:space="0" w:color="auto"/>
              <w:right w:val="nil"/>
            </w:tcBorders>
            <w:shd w:val="clear" w:color="auto" w:fill="auto"/>
            <w:noWrap/>
            <w:vAlign w:val="center"/>
            <w:hideMark/>
          </w:tcPr>
          <w:p w:rsidR="002430DD" w:rsidRDefault="002430DD">
            <w:pPr>
              <w:spacing w:after="0"/>
              <w:contextualSpacing/>
              <w:jc w:val="center"/>
              <w:rPr>
                <w:noProof/>
                <w:color w:val="000000"/>
                <w:szCs w:val="20"/>
                <w:lang w:val="en-US"/>
              </w:rPr>
            </w:pPr>
          </w:p>
        </w:tc>
        <w:tc>
          <w:tcPr>
            <w:tcW w:w="1170" w:type="pct"/>
            <w:tcBorders>
              <w:top w:val="nil"/>
              <w:left w:val="nil"/>
              <w:bottom w:val="single" w:sz="4" w:space="0" w:color="auto"/>
              <w:right w:val="nil"/>
            </w:tcBorders>
            <w:shd w:val="clear" w:color="auto" w:fill="auto"/>
            <w:noWrap/>
            <w:vAlign w:val="bottom"/>
            <w:hideMark/>
          </w:tcPr>
          <w:p w:rsidR="002430DD" w:rsidRDefault="0008761B">
            <w:pPr>
              <w:contextualSpacing/>
              <w:jc w:val="center"/>
              <w:rPr>
                <w:noProof/>
                <w:color w:val="000000"/>
                <w:szCs w:val="20"/>
                <w:lang w:val="en-US"/>
              </w:rPr>
            </w:pPr>
            <w:r>
              <w:rPr>
                <w:noProof/>
                <w:color w:val="000000"/>
                <w:szCs w:val="20"/>
                <w:lang w:val="en-US"/>
              </w:rPr>
              <w:t>(0.0279084)</w:t>
            </w:r>
          </w:p>
        </w:tc>
      </w:tr>
    </w:tbl>
    <w:p w:rsidR="002430DD" w:rsidRDefault="0008761B">
      <w:pPr>
        <w:spacing w:after="0"/>
        <w:rPr>
          <w:rFonts w:cstheme="minorBidi"/>
          <w:noProof/>
          <w:sz w:val="18"/>
          <w:szCs w:val="18"/>
        </w:rPr>
      </w:pPr>
      <w:r>
        <w:rPr>
          <w:rFonts w:cstheme="minorBidi"/>
          <w:b/>
          <w:noProof/>
          <w:sz w:val="18"/>
          <w:szCs w:val="18"/>
        </w:rPr>
        <w:t>Source:</w:t>
      </w:r>
      <w:r>
        <w:rPr>
          <w:rFonts w:cstheme="minorBidi"/>
          <w:noProof/>
          <w:sz w:val="18"/>
          <w:szCs w:val="18"/>
        </w:rPr>
        <w:t xml:space="preserve"> own calculations- LPM regression, robust standard errors in parenthesis. </w:t>
      </w:r>
    </w:p>
    <w:p w:rsidR="002430DD" w:rsidRDefault="0008761B">
      <w:pPr>
        <w:spacing w:after="0"/>
        <w:rPr>
          <w:rFonts w:cstheme="minorBidi"/>
          <w:noProof/>
          <w:sz w:val="18"/>
          <w:szCs w:val="18"/>
        </w:rPr>
      </w:pPr>
      <w:r>
        <w:rPr>
          <w:rFonts w:cstheme="minorBidi"/>
          <w:noProof/>
          <w:sz w:val="18"/>
          <w:szCs w:val="18"/>
        </w:rPr>
        <w:t>*** p&lt;0.01, ** p&lt;0.05, * p&lt;0.1</w:t>
      </w:r>
    </w:p>
    <w:p w:rsidR="002430DD" w:rsidRDefault="002430DD">
      <w:pPr>
        <w:spacing w:after="200"/>
        <w:rPr>
          <w:rFonts w:cstheme="minorBidi"/>
          <w:noProof/>
          <w:szCs w:val="20"/>
        </w:rPr>
      </w:pPr>
    </w:p>
    <w:p w:rsidR="002430DD" w:rsidRDefault="002430DD">
      <w:pPr>
        <w:spacing w:after="200"/>
        <w:rPr>
          <w:rFonts w:cstheme="minorBidi"/>
          <w:noProof/>
          <w:szCs w:val="20"/>
        </w:rPr>
      </w:pPr>
    </w:p>
    <w:p w:rsidR="002430DD" w:rsidRDefault="002430DD">
      <w:pPr>
        <w:spacing w:after="200"/>
        <w:rPr>
          <w:rFonts w:cstheme="minorBidi"/>
          <w:noProof/>
          <w:szCs w:val="20"/>
        </w:rPr>
      </w:pPr>
    </w:p>
    <w:p w:rsidR="002430DD" w:rsidRDefault="002430DD">
      <w:pPr>
        <w:spacing w:after="200"/>
        <w:rPr>
          <w:rFonts w:cstheme="minorBidi"/>
          <w:noProof/>
          <w:szCs w:val="20"/>
        </w:rPr>
      </w:pPr>
    </w:p>
    <w:p w:rsidR="002430DD" w:rsidRDefault="002430DD">
      <w:pPr>
        <w:spacing w:after="200"/>
        <w:rPr>
          <w:rFonts w:cstheme="minorBidi"/>
          <w:noProof/>
          <w:szCs w:val="20"/>
        </w:rPr>
      </w:pPr>
    </w:p>
    <w:p w:rsidR="002430DD" w:rsidRDefault="002430DD">
      <w:pPr>
        <w:spacing w:after="200"/>
        <w:rPr>
          <w:rFonts w:cstheme="minorBidi"/>
          <w:noProof/>
          <w:szCs w:val="20"/>
        </w:rPr>
      </w:pPr>
    </w:p>
    <w:p w:rsidR="002430DD" w:rsidRDefault="002430DD">
      <w:pPr>
        <w:spacing w:after="200"/>
        <w:rPr>
          <w:rFonts w:cstheme="minorBidi"/>
          <w:noProof/>
          <w:szCs w:val="20"/>
        </w:rPr>
      </w:pPr>
    </w:p>
    <w:p w:rsidR="002430DD" w:rsidRDefault="002430DD">
      <w:pPr>
        <w:spacing w:after="200"/>
        <w:rPr>
          <w:rFonts w:cstheme="minorBidi"/>
          <w:noProof/>
          <w:szCs w:val="20"/>
        </w:rPr>
      </w:pPr>
    </w:p>
    <w:p w:rsidR="002430DD" w:rsidRDefault="0008761B">
      <w:pPr>
        <w:pStyle w:val="JRCLevel-1title"/>
        <w:ind w:left="432"/>
        <w:rPr>
          <w:noProof/>
        </w:rPr>
      </w:pPr>
      <w:bookmarkStart w:id="734" w:name="_Toc499651257"/>
      <w:bookmarkStart w:id="735" w:name="_Toc506998770"/>
      <w:bookmarkStart w:id="736" w:name="_Toc507075862"/>
      <w:bookmarkStart w:id="737" w:name="_Toc507080606"/>
      <w:bookmarkStart w:id="738" w:name="_Toc507591892"/>
      <w:bookmarkStart w:id="739" w:name="_Toc510018332"/>
      <w:r>
        <w:rPr>
          <w:noProof/>
        </w:rPr>
        <w:t>Further extensions</w:t>
      </w:r>
      <w:bookmarkEnd w:id="734"/>
      <w:bookmarkEnd w:id="735"/>
      <w:bookmarkEnd w:id="736"/>
      <w:bookmarkEnd w:id="737"/>
      <w:bookmarkEnd w:id="738"/>
      <w:bookmarkEnd w:id="739"/>
    </w:p>
    <w:p w:rsidR="002430DD" w:rsidRDefault="002430DD">
      <w:pPr>
        <w:pStyle w:val="JRCText"/>
        <w:rPr>
          <w:noProof/>
        </w:rPr>
      </w:pPr>
    </w:p>
    <w:p w:rsidR="002430DD" w:rsidRDefault="0008761B">
      <w:pPr>
        <w:pStyle w:val="JRCText"/>
        <w:rPr>
          <w:noProof/>
        </w:rPr>
      </w:pPr>
      <w:r>
        <w:rPr>
          <w:noProof/>
        </w:rPr>
        <w:t xml:space="preserve">As already mentioned in the previous sections, the results of the analysis cannot be interpreted as establishing causal </w:t>
      </w:r>
      <w:r>
        <w:rPr>
          <w:noProof/>
        </w:rPr>
        <w:t>relationships.</w:t>
      </w:r>
    </w:p>
    <w:p w:rsidR="002430DD" w:rsidRDefault="0008761B">
      <w:pPr>
        <w:pStyle w:val="JRCText"/>
        <w:rPr>
          <w:noProof/>
        </w:rPr>
      </w:pPr>
      <w:r>
        <w:rPr>
          <w:noProof/>
        </w:rPr>
        <w:t xml:space="preserve">A causal interpretation of the results would only be possible by tackling the endogeneity issues. The latter mainly concerns the fact that remedies may have been implemented in those countries that most needed them. </w:t>
      </w:r>
    </w:p>
    <w:p w:rsidR="002430DD" w:rsidRDefault="0008761B">
      <w:pPr>
        <w:pStyle w:val="JRCText"/>
        <w:rPr>
          <w:noProof/>
        </w:rPr>
      </w:pPr>
      <w:r>
        <w:rPr>
          <w:noProof/>
        </w:rPr>
        <w:t>In this specific problem</w:t>
      </w:r>
      <w:r>
        <w:rPr>
          <w:noProof/>
        </w:rPr>
        <w:t>, setting the endogeneity issue can be addressed in three main ways: panel setting, difference-in-differences strategy and synthetic control approach.</w:t>
      </w:r>
    </w:p>
    <w:p w:rsidR="002430DD" w:rsidRDefault="0008761B">
      <w:pPr>
        <w:pStyle w:val="JRCText"/>
        <w:rPr>
          <w:noProof/>
        </w:rPr>
      </w:pPr>
      <w:r>
        <w:rPr>
          <w:noProof/>
        </w:rPr>
        <w:t xml:space="preserve">The panel framework, exploiting the longitudinal dimension of country level data, allows controlling for country time invariant characteristics by introducing country fixed effects. Even though it could have been possible to collect annual information for </w:t>
      </w:r>
      <w:r>
        <w:rPr>
          <w:noProof/>
        </w:rPr>
        <w:t xml:space="preserve">all the countries, the same would have not been feasible for the dependent variable since it is constructed from a survey whose methodology has changed throughout time. </w:t>
      </w:r>
    </w:p>
    <w:p w:rsidR="002430DD" w:rsidRDefault="0008761B">
      <w:pPr>
        <w:pStyle w:val="JRCText"/>
        <w:rPr>
          <w:noProof/>
          <w:lang w:val="en-US"/>
        </w:rPr>
      </w:pPr>
      <w:r>
        <w:rPr>
          <w:noProof/>
        </w:rPr>
        <w:t>The endogeneity problem can also be tackled exploiting the time dimension of the imple</w:t>
      </w:r>
      <w:r>
        <w:rPr>
          <w:noProof/>
        </w:rPr>
        <w:t>mentation of remedies. In particular, it is possible to compare a pre-existing situation to the one realized after the implementation of remedies, for the countries that implemented remedies and for the countries that did not (differences-in-differences st</w:t>
      </w:r>
      <w:r>
        <w:rPr>
          <w:noProof/>
        </w:rPr>
        <w:t xml:space="preserve">rategy). The implementation of this strategy relies on the common </w:t>
      </w:r>
      <w:r>
        <w:rPr>
          <w:noProof/>
          <w:lang w:val="en-US"/>
        </w:rPr>
        <w:t>pre-intervention</w:t>
      </w:r>
      <w:r>
        <w:rPr>
          <w:noProof/>
        </w:rPr>
        <w:t xml:space="preserve"> trend assumption for </w:t>
      </w:r>
      <w:r>
        <w:rPr>
          <w:noProof/>
          <w:lang w:val="en-US"/>
        </w:rPr>
        <w:t xml:space="preserve">the outcomes of interest (common trend assumption). As a consequence any deviation of the outcome of those implementing remedies from this trend can be </w:t>
      </w:r>
      <w:r>
        <w:rPr>
          <w:noProof/>
          <w:lang w:val="en-US"/>
        </w:rPr>
        <w:t xml:space="preserve">imputed to the intervention itself, and can be interpreted as its net effect. </w:t>
      </w:r>
    </w:p>
    <w:p w:rsidR="002430DD" w:rsidRDefault="0008761B">
      <w:pPr>
        <w:pStyle w:val="JRCText"/>
        <w:rPr>
          <w:noProof/>
        </w:rPr>
      </w:pPr>
      <w:r>
        <w:rPr>
          <w:noProof/>
          <w:lang w:val="en-US"/>
        </w:rPr>
        <w:t>Clearly, researchers would need information on the outcome variable of interest in pre-intervention periods in order to carry out such an analysis.</w:t>
      </w:r>
      <w:r>
        <w:rPr>
          <w:noProof/>
        </w:rPr>
        <w:t xml:space="preserve"> Unfortunately, the survey fro</w:t>
      </w:r>
      <w:r>
        <w:rPr>
          <w:noProof/>
        </w:rPr>
        <w:t>m which data have been taken has changed several times in the last years, and this poses not only comparability concerns regarding both the outcome variables and the individual variables that can be used as control in the regressions, but also it reduces t</w:t>
      </w:r>
      <w:r>
        <w:rPr>
          <w:noProof/>
        </w:rPr>
        <w:t>he time-span for which it is possible to test the common trend assumption.</w:t>
      </w:r>
    </w:p>
    <w:p w:rsidR="002430DD" w:rsidRDefault="0008761B">
      <w:pPr>
        <w:pStyle w:val="JRCText"/>
        <w:rPr>
          <w:noProof/>
        </w:rPr>
      </w:pPr>
      <w:r>
        <w:rPr>
          <w:noProof/>
        </w:rPr>
        <w:t xml:space="preserve">A different approach is the synthetic control method. The idea on which the method is based is to evaluate the impact of a treatment implemented at the country level using a set of </w:t>
      </w:r>
      <w:r>
        <w:rPr>
          <w:noProof/>
        </w:rPr>
        <w:t>countries – the so-called donor pool – to build a synthetic unit similar as much as possible to the treated one. Longitudinal data concerning both the reference country and the donor pool are needed. In particular, information referred to a moment prior to</w:t>
      </w:r>
      <w:r>
        <w:rPr>
          <w:noProof/>
        </w:rPr>
        <w:t xml:space="preserve"> the intervention is used to build the weighted average of control units that best reproduces the characteristics of the treated country over time. The comparison between the treated unit and the synthetic outcome trends after the implementation of the pol</w:t>
      </w:r>
      <w:r>
        <w:rPr>
          <w:noProof/>
        </w:rPr>
        <w:t xml:space="preserve">icy, informs about its net impact. The condition for the method to work is to have sufficient pre- and post-intervention time points for all the countries involved. </w:t>
      </w:r>
    </w:p>
    <w:p w:rsidR="002430DD" w:rsidRDefault="0008761B">
      <w:pPr>
        <w:pStyle w:val="JRCText"/>
        <w:rPr>
          <w:noProof/>
        </w:rPr>
      </w:pPr>
      <w:r>
        <w:rPr>
          <w:noProof/>
        </w:rPr>
        <w:t>In this context the synthetic control method was not feasible. Indeed, most of the countri</w:t>
      </w:r>
      <w:r>
        <w:rPr>
          <w:noProof/>
        </w:rPr>
        <w:t>es decided to adopt remedies for breaches in consumers’ law only in recent years (around 2014), thus there is no long enough post-treatment information to run the analysis. The only country for which the implementation of the synthetic was feasible is Luxe</w:t>
      </w:r>
      <w:r>
        <w:rPr>
          <w:noProof/>
        </w:rPr>
        <w:t xml:space="preserve">mburg, since remedies were adopted in 2011. However, Luxemburg is a relatively small and peculiar country, thus any conclusion that could have been drawn from the analysis would have been hardly applicable to the rest of Europe. </w:t>
      </w:r>
    </w:p>
    <w:p w:rsidR="002430DD" w:rsidRDefault="0008761B">
      <w:pPr>
        <w:pStyle w:val="JRCText"/>
        <w:rPr>
          <w:noProof/>
        </w:rPr>
      </w:pPr>
      <w:r>
        <w:rPr>
          <w:noProof/>
        </w:rPr>
        <w:t>Finally, an instrumental v</w:t>
      </w:r>
      <w:r>
        <w:rPr>
          <w:noProof/>
        </w:rPr>
        <w:t xml:space="preserve">ariable approach could have been implemented. However, the identification of a valid instrument satisfying the exclusion restriction assumption requires long and in-depth analyses. </w:t>
      </w:r>
    </w:p>
    <w:p w:rsidR="002430DD" w:rsidRDefault="002430DD">
      <w:pPr>
        <w:spacing w:after="200"/>
        <w:rPr>
          <w:rFonts w:cstheme="minorBidi"/>
          <w:noProof/>
          <w:szCs w:val="20"/>
        </w:rPr>
      </w:pPr>
    </w:p>
    <w:p w:rsidR="002430DD" w:rsidRDefault="0008761B">
      <w:pPr>
        <w:pStyle w:val="JRCLevel-1Backtitle"/>
        <w:rPr>
          <w:noProof/>
          <w:lang w:val="pt-PT"/>
        </w:rPr>
      </w:pPr>
      <w:bookmarkStart w:id="740" w:name="_Toc499651258"/>
      <w:bookmarkStart w:id="741" w:name="_Toc506998771"/>
      <w:bookmarkStart w:id="742" w:name="_Toc507075863"/>
      <w:bookmarkStart w:id="743" w:name="_Toc507080607"/>
      <w:bookmarkStart w:id="744" w:name="_Toc507591893"/>
      <w:bookmarkStart w:id="745" w:name="_Toc510018333"/>
      <w:r>
        <w:rPr>
          <w:noProof/>
          <w:lang w:val="pt-PT"/>
        </w:rPr>
        <w:t>List of figures</w:t>
      </w:r>
      <w:bookmarkEnd w:id="740"/>
      <w:bookmarkEnd w:id="741"/>
      <w:bookmarkEnd w:id="742"/>
      <w:bookmarkEnd w:id="743"/>
      <w:bookmarkEnd w:id="744"/>
      <w:bookmarkEnd w:id="745"/>
    </w:p>
    <w:p w:rsidR="002430DD" w:rsidRDefault="002430DD">
      <w:pPr>
        <w:pStyle w:val="JRCText"/>
        <w:rPr>
          <w:noProof/>
        </w:rPr>
      </w:pPr>
    </w:p>
    <w:p w:rsidR="002430DD" w:rsidRDefault="0008761B">
      <w:pPr>
        <w:pStyle w:val="TableofFigures"/>
        <w:tabs>
          <w:tab w:val="right" w:leader="dot" w:pos="9062"/>
        </w:tabs>
        <w:rPr>
          <w:rFonts w:asciiTheme="minorHAnsi" w:eastAsiaTheme="minorEastAsia" w:hAnsiTheme="minorHAnsi" w:cstheme="minorBidi"/>
          <w:noProof/>
          <w:sz w:val="22"/>
          <w:lang w:val="it-IT" w:eastAsia="it-IT"/>
        </w:rPr>
      </w:pPr>
      <w:r>
        <w:rPr>
          <w:noProof/>
        </w:rPr>
        <w:fldChar w:fldCharType="begin"/>
      </w:r>
      <w:r>
        <w:rPr>
          <w:noProof/>
        </w:rPr>
        <w:instrText xml:space="preserve"> TOC \h \z \c "Figure" </w:instrText>
      </w:r>
      <w:r>
        <w:rPr>
          <w:noProof/>
        </w:rPr>
        <w:fldChar w:fldCharType="separate"/>
      </w:r>
      <w:hyperlink w:anchor="_Toc499651263" w:history="1">
        <w:r>
          <w:rPr>
            <w:rStyle w:val="Hyperlink"/>
            <w:noProof/>
          </w:rPr>
          <w:t>Figure 1</w:t>
        </w:r>
        <w:r>
          <w:rPr>
            <w:rStyle w:val="Hyperlink"/>
            <w:rFonts w:eastAsiaTheme="minorHAnsi"/>
            <w:noProof/>
          </w:rPr>
          <w:t>. Baseline coefficient of the “remedies” variable at different levels of “Public Monitoring on Consumer Legislation”.</w:t>
        </w:r>
        <w:r>
          <w:rPr>
            <w:noProof/>
            <w:webHidden/>
          </w:rPr>
          <w:tab/>
        </w:r>
        <w:r>
          <w:rPr>
            <w:noProof/>
            <w:webHidden/>
          </w:rPr>
          <w:fldChar w:fldCharType="begin"/>
        </w:r>
        <w:r>
          <w:rPr>
            <w:noProof/>
            <w:webHidden/>
          </w:rPr>
          <w:instrText xml:space="preserve"> PAGEREF _Toc499651263 \h </w:instrText>
        </w:r>
        <w:r>
          <w:rPr>
            <w:noProof/>
            <w:webHidden/>
          </w:rPr>
        </w:r>
        <w:r>
          <w:rPr>
            <w:noProof/>
            <w:webHidden/>
          </w:rPr>
          <w:fldChar w:fldCharType="separate"/>
        </w:r>
        <w:r>
          <w:rPr>
            <w:noProof/>
            <w:webHidden/>
          </w:rPr>
          <w:t>9</w:t>
        </w:r>
        <w:r>
          <w:rPr>
            <w:noProof/>
            <w:webHidden/>
          </w:rPr>
          <w:fldChar w:fldCharType="end"/>
        </w:r>
      </w:hyperlink>
    </w:p>
    <w:p w:rsidR="002430DD" w:rsidRDefault="0008761B">
      <w:pPr>
        <w:pStyle w:val="TableofFigures"/>
        <w:tabs>
          <w:tab w:val="right" w:leader="dot" w:pos="9062"/>
        </w:tabs>
        <w:rPr>
          <w:rFonts w:asciiTheme="minorHAnsi" w:eastAsiaTheme="minorEastAsia" w:hAnsiTheme="minorHAnsi" w:cstheme="minorBidi"/>
          <w:noProof/>
          <w:sz w:val="22"/>
          <w:lang w:val="it-IT" w:eastAsia="it-IT"/>
        </w:rPr>
      </w:pPr>
      <w:hyperlink w:anchor="_Toc499651264" w:history="1">
        <w:r>
          <w:rPr>
            <w:rStyle w:val="Hyperlink"/>
            <w:noProof/>
          </w:rPr>
          <w:t>Fi</w:t>
        </w:r>
        <w:r>
          <w:rPr>
            <w:rStyle w:val="Hyperlink"/>
            <w:noProof/>
          </w:rPr>
          <w:t xml:space="preserve">gure 2. </w:t>
        </w:r>
        <w:r>
          <w:rPr>
            <w:rStyle w:val="Hyperlink"/>
            <w:rFonts w:eastAsiaTheme="minorHAnsi"/>
            <w:noProof/>
          </w:rPr>
          <w:t>Baseline coefficient of the “remedies” variable at different levels of “Public Monitoring on Consumer Legislation”.</w:t>
        </w:r>
        <w:r>
          <w:rPr>
            <w:noProof/>
            <w:webHidden/>
          </w:rPr>
          <w:tab/>
        </w:r>
        <w:r>
          <w:rPr>
            <w:noProof/>
            <w:webHidden/>
          </w:rPr>
          <w:fldChar w:fldCharType="begin"/>
        </w:r>
        <w:r>
          <w:rPr>
            <w:noProof/>
            <w:webHidden/>
          </w:rPr>
          <w:instrText xml:space="preserve"> PAGEREF _Toc499651264 \h </w:instrText>
        </w:r>
        <w:r>
          <w:rPr>
            <w:noProof/>
            <w:webHidden/>
          </w:rPr>
        </w:r>
        <w:r>
          <w:rPr>
            <w:noProof/>
            <w:webHidden/>
          </w:rPr>
          <w:fldChar w:fldCharType="separate"/>
        </w:r>
        <w:r>
          <w:rPr>
            <w:noProof/>
            <w:webHidden/>
          </w:rPr>
          <w:t>10</w:t>
        </w:r>
        <w:r>
          <w:rPr>
            <w:noProof/>
            <w:webHidden/>
          </w:rPr>
          <w:fldChar w:fldCharType="end"/>
        </w:r>
      </w:hyperlink>
    </w:p>
    <w:p w:rsidR="002430DD" w:rsidRDefault="0008761B">
      <w:pPr>
        <w:pStyle w:val="JRCText"/>
        <w:rPr>
          <w:noProof/>
        </w:rPr>
      </w:pPr>
      <w:r>
        <w:rPr>
          <w:noProof/>
        </w:rPr>
        <w:fldChar w:fldCharType="end"/>
      </w:r>
    </w:p>
    <w:p w:rsidR="002430DD" w:rsidRDefault="0008761B">
      <w:pPr>
        <w:pStyle w:val="JRCLevel-1Backtitle"/>
        <w:rPr>
          <w:noProof/>
          <w:lang w:val="pt-PT"/>
        </w:rPr>
      </w:pPr>
      <w:bookmarkStart w:id="746" w:name="_Toc499651259"/>
      <w:bookmarkStart w:id="747" w:name="_Toc506998772"/>
      <w:bookmarkStart w:id="748" w:name="_Toc507075864"/>
      <w:bookmarkStart w:id="749" w:name="_Toc507080608"/>
      <w:bookmarkStart w:id="750" w:name="_Toc507591894"/>
      <w:bookmarkStart w:id="751" w:name="_Toc510018334"/>
      <w:r>
        <w:rPr>
          <w:noProof/>
          <w:lang w:val="pt-PT"/>
        </w:rPr>
        <w:t>List of tables</w:t>
      </w:r>
      <w:bookmarkEnd w:id="746"/>
      <w:bookmarkEnd w:id="747"/>
      <w:bookmarkEnd w:id="748"/>
      <w:bookmarkEnd w:id="749"/>
      <w:bookmarkEnd w:id="750"/>
      <w:bookmarkEnd w:id="751"/>
    </w:p>
    <w:p w:rsidR="002430DD" w:rsidRDefault="002430DD">
      <w:pPr>
        <w:pStyle w:val="JRCText"/>
        <w:rPr>
          <w:noProof/>
        </w:rPr>
      </w:pPr>
    </w:p>
    <w:p w:rsidR="002430DD" w:rsidRDefault="0008761B">
      <w:pPr>
        <w:pStyle w:val="TableofFigures"/>
        <w:tabs>
          <w:tab w:val="right" w:leader="dot" w:pos="9062"/>
        </w:tabs>
        <w:rPr>
          <w:rFonts w:asciiTheme="minorHAnsi" w:eastAsiaTheme="minorEastAsia" w:hAnsiTheme="minorHAnsi" w:cstheme="minorBidi"/>
          <w:noProof/>
          <w:sz w:val="22"/>
          <w:lang w:val="en-US"/>
        </w:rPr>
      </w:pPr>
      <w:r>
        <w:rPr>
          <w:noProof/>
        </w:rPr>
        <w:fldChar w:fldCharType="begin"/>
      </w:r>
      <w:r>
        <w:rPr>
          <w:noProof/>
        </w:rPr>
        <w:instrText xml:space="preserve"> TOC \h \z \c "Table" </w:instrText>
      </w:r>
      <w:r>
        <w:rPr>
          <w:noProof/>
        </w:rPr>
        <w:fldChar w:fldCharType="separate"/>
      </w:r>
      <w:hyperlink w:anchor="_Toc500231465" w:history="1">
        <w:r>
          <w:rPr>
            <w:rStyle w:val="Hyperlink"/>
            <w:noProof/>
          </w:rPr>
          <w:t>Table 1.</w:t>
        </w:r>
        <w:r>
          <w:rPr>
            <w:rStyle w:val="Hyperlink"/>
            <w:noProof/>
            <w:lang w:val="en-US"/>
          </w:rPr>
          <w:t xml:space="preserve"> </w:t>
        </w:r>
        <w:r>
          <w:rPr>
            <w:rStyle w:val="Hyperlink"/>
            <w:rFonts w:eastAsiaTheme="minorHAnsi"/>
            <w:noProof/>
          </w:rPr>
          <w:t>Baseline coefficient of the “remedies” variable on the likelihood of experiencing at least one UCP in the domestic country. Percentage value.</w:t>
        </w:r>
        <w:r>
          <w:rPr>
            <w:noProof/>
            <w:webHidden/>
          </w:rPr>
          <w:tab/>
        </w:r>
        <w:r>
          <w:rPr>
            <w:noProof/>
            <w:webHidden/>
          </w:rPr>
          <w:fldChar w:fldCharType="begin"/>
        </w:r>
        <w:r>
          <w:rPr>
            <w:noProof/>
            <w:webHidden/>
          </w:rPr>
          <w:instrText xml:space="preserve"> PAGEREF _Toc500231465 \h </w:instrText>
        </w:r>
        <w:r>
          <w:rPr>
            <w:noProof/>
            <w:webHidden/>
          </w:rPr>
        </w:r>
        <w:r>
          <w:rPr>
            <w:noProof/>
            <w:webHidden/>
          </w:rPr>
          <w:fldChar w:fldCharType="separate"/>
        </w:r>
        <w:r>
          <w:rPr>
            <w:noProof/>
            <w:webHidden/>
          </w:rPr>
          <w:t>8</w:t>
        </w:r>
        <w:r>
          <w:rPr>
            <w:noProof/>
            <w:webHidden/>
          </w:rPr>
          <w:fldChar w:fldCharType="end"/>
        </w:r>
      </w:hyperlink>
    </w:p>
    <w:p w:rsidR="002430DD" w:rsidRDefault="0008761B">
      <w:pPr>
        <w:pStyle w:val="TableofFigures"/>
        <w:tabs>
          <w:tab w:val="right" w:leader="dot" w:pos="9062"/>
        </w:tabs>
        <w:rPr>
          <w:rFonts w:asciiTheme="minorHAnsi" w:eastAsiaTheme="minorEastAsia" w:hAnsiTheme="minorHAnsi" w:cstheme="minorBidi"/>
          <w:noProof/>
          <w:sz w:val="22"/>
          <w:lang w:val="en-US"/>
        </w:rPr>
      </w:pPr>
      <w:hyperlink w:anchor="_Toc500231466" w:history="1">
        <w:r>
          <w:rPr>
            <w:rStyle w:val="Hyperlink"/>
            <w:noProof/>
          </w:rPr>
          <w:t xml:space="preserve">Table 2. </w:t>
        </w:r>
        <w:r>
          <w:rPr>
            <w:rStyle w:val="Hyperlink"/>
            <w:rFonts w:eastAsiaTheme="minorHAnsi"/>
            <w:noProof/>
          </w:rPr>
          <w:t>Baseline coefficient of the “remedies” variable at different levels (minimum, median, maximum) of “Public Monitoring on Consumer Legislation”. Percentage values.</w:t>
        </w:r>
        <w:r>
          <w:rPr>
            <w:noProof/>
            <w:webHidden/>
          </w:rPr>
          <w:tab/>
        </w:r>
        <w:r>
          <w:rPr>
            <w:noProof/>
            <w:webHidden/>
          </w:rPr>
          <w:fldChar w:fldCharType="begin"/>
        </w:r>
        <w:r>
          <w:rPr>
            <w:noProof/>
            <w:webHidden/>
          </w:rPr>
          <w:instrText xml:space="preserve"> PAGERE</w:instrText>
        </w:r>
        <w:r>
          <w:rPr>
            <w:noProof/>
            <w:webHidden/>
          </w:rPr>
          <w:instrText xml:space="preserve">F _Toc500231466 \h </w:instrText>
        </w:r>
        <w:r>
          <w:rPr>
            <w:noProof/>
            <w:webHidden/>
          </w:rPr>
        </w:r>
        <w:r>
          <w:rPr>
            <w:noProof/>
            <w:webHidden/>
          </w:rPr>
          <w:fldChar w:fldCharType="separate"/>
        </w:r>
        <w:r>
          <w:rPr>
            <w:noProof/>
            <w:webHidden/>
          </w:rPr>
          <w:t>8</w:t>
        </w:r>
        <w:r>
          <w:rPr>
            <w:noProof/>
            <w:webHidden/>
          </w:rPr>
          <w:fldChar w:fldCharType="end"/>
        </w:r>
      </w:hyperlink>
    </w:p>
    <w:p w:rsidR="002430DD" w:rsidRDefault="0008761B">
      <w:pPr>
        <w:pStyle w:val="TableofFigures"/>
        <w:tabs>
          <w:tab w:val="right" w:leader="dot" w:pos="9062"/>
        </w:tabs>
        <w:rPr>
          <w:rFonts w:asciiTheme="minorHAnsi" w:eastAsiaTheme="minorEastAsia" w:hAnsiTheme="minorHAnsi" w:cstheme="minorBidi"/>
          <w:noProof/>
          <w:sz w:val="22"/>
          <w:lang w:val="en-US"/>
        </w:rPr>
      </w:pPr>
      <w:hyperlink w:anchor="_Toc500231467" w:history="1">
        <w:r>
          <w:rPr>
            <w:rStyle w:val="Hyperlink"/>
            <w:noProof/>
          </w:rPr>
          <w:t xml:space="preserve">Table 3. </w:t>
        </w:r>
        <w:r>
          <w:rPr>
            <w:rStyle w:val="Hyperlink"/>
            <w:rFonts w:eastAsiaTheme="minorHAnsi"/>
            <w:noProof/>
          </w:rPr>
          <w:t>Baseline coefficient of the “remedies” variable on the likelihood of experiencing a problem while shopping in the domestic co</w:t>
        </w:r>
        <w:r>
          <w:rPr>
            <w:rStyle w:val="Hyperlink"/>
            <w:rFonts w:eastAsiaTheme="minorHAnsi"/>
            <w:noProof/>
          </w:rPr>
          <w:t>untry. Percentage value; standard errors in parenthesis</w:t>
        </w:r>
        <w:r>
          <w:rPr>
            <w:noProof/>
            <w:webHidden/>
          </w:rPr>
          <w:tab/>
        </w:r>
        <w:r>
          <w:rPr>
            <w:noProof/>
            <w:webHidden/>
          </w:rPr>
          <w:fldChar w:fldCharType="begin"/>
        </w:r>
        <w:r>
          <w:rPr>
            <w:noProof/>
            <w:webHidden/>
          </w:rPr>
          <w:instrText xml:space="preserve"> PAGEREF _Toc500231467 \h </w:instrText>
        </w:r>
        <w:r>
          <w:rPr>
            <w:noProof/>
            <w:webHidden/>
          </w:rPr>
        </w:r>
        <w:r>
          <w:rPr>
            <w:noProof/>
            <w:webHidden/>
          </w:rPr>
          <w:fldChar w:fldCharType="separate"/>
        </w:r>
        <w:r>
          <w:rPr>
            <w:noProof/>
            <w:webHidden/>
          </w:rPr>
          <w:t>9</w:t>
        </w:r>
        <w:r>
          <w:rPr>
            <w:noProof/>
            <w:webHidden/>
          </w:rPr>
          <w:fldChar w:fldCharType="end"/>
        </w:r>
      </w:hyperlink>
    </w:p>
    <w:p w:rsidR="002430DD" w:rsidRDefault="0008761B">
      <w:pPr>
        <w:pStyle w:val="TableofFigures"/>
        <w:tabs>
          <w:tab w:val="right" w:leader="dot" w:pos="9062"/>
        </w:tabs>
        <w:rPr>
          <w:rFonts w:asciiTheme="minorHAnsi" w:eastAsiaTheme="minorEastAsia" w:hAnsiTheme="minorHAnsi" w:cstheme="minorBidi"/>
          <w:noProof/>
          <w:sz w:val="22"/>
          <w:lang w:val="en-US"/>
        </w:rPr>
      </w:pPr>
      <w:hyperlink w:anchor="_Toc500231468" w:history="1">
        <w:r>
          <w:rPr>
            <w:rStyle w:val="Hyperlink"/>
            <w:noProof/>
          </w:rPr>
          <w:t xml:space="preserve">Table 4. </w:t>
        </w:r>
        <w:r>
          <w:rPr>
            <w:rStyle w:val="Hyperlink"/>
            <w:rFonts w:eastAsiaTheme="minorHAnsi"/>
            <w:noProof/>
          </w:rPr>
          <w:t>Baseline coefficient of the “remedies” variable on the likeliho</w:t>
        </w:r>
        <w:r>
          <w:rPr>
            <w:rStyle w:val="Hyperlink"/>
            <w:rFonts w:eastAsiaTheme="minorHAnsi"/>
            <w:noProof/>
          </w:rPr>
          <w:t>od of experiencing a problem while shopping in the domestic country, at different values of “Public Monitoring on Consumer Legislation”. Percentage values.</w:t>
        </w:r>
        <w:r>
          <w:rPr>
            <w:noProof/>
            <w:webHidden/>
          </w:rPr>
          <w:tab/>
        </w:r>
        <w:r>
          <w:rPr>
            <w:noProof/>
            <w:webHidden/>
          </w:rPr>
          <w:fldChar w:fldCharType="begin"/>
        </w:r>
        <w:r>
          <w:rPr>
            <w:noProof/>
            <w:webHidden/>
          </w:rPr>
          <w:instrText xml:space="preserve"> PAGEREF _Toc500231468 \h </w:instrText>
        </w:r>
        <w:r>
          <w:rPr>
            <w:noProof/>
            <w:webHidden/>
          </w:rPr>
        </w:r>
        <w:r>
          <w:rPr>
            <w:noProof/>
            <w:webHidden/>
          </w:rPr>
          <w:fldChar w:fldCharType="separate"/>
        </w:r>
        <w:r>
          <w:rPr>
            <w:noProof/>
            <w:webHidden/>
          </w:rPr>
          <w:t>9</w:t>
        </w:r>
        <w:r>
          <w:rPr>
            <w:noProof/>
            <w:webHidden/>
          </w:rPr>
          <w:fldChar w:fldCharType="end"/>
        </w:r>
      </w:hyperlink>
    </w:p>
    <w:p w:rsidR="002430DD" w:rsidRDefault="0008761B">
      <w:pPr>
        <w:pStyle w:val="TableofFigures"/>
        <w:tabs>
          <w:tab w:val="right" w:leader="dot" w:pos="9062"/>
        </w:tabs>
        <w:rPr>
          <w:rFonts w:asciiTheme="minorHAnsi" w:eastAsiaTheme="minorEastAsia" w:hAnsiTheme="minorHAnsi" w:cstheme="minorBidi"/>
          <w:noProof/>
          <w:sz w:val="22"/>
          <w:lang w:val="en-US"/>
        </w:rPr>
      </w:pPr>
      <w:hyperlink w:anchor="_Toc500231469" w:history="1">
        <w:r>
          <w:rPr>
            <w:rStyle w:val="Hyperlink"/>
            <w:noProof/>
          </w:rPr>
          <w:t>Table 5. Baseline coefficient of the “remedies” variable for each sanction category. Percentage values.</w:t>
        </w:r>
        <w:r>
          <w:rPr>
            <w:noProof/>
            <w:webHidden/>
          </w:rPr>
          <w:tab/>
        </w:r>
        <w:r>
          <w:rPr>
            <w:noProof/>
            <w:webHidden/>
          </w:rPr>
          <w:fldChar w:fldCharType="begin"/>
        </w:r>
        <w:r>
          <w:rPr>
            <w:noProof/>
            <w:webHidden/>
          </w:rPr>
          <w:instrText xml:space="preserve"> PAGEREF _Toc500231469 \h </w:instrText>
        </w:r>
        <w:r>
          <w:rPr>
            <w:noProof/>
            <w:webHidden/>
          </w:rPr>
        </w:r>
        <w:r>
          <w:rPr>
            <w:noProof/>
            <w:webHidden/>
          </w:rPr>
          <w:fldChar w:fldCharType="separate"/>
        </w:r>
        <w:r>
          <w:rPr>
            <w:noProof/>
            <w:webHidden/>
          </w:rPr>
          <w:t>10</w:t>
        </w:r>
        <w:r>
          <w:rPr>
            <w:noProof/>
            <w:webHidden/>
          </w:rPr>
          <w:fldChar w:fldCharType="end"/>
        </w:r>
      </w:hyperlink>
    </w:p>
    <w:p w:rsidR="002430DD" w:rsidRDefault="0008761B">
      <w:pPr>
        <w:pStyle w:val="JRCText"/>
        <w:rPr>
          <w:noProof/>
        </w:rPr>
      </w:pPr>
      <w:r>
        <w:rPr>
          <w:noProof/>
        </w:rPr>
        <w:fldChar w:fldCharType="end"/>
      </w:r>
    </w:p>
    <w:p w:rsidR="002430DD" w:rsidRDefault="002430DD">
      <w:pPr>
        <w:pStyle w:val="JRCText"/>
        <w:rPr>
          <w:noProof/>
        </w:rPr>
      </w:pPr>
    </w:p>
    <w:p w:rsidR="002430DD" w:rsidRDefault="002430DD">
      <w:pPr>
        <w:pStyle w:val="JRCText"/>
        <w:rPr>
          <w:noProof/>
        </w:rPr>
      </w:pPr>
    </w:p>
    <w:p w:rsidR="002430DD" w:rsidRDefault="002430DD">
      <w:pPr>
        <w:pStyle w:val="JRCText"/>
        <w:rPr>
          <w:noProof/>
        </w:rPr>
      </w:pPr>
    </w:p>
    <w:p w:rsidR="002430DD" w:rsidRDefault="002430DD">
      <w:pPr>
        <w:pStyle w:val="JRCText"/>
        <w:rPr>
          <w:noProof/>
        </w:rPr>
      </w:pPr>
    </w:p>
    <w:p w:rsidR="002430DD" w:rsidRDefault="002430DD">
      <w:pPr>
        <w:pStyle w:val="JRCText"/>
        <w:rPr>
          <w:noProof/>
        </w:rPr>
      </w:pPr>
    </w:p>
    <w:p w:rsidR="002430DD" w:rsidRDefault="002430DD">
      <w:pPr>
        <w:pStyle w:val="JRCText"/>
        <w:rPr>
          <w:noProof/>
        </w:rPr>
      </w:pPr>
    </w:p>
    <w:p w:rsidR="002430DD" w:rsidRDefault="002430DD">
      <w:pPr>
        <w:pStyle w:val="JRCText"/>
        <w:rPr>
          <w:noProof/>
        </w:rPr>
      </w:pPr>
    </w:p>
    <w:p w:rsidR="002430DD" w:rsidRDefault="002430DD">
      <w:pPr>
        <w:pStyle w:val="JRCText"/>
        <w:rPr>
          <w:noProof/>
        </w:rPr>
      </w:pPr>
    </w:p>
    <w:p w:rsidR="002430DD" w:rsidRDefault="002430DD">
      <w:pPr>
        <w:pStyle w:val="JRCText"/>
        <w:rPr>
          <w:noProof/>
        </w:rPr>
      </w:pPr>
    </w:p>
    <w:p w:rsidR="002430DD" w:rsidRDefault="002430DD">
      <w:pPr>
        <w:pStyle w:val="JRCText"/>
        <w:rPr>
          <w:noProof/>
        </w:rPr>
      </w:pPr>
    </w:p>
    <w:p w:rsidR="002430DD" w:rsidRDefault="002430DD">
      <w:pPr>
        <w:pStyle w:val="JRCText"/>
        <w:rPr>
          <w:noProof/>
        </w:rPr>
      </w:pPr>
    </w:p>
    <w:p w:rsidR="002430DD" w:rsidRDefault="002430DD">
      <w:pPr>
        <w:pStyle w:val="JRCText"/>
        <w:rPr>
          <w:noProof/>
        </w:rPr>
      </w:pPr>
    </w:p>
    <w:p w:rsidR="002430DD" w:rsidRDefault="002430DD">
      <w:pPr>
        <w:pStyle w:val="JRCText"/>
        <w:rPr>
          <w:noProof/>
        </w:rPr>
      </w:pPr>
    </w:p>
    <w:p w:rsidR="002430DD" w:rsidRDefault="002430DD">
      <w:pPr>
        <w:pStyle w:val="JRCText"/>
        <w:rPr>
          <w:noProof/>
        </w:rPr>
      </w:pPr>
    </w:p>
    <w:p w:rsidR="002430DD" w:rsidRDefault="002430DD">
      <w:pPr>
        <w:pStyle w:val="JRCText"/>
        <w:rPr>
          <w:noProof/>
        </w:rPr>
      </w:pPr>
    </w:p>
    <w:p w:rsidR="002430DD" w:rsidRDefault="0008761B">
      <w:pPr>
        <w:pStyle w:val="JRCText"/>
        <w:rPr>
          <w:noProof/>
        </w:rPr>
      </w:pPr>
      <w:r>
        <w:rPr>
          <w:rFonts w:ascii="PFSquareSansPro-Regular" w:hAnsi="PFSquareSansPro-Regular"/>
          <w:noProof/>
          <w:sz w:val="18"/>
          <w:szCs w:val="16"/>
          <w:lang w:val="en-GB" w:eastAsia="en-GB"/>
        </w:rPr>
        <mc:AlternateContent>
          <mc:Choice Requires="wps">
            <w:drawing>
              <wp:anchor distT="0" distB="0" distL="114300" distR="114300" simplePos="0" relativeHeight="251656704" behindDoc="0" locked="1" layoutInCell="1" allowOverlap="1">
                <wp:simplePos x="903767" y="7368363"/>
                <wp:positionH relativeFrom="margin">
                  <wp:align>left</wp:align>
                </wp:positionH>
                <wp:positionV relativeFrom="margin">
                  <wp:align>bottom</wp:align>
                </wp:positionV>
                <wp:extent cx="5859145" cy="2861945"/>
                <wp:effectExtent l="0" t="0" r="8255" b="14605"/>
                <wp:wrapSquare wrapText="bothSides"/>
                <wp:docPr id="6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9145" cy="2861945"/>
                        </a:xfrm>
                        <a:prstGeom prst="rect">
                          <a:avLst/>
                        </a:prstGeom>
                        <a:no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2430DD" w:rsidRDefault="0008761B">
                            <w:pPr>
                              <w:pBdr>
                                <w:top w:val="single" w:sz="4" w:space="6" w:color="auto"/>
                                <w:left w:val="single" w:sz="4" w:space="6" w:color="auto"/>
                                <w:bottom w:val="single" w:sz="4" w:space="6" w:color="auto"/>
                                <w:right w:val="single" w:sz="4" w:space="6" w:color="auto"/>
                              </w:pBdr>
                              <w:jc w:val="center"/>
                              <w:rPr>
                                <w:rFonts w:cs="Arial"/>
                                <w:b/>
                                <w:snapToGrid w:val="0"/>
                                <w:color w:val="000000"/>
                                <w:szCs w:val="20"/>
                              </w:rPr>
                            </w:pPr>
                            <w:bookmarkStart w:id="752" w:name="OLE_LINK1"/>
                            <w:bookmarkStart w:id="753" w:name="OLE_LINK34"/>
                            <w:r>
                              <w:rPr>
                                <w:rFonts w:cs="Arial"/>
                                <w:b/>
                                <w:szCs w:val="20"/>
                              </w:rPr>
                              <w:t>HOW TO OBTAIN EU PUBLICATIONS</w:t>
                            </w:r>
                          </w:p>
                          <w:bookmarkEnd w:id="752"/>
                          <w:bookmarkEnd w:id="753"/>
                          <w:p w:rsidR="002430DD" w:rsidRDefault="0008761B">
                            <w:pPr>
                              <w:pBdr>
                                <w:top w:val="single" w:sz="4" w:space="6" w:color="auto"/>
                                <w:left w:val="single" w:sz="4" w:space="6" w:color="auto"/>
                                <w:bottom w:val="single" w:sz="4" w:space="6" w:color="auto"/>
                                <w:right w:val="single" w:sz="4" w:space="6" w:color="auto"/>
                              </w:pBdr>
                              <w:spacing w:before="300"/>
                              <w:rPr>
                                <w:rFonts w:cs="Arial"/>
                                <w:b/>
                                <w:bCs/>
                                <w:color w:val="000000"/>
                                <w:szCs w:val="20"/>
                              </w:rPr>
                            </w:pPr>
                            <w:r>
                              <w:rPr>
                                <w:rFonts w:cs="Arial"/>
                                <w:b/>
                                <w:color w:val="000000"/>
                                <w:szCs w:val="20"/>
                              </w:rPr>
                              <w:t>Free publications</w:t>
                            </w:r>
                            <w:r>
                              <w:rPr>
                                <w:rFonts w:cs="Arial"/>
                                <w:b/>
                                <w:bCs/>
                                <w:color w:val="000000"/>
                                <w:szCs w:val="20"/>
                              </w:rPr>
                              <w:t>:</w:t>
                            </w:r>
                          </w:p>
                          <w:p w:rsidR="002430DD" w:rsidRDefault="0008761B">
                            <w:pPr>
                              <w:pBdr>
                                <w:top w:val="single" w:sz="4" w:space="6" w:color="auto"/>
                                <w:left w:val="single" w:sz="4" w:space="6" w:color="auto"/>
                                <w:bottom w:val="single" w:sz="4" w:space="6" w:color="auto"/>
                                <w:right w:val="single" w:sz="4" w:space="6" w:color="auto"/>
                              </w:pBdr>
                              <w:ind w:left="284" w:hanging="284"/>
                              <w:jc w:val="left"/>
                              <w:rPr>
                                <w:rFonts w:cs="Arial"/>
                                <w:bCs/>
                                <w:color w:val="000000"/>
                                <w:sz w:val="16"/>
                                <w:szCs w:val="16"/>
                              </w:rPr>
                            </w:pPr>
                            <w:r>
                              <w:rPr>
                                <w:rFonts w:cs="Arial"/>
                                <w:color w:val="000000"/>
                                <w:sz w:val="22"/>
                                <w:lang w:val="bg-BG"/>
                              </w:rPr>
                              <w:t>•</w:t>
                            </w:r>
                            <w:r>
                              <w:rPr>
                                <w:rFonts w:cs="Arial"/>
                                <w:bCs/>
                                <w:color w:val="000000"/>
                                <w:sz w:val="22"/>
                              </w:rPr>
                              <w:tab/>
                            </w:r>
                            <w:r>
                              <w:rPr>
                                <w:rFonts w:cs="Arial"/>
                                <w:bCs/>
                                <w:color w:val="000000"/>
                                <w:sz w:val="16"/>
                                <w:szCs w:val="16"/>
                              </w:rPr>
                              <w:t>one copy:</w:t>
                            </w:r>
                            <w:r>
                              <w:rPr>
                                <w:rFonts w:cs="Arial"/>
                                <w:bCs/>
                                <w:color w:val="000000"/>
                                <w:sz w:val="16"/>
                                <w:szCs w:val="16"/>
                              </w:rPr>
                              <w:br/>
                            </w:r>
                            <w:r>
                              <w:rPr>
                                <w:rFonts w:cs="Arial"/>
                                <w:color w:val="000000"/>
                                <w:sz w:val="16"/>
                                <w:szCs w:val="16"/>
                              </w:rPr>
                              <w:t>via EU Bookshop (</w:t>
                            </w:r>
                            <w:hyperlink r:id="rId70" w:history="1">
                              <w:r>
                                <w:rPr>
                                  <w:rStyle w:val="Hyperlink"/>
                                  <w:rFonts w:cs="Arial"/>
                                  <w:sz w:val="16"/>
                                  <w:szCs w:val="16"/>
                                </w:rPr>
                                <w:t>http://bookshop.europa.eu</w:t>
                              </w:r>
                            </w:hyperlink>
                            <w:r>
                              <w:rPr>
                                <w:rFonts w:cs="Arial"/>
                                <w:color w:val="000000"/>
                                <w:sz w:val="16"/>
                                <w:szCs w:val="16"/>
                              </w:rPr>
                              <w:t>)</w:t>
                            </w:r>
                            <w:r>
                              <w:rPr>
                                <w:rFonts w:cs="Arial"/>
                                <w:bCs/>
                                <w:color w:val="000000"/>
                                <w:sz w:val="16"/>
                                <w:szCs w:val="16"/>
                              </w:rPr>
                              <w:t>;</w:t>
                            </w:r>
                          </w:p>
                          <w:p w:rsidR="002430DD" w:rsidRDefault="0008761B">
                            <w:pPr>
                              <w:pBdr>
                                <w:top w:val="single" w:sz="4" w:space="6" w:color="auto"/>
                                <w:left w:val="single" w:sz="4" w:space="6" w:color="auto"/>
                                <w:bottom w:val="single" w:sz="4" w:space="6" w:color="auto"/>
                                <w:right w:val="single" w:sz="4" w:space="6" w:color="auto"/>
                              </w:pBdr>
                              <w:ind w:left="284" w:hanging="284"/>
                              <w:jc w:val="left"/>
                              <w:rPr>
                                <w:rFonts w:cs="Arial"/>
                                <w:snapToGrid w:val="0"/>
                                <w:color w:val="000000"/>
                                <w:sz w:val="16"/>
                                <w:szCs w:val="16"/>
                              </w:rPr>
                            </w:pPr>
                            <w:r>
                              <w:rPr>
                                <w:rFonts w:cs="Arial"/>
                                <w:color w:val="000000"/>
                                <w:sz w:val="22"/>
                                <w:lang w:val="bg-BG"/>
                              </w:rPr>
                              <w:t>•</w:t>
                            </w:r>
                            <w:r>
                              <w:rPr>
                                <w:rFonts w:cs="Arial"/>
                                <w:bCs/>
                                <w:color w:val="000000"/>
                                <w:sz w:val="22"/>
                              </w:rPr>
                              <w:tab/>
                            </w:r>
                            <w:r>
                              <w:rPr>
                                <w:rFonts w:cs="Arial"/>
                                <w:bCs/>
                                <w:color w:val="000000"/>
                                <w:sz w:val="16"/>
                                <w:szCs w:val="16"/>
                              </w:rPr>
                              <w:t xml:space="preserve">more than one copy </w:t>
                            </w:r>
                            <w:r>
                              <w:rPr>
                                <w:rFonts w:cs="Arial"/>
                                <w:bCs/>
                                <w:color w:val="000000"/>
                                <w:sz w:val="16"/>
                                <w:szCs w:val="16"/>
                              </w:rPr>
                              <w:t>or posters/maps:</w:t>
                            </w:r>
                            <w:r>
                              <w:rPr>
                                <w:rFonts w:cs="Arial"/>
                                <w:bCs/>
                                <w:color w:val="000000"/>
                                <w:sz w:val="16"/>
                                <w:szCs w:val="16"/>
                              </w:rPr>
                              <w:br/>
                            </w:r>
                            <w:r>
                              <w:rPr>
                                <w:rFonts w:cs="Arial"/>
                                <w:color w:val="000000"/>
                                <w:sz w:val="16"/>
                                <w:szCs w:val="16"/>
                              </w:rPr>
                              <w:t>from the European Union’s representations (</w:t>
                            </w:r>
                            <w:hyperlink r:id="rId71" w:history="1">
                              <w:r>
                                <w:rPr>
                                  <w:rStyle w:val="Hyperlink"/>
                                  <w:rFonts w:cs="Arial"/>
                                  <w:sz w:val="16"/>
                                  <w:szCs w:val="16"/>
                                </w:rPr>
                                <w:t>http://ec.europa.eu/represent_en.htm</w:t>
                              </w:r>
                            </w:hyperlink>
                            <w:r>
                              <w:rPr>
                                <w:rFonts w:cs="Arial"/>
                                <w:color w:val="000000"/>
                                <w:sz w:val="16"/>
                                <w:szCs w:val="16"/>
                              </w:rPr>
                              <w:t xml:space="preserve">); </w:t>
                            </w:r>
                            <w:r>
                              <w:rPr>
                                <w:rFonts w:cs="Arial"/>
                                <w:color w:val="000000"/>
                                <w:sz w:val="16"/>
                                <w:szCs w:val="16"/>
                              </w:rPr>
                              <w:br/>
                            </w:r>
                            <w:r>
                              <w:rPr>
                                <w:rFonts w:cs="Arial"/>
                                <w:color w:val="000000"/>
                                <w:spacing w:val="-4"/>
                                <w:sz w:val="16"/>
                                <w:szCs w:val="16"/>
                              </w:rPr>
                              <w:t>from the delegations in non-EU countries (</w:t>
                            </w:r>
                            <w:hyperlink r:id="rId72" w:history="1">
                              <w:r>
                                <w:rPr>
                                  <w:rStyle w:val="Hyperlink"/>
                                  <w:rFonts w:cs="Arial"/>
                                  <w:spacing w:val="-4"/>
                                  <w:sz w:val="16"/>
                                  <w:szCs w:val="16"/>
                                </w:rPr>
                                <w:t>http://eeas.europa.eu/delegations/index_en.htm</w:t>
                              </w:r>
                            </w:hyperlink>
                            <w:r>
                              <w:rPr>
                                <w:rFonts w:cs="Arial"/>
                                <w:color w:val="000000"/>
                                <w:spacing w:val="-4"/>
                                <w:sz w:val="16"/>
                                <w:szCs w:val="16"/>
                              </w:rPr>
                              <w:t xml:space="preserve">); </w:t>
                            </w:r>
                            <w:r>
                              <w:rPr>
                                <w:rFonts w:cs="Arial"/>
                                <w:color w:val="000000"/>
                                <w:spacing w:val="-4"/>
                                <w:sz w:val="16"/>
                                <w:szCs w:val="16"/>
                              </w:rPr>
                              <w:br/>
                            </w:r>
                            <w:r>
                              <w:rPr>
                                <w:rFonts w:cs="Arial"/>
                                <w:color w:val="000000"/>
                                <w:sz w:val="16"/>
                                <w:szCs w:val="16"/>
                              </w:rPr>
                              <w:t>by contacting the Europe Direct service (</w:t>
                            </w:r>
                            <w:hyperlink r:id="rId73" w:history="1">
                              <w:r>
                                <w:rPr>
                                  <w:rStyle w:val="Hyperlink"/>
                                  <w:rFonts w:cs="Arial"/>
                                  <w:sz w:val="16"/>
                                  <w:szCs w:val="16"/>
                                </w:rPr>
                                <w:t>http://europa.eu/europedirect/index_en.htm</w:t>
                              </w:r>
                            </w:hyperlink>
                            <w:r>
                              <w:rPr>
                                <w:rFonts w:cs="Arial"/>
                                <w:color w:val="000000"/>
                                <w:sz w:val="16"/>
                                <w:szCs w:val="16"/>
                              </w:rPr>
                              <w:t>) or</w:t>
                            </w:r>
                            <w:r>
                              <w:rPr>
                                <w:rFonts w:cs="Arial"/>
                                <w:color w:val="000000"/>
                                <w:sz w:val="16"/>
                                <w:szCs w:val="16"/>
                              </w:rPr>
                              <w:br/>
                              <w:t>calling 00 800 6 7 8 9 10 11 (freephone number from anywh</w:t>
                            </w:r>
                            <w:r>
                              <w:rPr>
                                <w:rFonts w:cs="Arial"/>
                                <w:color w:val="000000"/>
                                <w:sz w:val="16"/>
                                <w:szCs w:val="16"/>
                              </w:rPr>
                              <w:t>ere in the EU) (*).</w:t>
                            </w:r>
                            <w:r>
                              <w:rPr>
                                <w:rFonts w:cs="Arial"/>
                                <w:bCs/>
                                <w:color w:val="000000"/>
                                <w:sz w:val="16"/>
                                <w:szCs w:val="16"/>
                              </w:rPr>
                              <w:br/>
                            </w:r>
                            <w:r>
                              <w:rPr>
                                <w:rFonts w:cs="Arial"/>
                                <w:sz w:val="16"/>
                                <w:szCs w:val="16"/>
                              </w:rPr>
                              <w:br/>
                            </w:r>
                            <w:hyperlink r:id="rId74" w:anchor="note1#note1" w:tooltip="Back to the text" w:history="1">
                              <w:r>
                                <w:rPr>
                                  <w:rFonts w:cs="Arial"/>
                                  <w:sz w:val="14"/>
                                  <w:szCs w:val="14"/>
                                </w:rPr>
                                <w:t>(*)</w:t>
                              </w:r>
                            </w:hyperlink>
                            <w:r>
                              <w:rPr>
                                <w:rFonts w:cs="Arial"/>
                                <w:sz w:val="14"/>
                                <w:szCs w:val="14"/>
                              </w:rPr>
                              <w:t xml:space="preserve"> The information given is free, as are most calls (though some operators, phone boxes or hotels may charge you).</w:t>
                            </w:r>
                          </w:p>
                          <w:p w:rsidR="002430DD" w:rsidRDefault="0008761B">
                            <w:pPr>
                              <w:pBdr>
                                <w:top w:val="single" w:sz="4" w:space="6" w:color="auto"/>
                                <w:left w:val="single" w:sz="4" w:space="6" w:color="auto"/>
                                <w:bottom w:val="single" w:sz="4" w:space="6" w:color="auto"/>
                                <w:right w:val="single" w:sz="4" w:space="6" w:color="auto"/>
                              </w:pBdr>
                              <w:spacing w:before="300"/>
                              <w:jc w:val="left"/>
                              <w:rPr>
                                <w:rFonts w:cs="Arial"/>
                                <w:b/>
                                <w:bCs/>
                                <w:color w:val="000000"/>
                                <w:szCs w:val="20"/>
                              </w:rPr>
                            </w:pPr>
                            <w:r>
                              <w:rPr>
                                <w:rFonts w:cs="Arial"/>
                                <w:b/>
                                <w:color w:val="000000"/>
                                <w:szCs w:val="20"/>
                              </w:rPr>
                              <w:t>Priced publications</w:t>
                            </w:r>
                            <w:r>
                              <w:rPr>
                                <w:rFonts w:cs="Arial"/>
                                <w:b/>
                                <w:bCs/>
                                <w:color w:val="000000"/>
                                <w:szCs w:val="20"/>
                              </w:rPr>
                              <w:t>:</w:t>
                            </w:r>
                          </w:p>
                          <w:p w:rsidR="002430DD" w:rsidRDefault="0008761B">
                            <w:pPr>
                              <w:pBdr>
                                <w:top w:val="single" w:sz="4" w:space="6" w:color="auto"/>
                                <w:left w:val="single" w:sz="4" w:space="6" w:color="auto"/>
                                <w:bottom w:val="single" w:sz="4" w:space="6" w:color="auto"/>
                                <w:right w:val="single" w:sz="4" w:space="6" w:color="auto"/>
                              </w:pBdr>
                              <w:ind w:left="284" w:hanging="284"/>
                              <w:jc w:val="left"/>
                              <w:rPr>
                                <w:rFonts w:cs="Arial"/>
                                <w:bCs/>
                                <w:color w:val="000000"/>
                                <w:sz w:val="16"/>
                                <w:szCs w:val="16"/>
                              </w:rPr>
                            </w:pPr>
                            <w:r>
                              <w:rPr>
                                <w:rFonts w:cs="Arial"/>
                                <w:color w:val="000000"/>
                                <w:sz w:val="16"/>
                                <w:szCs w:val="16"/>
                                <w:lang w:val="bg-BG"/>
                              </w:rPr>
                              <w:t>•</w:t>
                            </w:r>
                            <w:r>
                              <w:rPr>
                                <w:rFonts w:cs="Arial"/>
                                <w:bCs/>
                                <w:color w:val="000000"/>
                                <w:sz w:val="16"/>
                                <w:szCs w:val="16"/>
                              </w:rPr>
                              <w:tab/>
                            </w:r>
                            <w:r>
                              <w:rPr>
                                <w:rFonts w:cs="Arial"/>
                                <w:color w:val="000000"/>
                                <w:sz w:val="16"/>
                                <w:szCs w:val="16"/>
                              </w:rPr>
                              <w:t>via EU Bookshop (</w:t>
                            </w:r>
                            <w:hyperlink r:id="rId75" w:history="1">
                              <w:r>
                                <w:rPr>
                                  <w:rStyle w:val="Hyperlink"/>
                                  <w:rFonts w:cs="Arial"/>
                                  <w:sz w:val="16"/>
                                  <w:szCs w:val="16"/>
                                </w:rPr>
                                <w:t>http://bookshop.europa.eu</w:t>
                              </w:r>
                            </w:hyperlink>
                            <w:r>
                              <w:rPr>
                                <w:rFonts w:cs="Arial"/>
                                <w:color w:val="000000"/>
                                <w:sz w:val="16"/>
                                <w:szCs w:val="16"/>
                              </w:rPr>
                              <w:t>).</w:t>
                            </w:r>
                          </w:p>
                          <w:p w:rsidR="002430DD" w:rsidRDefault="002430DD">
                            <w:pPr>
                              <w:widowControl w:val="0"/>
                              <w:spacing w:after="0" w:line="200" w:lineRule="exact"/>
                              <w:rPr>
                                <w:szCs w:val="20"/>
                              </w:rPr>
                            </w:pPr>
                          </w:p>
                          <w:p w:rsidR="002430DD" w:rsidRDefault="002430D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0;margin-top:0;width:461.35pt;height:225.35pt;z-index:25165670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" filled="f" stroked="f">
                <v:path arrowok="t"/>
                <v:textbox inset="0,0,0,0">
                  <w:txbxContent>
                    <w:p>
                      <w:pPr>
                        <w:pBdr>
                          <w:top w:val="single" w:sz="4" w:space="6" w:color="auto"/>
                          <w:left w:val="single" w:sz="4" w:space="6" w:color="auto"/>
                          <w:bottom w:val="single" w:sz="4" w:space="6" w:color="auto"/>
                          <w:right w:val="single" w:sz="4" w:space="6" w:color="auto"/>
                        </w:pBdr>
                        <w:jc w:val="center"/>
                        <w:rPr>
                          <w:rFonts w:cs="Arial"/>
                          <w:b/>
                          <w:snapToGrid w:val="0"/>
                          <w:color w:val="000000"/>
                          <w:szCs w:val="20"/>
                        </w:rPr>
                      </w:pPr>
                      <w:bookmarkStart w:id="754" w:name="OLE_LINK1"/>
                      <w:bookmarkStart w:id="755" w:name="OLE_LINK34"/>
                      <w:r>
                        <w:rPr>
                          <w:rFonts w:cs="Arial"/>
                          <w:b/>
                          <w:szCs w:val="20"/>
                        </w:rPr>
                        <w:t>HOW TO OBTAIN EU PUBLICATIONS</w:t>
                      </w:r>
                    </w:p>
                    <w:bookmarkEnd w:id="754"/>
                    <w:bookmarkEnd w:id="755"/>
                    <w:p>
                      <w:pPr>
                        <w:pBdr>
                          <w:top w:val="single" w:sz="4" w:space="6" w:color="auto"/>
                          <w:left w:val="single" w:sz="4" w:space="6" w:color="auto"/>
                          <w:bottom w:val="single" w:sz="4" w:space="6" w:color="auto"/>
                          <w:right w:val="single" w:sz="4" w:space="6" w:color="auto"/>
                        </w:pBdr>
                        <w:spacing w:before="300"/>
                        <w:rPr>
                          <w:rFonts w:cs="Arial"/>
                          <w:b/>
                          <w:bCs/>
                          <w:color w:val="000000"/>
                          <w:szCs w:val="20"/>
                        </w:rPr>
                      </w:pPr>
                      <w:r>
                        <w:rPr>
                          <w:rFonts w:cs="Arial"/>
                          <w:b/>
                          <w:color w:val="000000"/>
                          <w:szCs w:val="20"/>
                        </w:rPr>
                        <w:t>Free publications</w:t>
                      </w:r>
                      <w:r>
                        <w:rPr>
                          <w:rFonts w:cs="Arial"/>
                          <w:b/>
                          <w:bCs/>
                          <w:color w:val="000000"/>
                          <w:szCs w:val="20"/>
                        </w:rPr>
                        <w:t>:</w:t>
                      </w:r>
                    </w:p>
                    <w:p>
                      <w:pPr>
                        <w:pBdr>
                          <w:top w:val="single" w:sz="4" w:space="6" w:color="auto"/>
                          <w:left w:val="single" w:sz="4" w:space="6" w:color="auto"/>
                          <w:bottom w:val="single" w:sz="4" w:space="6" w:color="auto"/>
                          <w:right w:val="single" w:sz="4" w:space="6" w:color="auto"/>
                        </w:pBdr>
                        <w:ind w:left="284" w:hanging="284"/>
                        <w:jc w:val="left"/>
                        <w:rPr>
                          <w:rFonts w:cs="Arial"/>
                          <w:bCs/>
                          <w:color w:val="000000"/>
                          <w:sz w:val="16"/>
                          <w:szCs w:val="16"/>
                        </w:rPr>
                      </w:pPr>
                      <w:r>
                        <w:rPr>
                          <w:rFonts w:cs="Arial"/>
                          <w:color w:val="000000"/>
                          <w:sz w:val="22"/>
                          <w:lang w:val="bg-BG"/>
                        </w:rPr>
                        <w:t>•</w:t>
                      </w:r>
                      <w:r>
                        <w:rPr>
                          <w:rFonts w:cs="Arial"/>
                          <w:bCs/>
                          <w:color w:val="000000"/>
                          <w:sz w:val="22"/>
                        </w:rPr>
                        <w:tab/>
                      </w:r>
                      <w:r>
                        <w:rPr>
                          <w:rFonts w:cs="Arial"/>
                          <w:bCs/>
                          <w:color w:val="000000"/>
                          <w:sz w:val="16"/>
                          <w:szCs w:val="16"/>
                        </w:rPr>
                        <w:t>one copy:</w:t>
                      </w:r>
                      <w:r>
                        <w:rPr>
                          <w:rFonts w:cs="Arial"/>
                          <w:bCs/>
                          <w:color w:val="000000"/>
                          <w:sz w:val="16"/>
                          <w:szCs w:val="16"/>
                        </w:rPr>
                        <w:br/>
                      </w:r>
                      <w:r>
                        <w:rPr>
                          <w:rFonts w:cs="Arial"/>
                          <w:color w:val="000000"/>
                          <w:sz w:val="16"/>
                          <w:szCs w:val="16"/>
                        </w:rPr>
                        <w:t>via EU Bookshop (</w:t>
                      </w:r>
                      <w:hyperlink r:id="rId76" w:history="1">
                        <w:r>
                          <w:rPr>
                            <w:rStyle w:val="Hyperlink"/>
                            <w:rFonts w:cs="Arial"/>
                            <w:sz w:val="16"/>
                            <w:szCs w:val="16"/>
                          </w:rPr>
                          <w:t>http://bookshop.europa.eu</w:t>
                        </w:r>
                      </w:hyperlink>
                      <w:r>
                        <w:rPr>
                          <w:rFonts w:cs="Arial"/>
                          <w:color w:val="000000"/>
                          <w:sz w:val="16"/>
                          <w:szCs w:val="16"/>
                        </w:rPr>
                        <w:t>)</w:t>
                      </w:r>
                      <w:r>
                        <w:rPr>
                          <w:rFonts w:cs="Arial"/>
                          <w:bCs/>
                          <w:color w:val="000000"/>
                          <w:sz w:val="16"/>
                          <w:szCs w:val="16"/>
                        </w:rPr>
                        <w:t>;</w:t>
                      </w:r>
                    </w:p>
                    <w:p>
                      <w:pPr>
                        <w:pBdr>
                          <w:top w:val="single" w:sz="4" w:space="6" w:color="auto"/>
                          <w:left w:val="single" w:sz="4" w:space="6" w:color="auto"/>
                          <w:bottom w:val="single" w:sz="4" w:space="6" w:color="auto"/>
                          <w:right w:val="single" w:sz="4" w:space="6" w:color="auto"/>
                        </w:pBdr>
                        <w:ind w:left="284" w:hanging="284"/>
                        <w:jc w:val="left"/>
                        <w:rPr>
                          <w:rFonts w:cs="Arial"/>
                          <w:snapToGrid w:val="0"/>
                          <w:color w:val="000000"/>
                          <w:sz w:val="16"/>
                          <w:szCs w:val="16"/>
                        </w:rPr>
                      </w:pPr>
                      <w:r>
                        <w:rPr>
                          <w:rFonts w:cs="Arial"/>
                          <w:color w:val="000000"/>
                          <w:sz w:val="22"/>
                          <w:lang w:val="bg-BG"/>
                        </w:rPr>
                        <w:t>•</w:t>
                      </w:r>
                      <w:r>
                        <w:rPr>
                          <w:rFonts w:cs="Arial"/>
                          <w:bCs/>
                          <w:color w:val="000000"/>
                          <w:sz w:val="22"/>
                        </w:rPr>
                        <w:tab/>
                      </w:r>
                      <w:r>
                        <w:rPr>
                          <w:rFonts w:cs="Arial"/>
                          <w:bCs/>
                          <w:color w:val="000000"/>
                          <w:sz w:val="16"/>
                          <w:szCs w:val="16"/>
                        </w:rPr>
                        <w:t>more than one copy or posters/maps:</w:t>
                      </w:r>
                      <w:r>
                        <w:rPr>
                          <w:rFonts w:cs="Arial"/>
                          <w:bCs/>
                          <w:color w:val="000000"/>
                          <w:sz w:val="16"/>
                          <w:szCs w:val="16"/>
                        </w:rPr>
                        <w:br/>
                      </w:r>
                      <w:r>
                        <w:rPr>
                          <w:rFonts w:cs="Arial"/>
                          <w:color w:val="000000"/>
                          <w:sz w:val="16"/>
                          <w:szCs w:val="16"/>
                        </w:rPr>
                        <w:t>from the European Union’s representations (</w:t>
                      </w:r>
                      <w:hyperlink r:id="rId77" w:history="1">
                        <w:r>
                          <w:rPr>
                            <w:rStyle w:val="Hyperlink"/>
                            <w:rFonts w:cs="Arial"/>
                            <w:sz w:val="16"/>
                            <w:szCs w:val="16"/>
                          </w:rPr>
                          <w:t>http://ec.europa.eu/represent_en.htm</w:t>
                        </w:r>
                      </w:hyperlink>
                      <w:r>
                        <w:rPr>
                          <w:rFonts w:cs="Arial"/>
                          <w:color w:val="000000"/>
                          <w:sz w:val="16"/>
                          <w:szCs w:val="16"/>
                        </w:rPr>
                        <w:t xml:space="preserve">); </w:t>
                      </w:r>
                      <w:r>
                        <w:rPr>
                          <w:rFonts w:cs="Arial"/>
                          <w:color w:val="000000"/>
                          <w:sz w:val="16"/>
                          <w:szCs w:val="16"/>
                        </w:rPr>
                        <w:br/>
                      </w:r>
                      <w:r>
                        <w:rPr>
                          <w:rFonts w:cs="Arial"/>
                          <w:color w:val="000000"/>
                          <w:spacing w:val="-4"/>
                          <w:sz w:val="16"/>
                          <w:szCs w:val="16"/>
                        </w:rPr>
                        <w:t>from the delegations in non-EU countries (</w:t>
                      </w:r>
                      <w:hyperlink r:id="rId78" w:history="1">
                        <w:r>
                          <w:rPr>
                            <w:rStyle w:val="Hyperlink"/>
                            <w:rFonts w:cs="Arial"/>
                            <w:spacing w:val="-4"/>
                            <w:sz w:val="16"/>
                            <w:szCs w:val="16"/>
                          </w:rPr>
                          <w:t>http://eeas.europa.eu/delegations/index_en.htm</w:t>
                        </w:r>
                      </w:hyperlink>
                      <w:r>
                        <w:rPr>
                          <w:rFonts w:cs="Arial"/>
                          <w:color w:val="000000"/>
                          <w:spacing w:val="-4"/>
                          <w:sz w:val="16"/>
                          <w:szCs w:val="16"/>
                        </w:rPr>
                        <w:t xml:space="preserve">); </w:t>
                      </w:r>
                      <w:r>
                        <w:rPr>
                          <w:rFonts w:cs="Arial"/>
                          <w:color w:val="000000"/>
                          <w:spacing w:val="-4"/>
                          <w:sz w:val="16"/>
                          <w:szCs w:val="16"/>
                        </w:rPr>
                        <w:br/>
                      </w:r>
                      <w:r>
                        <w:rPr>
                          <w:rFonts w:cs="Arial"/>
                          <w:color w:val="000000"/>
                          <w:sz w:val="16"/>
                          <w:szCs w:val="16"/>
                        </w:rPr>
                        <w:t>by contacting the Europe Direct service (</w:t>
                      </w:r>
                      <w:hyperlink r:id="rId79" w:history="1">
                        <w:r>
                          <w:rPr>
                            <w:rStyle w:val="Hyperlink"/>
                            <w:rFonts w:cs="Arial"/>
                            <w:sz w:val="16"/>
                            <w:szCs w:val="16"/>
                          </w:rPr>
                          <w:t>http://europa.eu/europedirect/index_en.htm</w:t>
                        </w:r>
                      </w:hyperlink>
                      <w:r>
                        <w:rPr>
                          <w:rFonts w:cs="Arial"/>
                          <w:color w:val="000000"/>
                          <w:sz w:val="16"/>
                          <w:szCs w:val="16"/>
                        </w:rPr>
                        <w:t>) or</w:t>
                      </w:r>
                      <w:r>
                        <w:rPr>
                          <w:rFonts w:cs="Arial"/>
                          <w:color w:val="000000"/>
                          <w:sz w:val="16"/>
                          <w:szCs w:val="16"/>
                        </w:rPr>
                        <w:br/>
                        <w:t>calling 00 800 6 7 8 9 10 11 (freephone number from anywhere in the EU) (*).</w:t>
                      </w:r>
                      <w:r>
                        <w:rPr>
                          <w:rFonts w:cs="Arial"/>
                          <w:bCs/>
                          <w:color w:val="000000"/>
                          <w:sz w:val="16"/>
                          <w:szCs w:val="16"/>
                        </w:rPr>
                        <w:br/>
                      </w:r>
                      <w:r>
                        <w:rPr>
                          <w:rFonts w:cs="Arial"/>
                          <w:sz w:val="16"/>
                          <w:szCs w:val="16"/>
                        </w:rPr>
                        <w:br/>
                      </w:r>
                      <w:hyperlink r:id="rId80" w:anchor="note1#note1" w:tooltip="Back to the text" w:history="1">
                        <w:r>
                          <w:rPr>
                            <w:rFonts w:cs="Arial"/>
                            <w:sz w:val="14"/>
                            <w:szCs w:val="14"/>
                          </w:rPr>
                          <w:t>(*)</w:t>
                        </w:r>
                      </w:hyperlink>
                      <w:r>
                        <w:rPr>
                          <w:rFonts w:cs="Arial"/>
                          <w:sz w:val="14"/>
                          <w:szCs w:val="14"/>
                        </w:rPr>
                        <w:t xml:space="preserve"> The information given is free, as are most calls (though some operators, phone boxes or hotels may charge you).</w:t>
                      </w:r>
                    </w:p>
                    <w:p>
                      <w:pPr>
                        <w:pBdr>
                          <w:top w:val="single" w:sz="4" w:space="6" w:color="auto"/>
                          <w:left w:val="single" w:sz="4" w:space="6" w:color="auto"/>
                          <w:bottom w:val="single" w:sz="4" w:space="6" w:color="auto"/>
                          <w:right w:val="single" w:sz="4" w:space="6" w:color="auto"/>
                        </w:pBdr>
                        <w:spacing w:before="300"/>
                        <w:jc w:val="left"/>
                        <w:rPr>
                          <w:rFonts w:cs="Arial"/>
                          <w:b/>
                          <w:bCs/>
                          <w:color w:val="000000"/>
                          <w:szCs w:val="20"/>
                        </w:rPr>
                      </w:pPr>
                      <w:r>
                        <w:rPr>
                          <w:rFonts w:cs="Arial"/>
                          <w:b/>
                          <w:color w:val="000000"/>
                          <w:szCs w:val="20"/>
                        </w:rPr>
                        <w:t>Priced publications</w:t>
                      </w:r>
                      <w:r>
                        <w:rPr>
                          <w:rFonts w:cs="Arial"/>
                          <w:b/>
                          <w:bCs/>
                          <w:color w:val="000000"/>
                          <w:szCs w:val="20"/>
                        </w:rPr>
                        <w:t>:</w:t>
                      </w:r>
                    </w:p>
                    <w:p>
                      <w:pPr>
                        <w:pBdr>
                          <w:top w:val="single" w:sz="4" w:space="6" w:color="auto"/>
                          <w:left w:val="single" w:sz="4" w:space="6" w:color="auto"/>
                          <w:bottom w:val="single" w:sz="4" w:space="6" w:color="auto"/>
                          <w:right w:val="single" w:sz="4" w:space="6" w:color="auto"/>
                        </w:pBdr>
                        <w:ind w:left="284" w:hanging="284"/>
                        <w:jc w:val="left"/>
                        <w:rPr>
                          <w:rFonts w:cs="Arial"/>
                          <w:bCs/>
                          <w:color w:val="000000"/>
                          <w:sz w:val="16"/>
                          <w:szCs w:val="16"/>
                        </w:rPr>
                      </w:pPr>
                      <w:r>
                        <w:rPr>
                          <w:rFonts w:cs="Arial"/>
                          <w:color w:val="000000"/>
                          <w:sz w:val="16"/>
                          <w:szCs w:val="16"/>
                          <w:lang w:val="bg-BG"/>
                        </w:rPr>
                        <w:t>•</w:t>
                      </w:r>
                      <w:r>
                        <w:rPr>
                          <w:rFonts w:cs="Arial"/>
                          <w:bCs/>
                          <w:color w:val="000000"/>
                          <w:sz w:val="16"/>
                          <w:szCs w:val="16"/>
                        </w:rPr>
                        <w:tab/>
                      </w:r>
                      <w:r>
                        <w:rPr>
                          <w:rFonts w:cs="Arial"/>
                          <w:color w:val="000000"/>
                          <w:sz w:val="16"/>
                          <w:szCs w:val="16"/>
                        </w:rPr>
                        <w:t>via EU Bookshop (</w:t>
                      </w:r>
                      <w:hyperlink r:id="rId81" w:history="1">
                        <w:r>
                          <w:rPr>
                            <w:rStyle w:val="Hyperlink"/>
                            <w:rFonts w:cs="Arial"/>
                            <w:sz w:val="16"/>
                            <w:szCs w:val="16"/>
                          </w:rPr>
                          <w:t>http://bookshop.europa.eu</w:t>
                        </w:r>
                      </w:hyperlink>
                      <w:r>
                        <w:rPr>
                          <w:rFonts w:cs="Arial"/>
                          <w:color w:val="000000"/>
                          <w:sz w:val="16"/>
                          <w:szCs w:val="16"/>
                        </w:rPr>
                        <w:t>).</w:t>
                      </w:r>
                    </w:p>
                    <w:p>
                      <w:pPr>
                        <w:widowControl w:val="0"/>
                        <w:spacing w:after="0" w:line="200" w:lineRule="exact"/>
                        <w:rPr>
                          <w:szCs w:val="20"/>
                        </w:rPr>
                      </w:pPr>
                    </w:p>
                    <w:p/>
                  </w:txbxContent>
                </v:textbox>
                <w10:wrap type="square" anchorx="margin" anchory="margin"/>
                <w10:anchorlock/>
              </v:shape>
            </w:pict>
          </mc:Fallback>
        </mc:AlternateContent>
      </w:r>
      <w:r>
        <w:rPr>
          <w:noProof/>
          <w:sz w:val="22"/>
          <w:lang w:val="en-GB" w:eastAsia="en-GB"/>
        </w:rPr>
        <mc:AlternateContent>
          <mc:Choice Requires="wps">
            <w:drawing>
              <wp:anchor distT="0" distB="0" distL="114300" distR="114300" simplePos="0" relativeHeight="251655680" behindDoc="0" locked="1" layoutInCell="1" allowOverlap="1">
                <wp:simplePos x="0" y="0"/>
                <wp:positionH relativeFrom="page">
                  <wp:align>center</wp:align>
                </wp:positionH>
                <wp:positionV relativeFrom="page">
                  <wp:posOffset>4680585</wp:posOffset>
                </wp:positionV>
                <wp:extent cx="5767200" cy="2012400"/>
                <wp:effectExtent l="0" t="0" r="5080" b="6985"/>
                <wp:wrapSquare wrapText="bothSides"/>
                <wp:docPr id="694" name="Text Box 694"/>
                <wp:cNvGraphicFramePr/>
                <a:graphic xmlns:a="http://schemas.openxmlformats.org/drawingml/2006/main">
                  <a:graphicData uri="http://schemas.microsoft.com/office/word/2010/wordprocessingShape">
                    <wps:wsp>
                      <wps:cNvSpPr txBox="1"/>
                      <wps:spPr>
                        <a:xfrm>
                          <a:off x="0" y="0"/>
                          <a:ext cx="5767200" cy="2012400"/>
                        </a:xfrm>
                        <a:prstGeom prst="rect">
                          <a:avLst/>
                        </a:prstGeom>
                        <a:solidFill>
                          <a:schemeClr val="accent5">
                            <a:lumMod val="20000"/>
                            <a:lumOff val="80000"/>
                          </a:schemeClr>
                        </a:solidFill>
                        <a:ln w="6350">
                          <a:noFill/>
                        </a:ln>
                        <a:effectLst/>
                      </wps:spPr>
                      <wps:txbx>
                        <w:txbxContent>
                          <w:p w:rsidR="002430DD" w:rsidRDefault="0008761B">
                            <w:pPr>
                              <w:spacing w:before="80"/>
                              <w:jc w:val="center"/>
                              <w:rPr>
                                <w:noProof/>
                              </w:rPr>
                            </w:pPr>
                            <w:r>
                              <w:rPr>
                                <w:b/>
                                <w:i/>
                                <w:noProof/>
                              </w:rPr>
                              <w:t xml:space="preserve">Europe Direct is a service to help you find answers </w:t>
                            </w:r>
                            <w:r>
                              <w:rPr>
                                <w:noProof/>
                              </w:rPr>
                              <w:br/>
                            </w:r>
                            <w:r>
                              <w:rPr>
                                <w:b/>
                                <w:i/>
                                <w:noProof/>
                              </w:rPr>
                              <w:t>to your questions about the European Union.</w:t>
                            </w:r>
                          </w:p>
                          <w:p w:rsidR="002430DD" w:rsidRDefault="002430DD">
                            <w:pPr>
                              <w:rPr>
                                <w:b/>
                                <w:noProof/>
                              </w:rPr>
                            </w:pPr>
                          </w:p>
                          <w:p w:rsidR="002430DD" w:rsidRDefault="0008761B">
                            <w:pPr>
                              <w:jc w:val="center"/>
                              <w:rPr>
                                <w:noProof/>
                              </w:rPr>
                            </w:pPr>
                            <w:r>
                              <w:rPr>
                                <w:b/>
                                <w:noProof/>
                              </w:rPr>
                              <w:t>Freephone number</w:t>
                            </w:r>
                            <w:r>
                              <w:rPr>
                                <w:noProof/>
                              </w:rPr>
                              <w:t xml:space="preserve"> (*)</w:t>
                            </w:r>
                            <w:r>
                              <w:rPr>
                                <w:b/>
                                <w:noProof/>
                              </w:rPr>
                              <w:t>:</w:t>
                            </w:r>
                          </w:p>
                          <w:p w:rsidR="002430DD" w:rsidRDefault="0008761B">
                            <w:pPr>
                              <w:spacing w:after="60"/>
                              <w:jc w:val="center"/>
                              <w:rPr>
                                <w:b/>
                                <w:noProof/>
                                <w:sz w:val="28"/>
                              </w:rPr>
                            </w:pPr>
                            <w:r>
                              <w:rPr>
                                <w:b/>
                                <w:noProof/>
                                <w:sz w:val="28"/>
                              </w:rPr>
                              <w:t>00 800 6 7 8 9 10 11</w:t>
                            </w:r>
                          </w:p>
                          <w:p w:rsidR="002430DD" w:rsidRDefault="0008761B">
                            <w:pPr>
                              <w:widowControl w:val="0"/>
                              <w:spacing w:after="0" w:line="200" w:lineRule="exact"/>
                              <w:rPr>
                                <w:sz w:val="14"/>
                                <w:szCs w:val="14"/>
                              </w:rPr>
                            </w:pPr>
                            <w:hyperlink r:id="rId82" w:anchor="note1#note1" w:tooltip="Back to the text" w:history="1">
                              <w:r>
                                <w:rPr>
                                  <w:rFonts w:cs="Arial"/>
                                  <w:sz w:val="16"/>
                                  <w:szCs w:val="16"/>
                                </w:rPr>
                                <w:t>(*)</w:t>
                              </w:r>
                            </w:hyperlink>
                            <w:r>
                              <w:rPr>
                                <w:rFonts w:cs="Arial"/>
                                <w:sz w:val="16"/>
                                <w:szCs w:val="16"/>
                              </w:rPr>
                              <w:t xml:space="preserve"> The information given is free, as are most calls (though some operators, phone boxes or hotels may charge you).</w:t>
                            </w:r>
                          </w:p>
                          <w:p w:rsidR="002430DD" w:rsidRDefault="002430DD">
                            <w:pPr>
                              <w:widowControl w:val="0"/>
                              <w:spacing w:after="0" w:line="200" w:lineRule="exact"/>
                              <w:rPr>
                                <w:sz w:val="18"/>
                              </w:rPr>
                            </w:pPr>
                          </w:p>
                          <w:p w:rsidR="002430DD" w:rsidRDefault="0008761B">
                            <w:pPr>
                              <w:widowControl w:val="0"/>
                              <w:spacing w:after="0" w:line="200" w:lineRule="exact"/>
                              <w:rPr>
                                <w:sz w:val="16"/>
                                <w:szCs w:val="16"/>
                              </w:rPr>
                            </w:pPr>
                            <w:r>
                              <w:rPr>
                                <w:sz w:val="16"/>
                                <w:szCs w:val="16"/>
                              </w:rPr>
                              <w:t xml:space="preserve">More information on </w:t>
                            </w:r>
                            <w:r>
                              <w:rPr>
                                <w:sz w:val="16"/>
                                <w:szCs w:val="16"/>
                              </w:rPr>
                              <w:t>the European Union is available on the internet (</w:t>
                            </w:r>
                            <w:hyperlink r:id="rId83" w:history="1">
                              <w:r>
                                <w:rPr>
                                  <w:rStyle w:val="Hyperlink"/>
                                  <w:sz w:val="16"/>
                                  <w:szCs w:val="16"/>
                                </w:rPr>
                                <w:t>http://europa.eu</w:t>
                              </w:r>
                            </w:hyperlink>
                            <w:r>
                              <w:rPr>
                                <w:sz w:val="16"/>
                                <w:szCs w:val="16"/>
                              </w:rPr>
                              <w:t>).</w:t>
                            </w:r>
                          </w:p>
                        </w:txbxContent>
                      </wps:txbx>
                      <wps:bodyPr rot="0" spcFirstLastPara="0" vertOverflow="overflow" horzOverflow="overflow" vert="horz" wrap="none" lIns="144000" tIns="108000" rIns="144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4" o:spid="_x0000_s1028" type="#_x0000_t202" style="position:absolute;left:0;text-align:left;margin-left:0;margin-top:368.55pt;width:454.1pt;height:158.45pt;z-index:251655680;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" fillcolor="#daeef3 [664]" stroked="f" strokeweight=".5pt">
                <v:textbox inset="4mm,3mm,4mm,3mm">
                  <w:txbxContent>
                    <w:p>
                      <w:pPr>
                        <w:spacing w:before="80"/>
                        <w:jc w:val="center"/>
                        <w:rPr>
                          <w:noProof/>
                        </w:rPr>
                      </w:pPr>
                      <w:r>
                        <w:rPr>
                          <w:b/>
                          <w:i/>
                          <w:noProof/>
                        </w:rPr>
                        <w:t xml:space="preserve">Europe Direct is a service to help you find answers </w:t>
                      </w:r>
                      <w:r>
                        <w:rPr>
                          <w:noProof/>
                        </w:rPr>
                        <w:br/>
                      </w:r>
                      <w:r>
                        <w:rPr>
                          <w:b/>
                          <w:i/>
                          <w:noProof/>
                        </w:rPr>
                        <w:t>to your questions about the European Union.</w:t>
                      </w:r>
                    </w:p>
                    <w:p>
                      <w:pPr>
                        <w:rPr>
                          <w:b/>
                          <w:noProof/>
                        </w:rPr>
                      </w:pPr>
                    </w:p>
                    <w:p>
                      <w:pPr>
                        <w:jc w:val="center"/>
                        <w:rPr>
                          <w:noProof/>
                        </w:rPr>
                      </w:pPr>
                      <w:r>
                        <w:rPr>
                          <w:b/>
                          <w:noProof/>
                        </w:rPr>
                        <w:t>Freephone number</w:t>
                      </w:r>
                      <w:r>
                        <w:rPr>
                          <w:noProof/>
                        </w:rPr>
                        <w:t xml:space="preserve"> (*)</w:t>
                      </w:r>
                      <w:r>
                        <w:rPr>
                          <w:b/>
                          <w:noProof/>
                        </w:rPr>
                        <w:t>:</w:t>
                      </w:r>
                    </w:p>
                    <w:p>
                      <w:pPr>
                        <w:spacing w:after="60"/>
                        <w:jc w:val="center"/>
                        <w:rPr>
                          <w:b/>
                          <w:noProof/>
                          <w:sz w:val="28"/>
                        </w:rPr>
                      </w:pPr>
                      <w:r>
                        <w:rPr>
                          <w:b/>
                          <w:noProof/>
                          <w:sz w:val="28"/>
                        </w:rPr>
                        <w:t>00 800 6 7 8 9 10 11</w:t>
                      </w:r>
                    </w:p>
                    <w:p>
                      <w:pPr>
                        <w:widowControl w:val="0"/>
                        <w:spacing w:after="0" w:line="200" w:lineRule="exact"/>
                        <w:rPr>
                          <w:sz w:val="14"/>
                          <w:szCs w:val="14"/>
                        </w:rPr>
                      </w:pPr>
                      <w:hyperlink r:id="rId84" w:anchor="note1#note1" w:tooltip="Back to the text" w:history="1">
                        <w:r>
                          <w:rPr>
                            <w:rFonts w:cs="Arial"/>
                            <w:sz w:val="16"/>
                            <w:szCs w:val="16"/>
                          </w:rPr>
                          <w:t>(*)</w:t>
                        </w:r>
                      </w:hyperlink>
                      <w:r>
                        <w:rPr>
                          <w:rFonts w:cs="Arial"/>
                          <w:sz w:val="16"/>
                          <w:szCs w:val="16"/>
                        </w:rPr>
                        <w:t xml:space="preserve"> The information given is free, as are most calls (though some operators, phone boxes or hotels may charge you).</w:t>
                      </w:r>
                    </w:p>
                    <w:p>
                      <w:pPr>
                        <w:widowControl w:val="0"/>
                        <w:spacing w:after="0" w:line="200" w:lineRule="exact"/>
                        <w:rPr>
                          <w:sz w:val="18"/>
                        </w:rPr>
                      </w:pPr>
                    </w:p>
                    <w:p>
                      <w:pPr>
                        <w:widowControl w:val="0"/>
                        <w:spacing w:after="0" w:line="200" w:lineRule="exact"/>
                        <w:rPr>
                          <w:sz w:val="16"/>
                          <w:szCs w:val="16"/>
                        </w:rPr>
                      </w:pPr>
                      <w:r>
                        <w:rPr>
                          <w:sz w:val="16"/>
                          <w:szCs w:val="16"/>
                        </w:rPr>
                        <w:t>More information on the European Union is available on the internet (</w:t>
                      </w:r>
                      <w:hyperlink r:id="rId85" w:history="1">
                        <w:r>
                          <w:rPr>
                            <w:rStyle w:val="Hyperlink"/>
                            <w:sz w:val="16"/>
                            <w:szCs w:val="16"/>
                          </w:rPr>
                          <w:t>http://europa.eu</w:t>
                        </w:r>
                      </w:hyperlink>
                      <w:r>
                        <w:rPr>
                          <w:sz w:val="16"/>
                          <w:szCs w:val="16"/>
                        </w:rPr>
                        <w:t>).</w:t>
                      </w:r>
                    </w:p>
                  </w:txbxContent>
                </v:textbox>
                <w10:wrap type="square" anchorx="page" anchory="page"/>
                <w10:anchorlock/>
              </v:shape>
            </w:pict>
          </mc:Fallback>
        </mc:AlternateContent>
      </w:r>
    </w:p>
    <w:p w:rsidR="002430DD" w:rsidRDefault="0008761B">
      <w:pPr>
        <w:pStyle w:val="JRCText"/>
        <w:rPr>
          <w:noProof/>
        </w:rPr>
      </w:pPr>
      <w:r>
        <w:rPr>
          <w:rFonts w:ascii="PFSquareSansPro-Regular" w:hAnsi="PFSquareSansPro-Regular"/>
          <w:noProof/>
          <w:sz w:val="16"/>
          <w:szCs w:val="16"/>
          <w:lang w:val="en-GB" w:eastAsia="en-GB"/>
        </w:rPr>
        <w:drawing>
          <wp:anchor distT="0" distB="0" distL="114300" distR="114300" simplePos="0" relativeHeight="251657728" behindDoc="1" locked="0" layoutInCell="1" allowOverlap="1">
            <wp:simplePos x="0" y="0"/>
            <wp:positionH relativeFrom="column">
              <wp:posOffset>-2101215</wp:posOffset>
            </wp:positionH>
            <wp:positionV relativeFrom="paragraph">
              <wp:posOffset>-2281555</wp:posOffset>
            </wp:positionV>
            <wp:extent cx="7559675" cy="10684510"/>
            <wp:effectExtent l="0" t="0" r="3175" b="2540"/>
            <wp:wrapSquare wrapText="bothSides"/>
            <wp:docPr id="32" name="Picture 32" descr="A6_audiovisuals_storage:Work in Progress:Graphics:Laura:• Visual Identity:Templates:JRC-templates-2016:Word-ppt-templates:Reports-templates:Materials:General-elements:Back-cover_verd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6_audiovisuals_storage:Work in Progress:Graphics:Laura:• Visual Identity:Templates:JRC-templates-2016:Word-ppt-templates:Reports-templates:Materials:General-elements:Back-cover_verdana.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559675" cy="10684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val="en-GB" w:eastAsia="en-GB"/>
        </w:rPr>
        <w:drawing>
          <wp:anchor distT="0" distB="0" distL="114300" distR="114300" simplePos="0" relativeHeight="251659776" behindDoc="0" locked="1" layoutInCell="1" allowOverlap="1">
            <wp:simplePos x="0" y="0"/>
            <wp:positionH relativeFrom="margin">
              <wp:align>left</wp:align>
            </wp:positionH>
            <wp:positionV relativeFrom="page">
              <wp:posOffset>9461500</wp:posOffset>
            </wp:positionV>
            <wp:extent cx="1303200" cy="615600"/>
            <wp:effectExtent l="0" t="0" r="0" b="0"/>
            <wp:wrapThrough wrapText="bothSides">
              <wp:wrapPolygon edited="0">
                <wp:start x="0" y="0"/>
                <wp:lineTo x="0" y="20731"/>
                <wp:lineTo x="21158" y="20731"/>
                <wp:lineTo x="21158" y="0"/>
                <wp:lineTo x="0" y="0"/>
              </wp:wrapPolygon>
            </wp:wrapThrough>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03200" cy="61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FSquareSansPro-Regular" w:hAnsi="PFSquareSansPro-Regular"/>
          <w:noProof/>
          <w:sz w:val="16"/>
          <w:szCs w:val="16"/>
          <w:lang w:val="en-GB" w:eastAsia="en-GB"/>
        </w:rPr>
        <mc:AlternateContent>
          <mc:Choice Requires="wps">
            <w:drawing>
              <wp:anchor distT="0" distB="0" distL="114300" distR="114300" simplePos="0" relativeHeight="251658752" behindDoc="0" locked="1" layoutInCell="1" allowOverlap="1">
                <wp:simplePos x="0" y="0"/>
                <wp:positionH relativeFrom="page">
                  <wp:posOffset>7202170</wp:posOffset>
                </wp:positionH>
                <wp:positionV relativeFrom="page">
                  <wp:posOffset>245110</wp:posOffset>
                </wp:positionV>
                <wp:extent cx="213360" cy="1040765"/>
                <wp:effectExtent l="38100" t="38100" r="53340" b="45085"/>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040765"/>
                        </a:xfrm>
                        <a:prstGeom prst="rect">
                          <a:avLst/>
                        </a:prstGeom>
                        <a:noFill/>
                        <a:ln>
                          <a:noFill/>
                        </a:ln>
                        <a:effectLst/>
                        <a:scene3d>
                          <a:camera prst="orthographicFront">
                            <a:rot lat="0" lon="10800000" rev="0"/>
                          </a:camera>
                          <a:lightRig rig="threePt" dir="t"/>
                        </a:scene3d>
                        <a:sp3d/>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2430DD" w:rsidRDefault="0008761B">
                            <w:pPr>
                              <w:widowControl w:val="0"/>
                              <w:spacing w:line="160" w:lineRule="exact"/>
                              <w:rPr>
                                <w:color w:val="FFFFFF" w:themeColor="background1"/>
                                <w:sz w:val="14"/>
                                <w:szCs w:val="14"/>
                              </w:rPr>
                            </w:pPr>
                            <w:r>
                              <w:rPr>
                                <w:color w:val="FFFFFF" w:themeColor="background1"/>
                                <w:sz w:val="14"/>
                                <w:szCs w:val="14"/>
                              </w:rPr>
                              <w:t>XX-NA-xxxxx-EN-N</w:t>
                            </w:r>
                          </w:p>
                        </w:txbxContent>
                      </wps:txbx>
                      <wps:bodyPr rot="0" spcFirstLastPara="0" vertOverflow="overflow" horzOverflow="overflow" vert="vert" wrap="square" lIns="2" tIns="0" rIns="0" bIns="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695" o:spid="_x0000_s1029" type="#_x0000_t202" style="position:absolute;left:0;text-align:left;margin-left:567.1pt;margin-top:19.3pt;width:16.8pt;height:81.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" filled="f" stroked="f">
                <v:path arrowok="t"/>
                <v:textbox style="layout-flow:vertical" inset="6e-5mm,0,0,0">
                  <w:txbxContent>
                    <w:p>
                      <w:pPr>
                        <w:widowControl w:val="0"/>
                        <w:spacing w:line="160" w:lineRule="exact"/>
                        <w:rPr>
                          <w:color w:val="FFFFFF" w:themeColor="background1"/>
                          <w:sz w:val="14"/>
                          <w:szCs w:val="14"/>
                        </w:rPr>
                      </w:pPr>
                      <w:r>
                        <w:rPr>
                          <w:color w:val="FFFFFF" w:themeColor="background1"/>
                          <w:sz w:val="14"/>
                          <w:szCs w:val="14"/>
                        </w:rPr>
                        <w:t>XX-NA-xxxxx-EN-N</w:t>
                      </w:r>
                    </w:p>
                  </w:txbxContent>
                </v:textbox>
                <w10:wrap anchorx="page" anchory="page"/>
                <w10:anchorlock/>
              </v:shape>
            </w:pict>
          </mc:Fallback>
        </mc:AlternateContent>
      </w:r>
      <w:r>
        <w:rPr>
          <w:rFonts w:ascii="PFSquareSansPro-Regular" w:hAnsi="PFSquareSansPro-Regular"/>
          <w:noProof/>
          <w:sz w:val="16"/>
          <w:szCs w:val="16"/>
          <w:lang w:val="en-GB" w:eastAsia="en-GB"/>
        </w:rPr>
        <mc:AlternateContent>
          <mc:Choice Requires="wps">
            <w:drawing>
              <wp:anchor distT="0" distB="0" distL="114300" distR="114300" simplePos="0" relativeHeight="251660800" behindDoc="0" locked="1" layoutInCell="1" allowOverlap="1">
                <wp:simplePos x="0" y="0"/>
                <wp:positionH relativeFrom="page">
                  <wp:posOffset>5400675</wp:posOffset>
                </wp:positionH>
                <wp:positionV relativeFrom="page">
                  <wp:posOffset>9721215</wp:posOffset>
                </wp:positionV>
                <wp:extent cx="1209600" cy="396000"/>
                <wp:effectExtent l="0" t="0" r="10160" b="4445"/>
                <wp:wrapThrough wrapText="bothSides">
                  <wp:wrapPolygon edited="0">
                    <wp:start x="0" y="0"/>
                    <wp:lineTo x="0" y="20803"/>
                    <wp:lineTo x="21441" y="20803"/>
                    <wp:lineTo x="21441" y="0"/>
                    <wp:lineTo x="0" y="0"/>
                  </wp:wrapPolygon>
                </wp:wrapThrough>
                <wp:docPr id="69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00" cy="3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0DD" w:rsidRDefault="0008761B">
                            <w:pPr>
                              <w:rPr>
                                <w:sz w:val="14"/>
                                <w:szCs w:val="14"/>
                              </w:rPr>
                            </w:pPr>
                            <w:r>
                              <w:rPr>
                                <w:sz w:val="14"/>
                                <w:szCs w:val="14"/>
                              </w:rPr>
                              <w:t>doi:xx.xxxx/xxxx</w:t>
                            </w:r>
                          </w:p>
                          <w:p w:rsidR="002430DD" w:rsidRDefault="0008761B">
                            <w:pPr>
                              <w:rPr>
                                <w:color w:val="646567"/>
                                <w:sz w:val="14"/>
                                <w:szCs w:val="14"/>
                              </w:rPr>
                            </w:pPr>
                            <w:r>
                              <w:rPr>
                                <w:sz w:val="14"/>
                                <w:szCs w:val="14"/>
                              </w:rPr>
                              <w:t>ISBN xxx-xx-xx-xxxxx-x</w:t>
                            </w:r>
                          </w:p>
                        </w:txbxContent>
                      </wps:txbx>
                      <wps:bodyPr rot="0" vert="horz" wrap="square" lIns="2"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left:0;text-align:left;margin-left:425.25pt;margin-top:765.45pt;width:95.25pt;height:31.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" filled="f" stroked="f">
                <v:textbox inset="6e-5mm,0,0,0">
                  <w:txbxContent>
                    <w:p>
                      <w:pPr>
                        <w:rPr>
                          <w:sz w:val="14"/>
                          <w:szCs w:val="14"/>
                        </w:rPr>
                      </w:pPr>
                      <w:r>
                        <w:rPr>
                          <w:sz w:val="14"/>
                          <w:szCs w:val="14"/>
                        </w:rPr>
                        <w:t>doi:xx.xxxx/xxxx</w:t>
                      </w:r>
                    </w:p>
                    <w:p>
                      <w:pPr>
                        <w:rPr>
                          <w:color w:val="646567"/>
                          <w:sz w:val="14"/>
                          <w:szCs w:val="14"/>
                        </w:rPr>
                      </w:pPr>
                      <w:r>
                        <w:rPr>
                          <w:sz w:val="14"/>
                          <w:szCs w:val="14"/>
                        </w:rPr>
                        <w:t>ISBN xxx-xx-xx-xxxxx-x</w:t>
                      </w:r>
                    </w:p>
                  </w:txbxContent>
                </v:textbox>
                <w10:wrap type="through" anchorx="page" anchory="page"/>
                <w10:anchorlock/>
              </v:shape>
            </w:pict>
          </mc:Fallback>
        </mc:AlternateContent>
      </w:r>
    </w:p>
    <w:p w:rsidR="002430DD" w:rsidRDefault="002430DD">
      <w:pPr>
        <w:rPr>
          <w:noProof/>
        </w:rPr>
      </w:pPr>
    </w:p>
    <w:sectPr w:rsidR="002430DD">
      <w:headerReference w:type="even" r:id="rId88"/>
      <w:headerReference w:type="default" r:id="rId89"/>
      <w:footerReference w:type="even" r:id="rId90"/>
      <w:footerReference w:type="default" r:id="rId91"/>
      <w:headerReference w:type="first" r:id="rId92"/>
      <w:footerReference w:type="first" r:id="rId93"/>
      <w:pgSz w:w="11906" w:h="16838" w:code="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0DD" w:rsidRDefault="0008761B">
      <w:r>
        <w:separator/>
      </w:r>
    </w:p>
  </w:endnote>
  <w:endnote w:type="continuationSeparator" w:id="0">
    <w:p w:rsidR="002430DD" w:rsidRDefault="0008761B">
      <w:r>
        <w:continuationSeparator/>
      </w:r>
    </w:p>
  </w:endnote>
  <w:endnote w:type="continuationNotice" w:id="1">
    <w:p w:rsidR="002430DD" w:rsidRDefault="002430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Bold">
    <w:altName w:val="Arial"/>
    <w:charset w:val="00"/>
    <w:family w:val="swiss"/>
    <w:pitch w:val="variable"/>
    <w:sig w:usb0="00000000"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panose1 w:val="02030600000101010101"/>
    <w:charset w:val="81"/>
    <w:family w:val="roman"/>
    <w:pitch w:val="variable"/>
    <w:sig w:usb0="B00002AF" w:usb1="69D77CFB" w:usb2="00000030" w:usb3="00000000" w:csb0="0008009F" w:csb1="00000000"/>
  </w:font>
  <w:font w:name="EUAlbertina">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FSquareSansPro-Regular">
    <w:altName w:val="Times New Roman"/>
    <w:charset w:val="00"/>
    <w:family w:val="auto"/>
    <w:pitch w:val="variable"/>
    <w:sig w:usb0="00000001" w:usb1="5000E0F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529605"/>
      <w:docPartObj>
        <w:docPartGallery w:val="Page Numbers (Bottom of Page)"/>
        <w:docPartUnique/>
      </w:docPartObj>
    </w:sdtPr>
    <w:sdtEndPr>
      <w:rPr>
        <w:noProof/>
      </w:rPr>
    </w:sdtEndPr>
    <w:sdtContent>
      <w:p w:rsidR="002430DD" w:rsidRDefault="0008761B">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rsidR="002430DD" w:rsidRDefault="002430DD">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950909"/>
      <w:docPartObj>
        <w:docPartGallery w:val="Page Numbers (Bottom of Page)"/>
        <w:docPartUnique/>
      </w:docPartObj>
    </w:sdtPr>
    <w:sdtEndPr>
      <w:rPr>
        <w:noProof/>
      </w:rPr>
    </w:sdtEndPr>
    <w:sdtContent>
      <w:p w:rsidR="002430DD" w:rsidRDefault="0008761B">
        <w:pPr>
          <w:pStyle w:val="Footer"/>
          <w:jc w:val="center"/>
        </w:pPr>
        <w:r>
          <w:fldChar w:fldCharType="begin"/>
        </w:r>
        <w:r>
          <w:instrText xml:space="preserve"> PAGE   \* MERGEFORMAT </w:instrText>
        </w:r>
        <w:r>
          <w:fldChar w:fldCharType="separate"/>
        </w:r>
        <w:r>
          <w:rPr>
            <w:noProof/>
          </w:rPr>
          <w:t>i</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213170"/>
      <w:docPartObj>
        <w:docPartGallery w:val="Page Numbers (Bottom of Page)"/>
        <w:docPartUnique/>
      </w:docPartObj>
    </w:sdtPr>
    <w:sdtEndPr>
      <w:rPr>
        <w:noProof/>
      </w:rPr>
    </w:sdtEndPr>
    <w:sdtContent>
      <w:p w:rsidR="002430DD" w:rsidRDefault="0008761B">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rsidR="002430DD" w:rsidRDefault="002430DD"/>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08761B">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08761B">
    <w:pPr>
      <w:pStyle w:val="Footer"/>
      <w:spacing w:before="0"/>
      <w:ind w:left="0" w:right="0"/>
      <w:jc w:val="center"/>
      <w:rPr>
        <w:sz w:val="22"/>
      </w:rPr>
    </w:pPr>
    <w:r>
      <w:rPr>
        <w:sz w:val="22"/>
      </w:rPr>
      <w:fldChar w:fldCharType="begin"/>
    </w:r>
    <w:r>
      <w:rPr>
        <w:sz w:val="22"/>
      </w:rPr>
      <w:instrText xml:space="preserve"> PAGE   \* MERGEFORMAT </w:instrText>
    </w:r>
    <w:r>
      <w:rPr>
        <w:sz w:val="22"/>
      </w:rPr>
      <w:fldChar w:fldCharType="separate"/>
    </w:r>
    <w:r>
      <w:rPr>
        <w:noProof/>
        <w:sz w:val="22"/>
      </w:rPr>
      <w:t>1</w:t>
    </w:r>
    <w:r>
      <w:rPr>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316049"/>
      <w:docPartObj>
        <w:docPartGallery w:val="Page Numbers (Bottom of Page)"/>
        <w:docPartUnique/>
      </w:docPartObj>
    </w:sdtPr>
    <w:sdtEndPr>
      <w:rPr>
        <w:noProof/>
      </w:rPr>
    </w:sdtEndPr>
    <w:sdtContent>
      <w:p w:rsidR="002430DD" w:rsidRDefault="0008761B">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rsidR="002430DD" w:rsidRDefault="002430DD">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0DD" w:rsidRDefault="0008761B">
      <w:r>
        <w:separator/>
      </w:r>
    </w:p>
  </w:footnote>
  <w:footnote w:type="continuationSeparator" w:id="0">
    <w:p w:rsidR="002430DD" w:rsidRDefault="0008761B">
      <w:r>
        <w:continuationSeparator/>
      </w:r>
    </w:p>
  </w:footnote>
  <w:footnote w:type="continuationNotice" w:id="1">
    <w:p w:rsidR="002430DD" w:rsidRDefault="002430DD"/>
  </w:footnote>
  <w:footnote w:id="2">
    <w:p w:rsidR="002430DD" w:rsidRDefault="0008761B">
      <w:pPr>
        <w:pStyle w:val="FootnoteText"/>
        <w:keepLines/>
        <w:rPr>
          <w:sz w:val="18"/>
        </w:rPr>
      </w:pPr>
      <w:r>
        <w:rPr>
          <w:rStyle w:val="FootnoteReference"/>
          <w:sz w:val="18"/>
        </w:rPr>
        <w:footnoteRef/>
      </w:r>
      <w:r>
        <w:rPr>
          <w:sz w:val="18"/>
        </w:rPr>
        <w:t xml:space="preserve"> See 2016 Eurostat Community Survey on ICT usage in households and by individuals, available at: </w:t>
      </w:r>
      <w:hyperlink r:id="rId1" w:history="1">
        <w:r>
          <w:rPr>
            <w:rStyle w:val="Hyperlink"/>
            <w:sz w:val="18"/>
          </w:rPr>
          <w:t>http://ec.europa.eu/eurostat/statistics-explained/index.php/E-commerce_statistics_for_individuals</w:t>
        </w:r>
      </w:hyperlink>
    </w:p>
  </w:footnote>
  <w:footnote w:id="3">
    <w:p w:rsidR="002430DD" w:rsidRDefault="0008761B">
      <w:pPr>
        <w:pStyle w:val="FootnoteText"/>
        <w:keepLines/>
        <w:rPr>
          <w:sz w:val="18"/>
        </w:rPr>
      </w:pPr>
      <w:r>
        <w:rPr>
          <w:rStyle w:val="FootnoteReference"/>
          <w:sz w:val="18"/>
        </w:rPr>
        <w:footnoteRef/>
      </w:r>
      <w:r>
        <w:rPr>
          <w:sz w:val="18"/>
        </w:rPr>
        <w:t xml:space="preserve">These were a) Communication services (e.g. Hotmail, Gmail, Whatsapp, Viber, Skype), b) Participation in social networks (e.g. Facebook, Twitter, Instagram), </w:t>
      </w:r>
      <w:r>
        <w:rPr>
          <w:sz w:val="18"/>
        </w:rPr>
        <w:t xml:space="preserve">3) Storage and transfer of files (e.g. Dropbox, iCloud) and 4) Web-based software applications (e.g. Google Docs) (see subsection 2 in this Annex).   </w:t>
      </w:r>
    </w:p>
  </w:footnote>
  <w:footnote w:id="4">
    <w:p w:rsidR="002430DD" w:rsidRDefault="0008761B">
      <w:pPr>
        <w:pStyle w:val="FootnoteText"/>
        <w:keepLines/>
        <w:rPr>
          <w:sz w:val="18"/>
        </w:rPr>
      </w:pPr>
      <w:r>
        <w:rPr>
          <w:rStyle w:val="FootnoteReference"/>
          <w:sz w:val="18"/>
        </w:rPr>
        <w:footnoteRef/>
      </w:r>
      <w:r>
        <w:rPr>
          <w:sz w:val="18"/>
        </w:rPr>
        <w:t xml:space="preserve"> 'Digital content' means data produced and supplied in digital form.</w:t>
      </w:r>
    </w:p>
  </w:footnote>
  <w:footnote w:id="5">
    <w:p w:rsidR="002430DD" w:rsidRDefault="0008761B">
      <w:pPr>
        <w:pStyle w:val="FootnoteText"/>
        <w:keepLines/>
        <w:rPr>
          <w:sz w:val="18"/>
          <w:szCs w:val="18"/>
        </w:rPr>
      </w:pPr>
      <w:r>
        <w:rPr>
          <w:rStyle w:val="FootnoteReference"/>
          <w:sz w:val="18"/>
          <w:szCs w:val="18"/>
        </w:rPr>
        <w:footnoteRef/>
      </w:r>
      <w:r>
        <w:rPr>
          <w:sz w:val="18"/>
          <w:szCs w:val="18"/>
        </w:rPr>
        <w:t xml:space="preserve"> Section 2.3 and 12.1 of DG Justic</w:t>
      </w:r>
      <w:r>
        <w:rPr>
          <w:sz w:val="18"/>
          <w:szCs w:val="18"/>
        </w:rPr>
        <w:t>e Guidance Document on the CRD.</w:t>
      </w:r>
    </w:p>
  </w:footnote>
  <w:footnote w:id="6">
    <w:p w:rsidR="002430DD" w:rsidRDefault="0008761B">
      <w:pPr>
        <w:pStyle w:val="FootnoteText"/>
        <w:keepLines/>
        <w:rPr>
          <w:sz w:val="18"/>
          <w:lang w:val="et-EE"/>
        </w:rPr>
      </w:pPr>
      <w:r>
        <w:rPr>
          <w:rStyle w:val="FootnoteReference"/>
          <w:sz w:val="18"/>
        </w:rPr>
        <w:footnoteRef/>
      </w:r>
      <w:r>
        <w:rPr>
          <w:sz w:val="18"/>
        </w:rPr>
        <w:t xml:space="preserve"> Recital 19 CRD.</w:t>
      </w:r>
    </w:p>
  </w:footnote>
  <w:footnote w:id="7">
    <w:p w:rsidR="002430DD" w:rsidRDefault="0008761B">
      <w:pPr>
        <w:pStyle w:val="FootnoteText"/>
        <w:keepLines/>
        <w:rPr>
          <w:sz w:val="18"/>
        </w:rPr>
      </w:pPr>
      <w:r>
        <w:rPr>
          <w:rStyle w:val="FootnoteReference"/>
          <w:sz w:val="18"/>
        </w:rPr>
        <w:footnoteRef/>
      </w:r>
      <w:r>
        <w:rPr>
          <w:sz w:val="18"/>
        </w:rPr>
        <w:t xml:space="preserve"> See page 64 of the DG Justice Guidance Document </w:t>
      </w:r>
      <w:r>
        <w:rPr>
          <w:sz w:val="18"/>
          <w:szCs w:val="18"/>
        </w:rPr>
        <w:t>on the CRD</w:t>
      </w:r>
      <w:r>
        <w:rPr>
          <w:sz w:val="18"/>
        </w:rPr>
        <w:t>.</w:t>
      </w:r>
    </w:p>
  </w:footnote>
  <w:footnote w:id="8">
    <w:p w:rsidR="002430DD" w:rsidRDefault="0008761B">
      <w:pPr>
        <w:pStyle w:val="FootnoteText"/>
        <w:keepLines/>
        <w:rPr>
          <w:sz w:val="18"/>
        </w:rPr>
      </w:pPr>
      <w:r>
        <w:rPr>
          <w:sz w:val="18"/>
          <w:vertAlign w:val="superscript"/>
        </w:rPr>
        <w:footnoteRef/>
      </w:r>
      <w:r>
        <w:rPr>
          <w:sz w:val="18"/>
        </w:rPr>
        <w:t xml:space="preserve"> CRD Report, p. 9.</w:t>
      </w:r>
    </w:p>
  </w:footnote>
  <w:footnote w:id="9">
    <w:p w:rsidR="002430DD" w:rsidRDefault="0008761B">
      <w:pPr>
        <w:pStyle w:val="FootnoteText"/>
        <w:keepLines/>
        <w:rPr>
          <w:sz w:val="18"/>
          <w:szCs w:val="18"/>
        </w:rPr>
      </w:pPr>
      <w:r>
        <w:rPr>
          <w:sz w:val="18"/>
          <w:vertAlign w:val="superscript"/>
        </w:rPr>
        <w:footnoteRef/>
      </w:r>
      <w:r>
        <w:rPr>
          <w:sz w:val="18"/>
          <w:szCs w:val="18"/>
        </w:rPr>
        <w:t xml:space="preserve"> Regulation (EU) 2016/679 on the protection of natural persons with regard to the processing of personal data and on the free movement of such data (GDPR).</w:t>
      </w:r>
    </w:p>
  </w:footnote>
  <w:footnote w:id="10">
    <w:p w:rsidR="002430DD" w:rsidRDefault="0008761B">
      <w:pPr>
        <w:pStyle w:val="FootnoteText"/>
        <w:keepLines/>
        <w:rPr>
          <w:sz w:val="18"/>
        </w:rPr>
      </w:pPr>
      <w:r>
        <w:rPr>
          <w:rStyle w:val="FootnoteReference"/>
          <w:sz w:val="18"/>
        </w:rPr>
        <w:footnoteRef/>
      </w:r>
      <w:r>
        <w:rPr>
          <w:sz w:val="18"/>
        </w:rPr>
        <w:t xml:space="preserve"> LV, PT and FR replies to the CPC/CPN/CMEG survey. </w:t>
      </w:r>
    </w:p>
  </w:footnote>
  <w:footnote w:id="11">
    <w:p w:rsidR="002430DD" w:rsidRDefault="0008761B">
      <w:pPr>
        <w:pStyle w:val="FootnoteText"/>
        <w:keepLines/>
        <w:tabs>
          <w:tab w:val="left" w:pos="426"/>
        </w:tabs>
        <w:rPr>
          <w:sz w:val="18"/>
          <w:lang w:val="fr-FR"/>
        </w:rPr>
      </w:pPr>
      <w:r>
        <w:rPr>
          <w:rStyle w:val="FootnoteReference"/>
          <w:sz w:val="18"/>
        </w:rPr>
        <w:footnoteRef/>
      </w:r>
      <w:r>
        <w:rPr>
          <w:sz w:val="18"/>
          <w:lang w:val="fr-FR"/>
        </w:rPr>
        <w:t xml:space="preserve"> </w:t>
      </w:r>
      <w:r>
        <w:rPr>
          <w:sz w:val="18"/>
          <w:lang w:val="fr-FR"/>
        </w:rPr>
        <w:tab/>
        <w:t xml:space="preserve"> </w:t>
      </w:r>
      <w:hyperlink r:id="rId2" w:history="1">
        <w:r>
          <w:rPr>
            <w:rStyle w:val="Hyperlink"/>
            <w:i/>
            <w:sz w:val="18"/>
            <w:lang w:val="fr-FR"/>
          </w:rPr>
          <w:t>Loi pour une République numérique</w:t>
        </w:r>
      </w:hyperlink>
      <w:r>
        <w:rPr>
          <w:sz w:val="18"/>
          <w:lang w:val="fr-FR"/>
        </w:rPr>
        <w:t xml:space="preserve"> of 7 October 2016, Article 49, available at </w:t>
      </w:r>
      <w:hyperlink r:id="rId3" w:anchor="LEGISCTA000033205027" w:history="1">
        <w:r>
          <w:rPr>
            <w:rStyle w:val="Hyperlink"/>
            <w:sz w:val="18"/>
            <w:lang w:val="fr-FR"/>
          </w:rPr>
          <w:t>https://www.legifrance.gouv.fr/affichTexte.do?cidTexte=JORFTEXT000033202746&amp;dateTexte=20161212#LEGISCTA000033205027</w:t>
        </w:r>
      </w:hyperlink>
      <w:r>
        <w:rPr>
          <w:sz w:val="18"/>
          <w:lang w:val="fr-FR"/>
        </w:rPr>
        <w:t xml:space="preserve"> </w:t>
      </w:r>
    </w:p>
  </w:footnote>
  <w:footnote w:id="12">
    <w:p w:rsidR="002430DD" w:rsidRDefault="0008761B">
      <w:pPr>
        <w:pStyle w:val="FootnoteText"/>
        <w:keepLines/>
        <w:rPr>
          <w:sz w:val="18"/>
          <w:szCs w:val="18"/>
        </w:rPr>
      </w:pPr>
      <w:r>
        <w:rPr>
          <w:rStyle w:val="FootnoteReference"/>
          <w:sz w:val="18"/>
          <w:szCs w:val="18"/>
        </w:rPr>
        <w:footnoteRef/>
      </w:r>
      <w:r>
        <w:rPr>
          <w:sz w:val="18"/>
          <w:szCs w:val="18"/>
        </w:rPr>
        <w:t xml:space="preserve"> Regulation (EC) No 593/2008 of the European Parliament and of the Council on the law applicable to contractual o</w:t>
      </w:r>
      <w:r>
        <w:rPr>
          <w:sz w:val="18"/>
          <w:szCs w:val="18"/>
        </w:rPr>
        <w:t xml:space="preserve">bligations. Article 6(2) of Rome I states that the choice of law made by the parties to the contract may not have the result of depriving the consumer of the protection afforded to him by such provisions that cannot be derogated from by contract by virtue </w:t>
      </w:r>
      <w:r>
        <w:rPr>
          <w:sz w:val="18"/>
          <w:szCs w:val="18"/>
        </w:rPr>
        <w:t>of the law which, in the absence of choice, would have been applicable on the basis of paragraph 1 (this law, under certain conditions, is the law of the country where the consumer has his residence). The Regulation hence allows contracting parties to choo</w:t>
      </w:r>
      <w:r>
        <w:rPr>
          <w:sz w:val="18"/>
          <w:szCs w:val="18"/>
        </w:rPr>
        <w:t>se which law applies to their contract and determines which law applies in the absence of choice. A trader who "directs his activities" to consumers in another country may either apply the consumer's national law or choose another law (in practice almost a</w:t>
      </w:r>
      <w:r>
        <w:rPr>
          <w:sz w:val="18"/>
          <w:szCs w:val="18"/>
        </w:rPr>
        <w:t>lways the trader's national law). In this latter case, however, the trader must also respect the mandatory consumer contract law rules of the consumer's country to the extent that those rules provide a higher level of consumer protection. When the trader d</w:t>
      </w:r>
      <w:r>
        <w:rPr>
          <w:sz w:val="18"/>
          <w:szCs w:val="18"/>
        </w:rPr>
        <w:t>oes not direct his activities to consumers in a specific Member State but agrees to enter into a contract at the consumer’s own initiative, consumers do not benefit from the more protective rules of their national law.</w:t>
      </w:r>
    </w:p>
  </w:footnote>
  <w:footnote w:id="13">
    <w:p w:rsidR="002430DD" w:rsidRDefault="0008761B">
      <w:pPr>
        <w:pStyle w:val="FootnoteText"/>
        <w:keepLines/>
        <w:rPr>
          <w:sz w:val="18"/>
          <w:szCs w:val="18"/>
        </w:rPr>
      </w:pPr>
      <w:r>
        <w:rPr>
          <w:rStyle w:val="FootnoteReference"/>
          <w:sz w:val="18"/>
          <w:szCs w:val="18"/>
        </w:rPr>
        <w:footnoteRef/>
      </w:r>
      <w:r>
        <w:rPr>
          <w:sz w:val="18"/>
          <w:szCs w:val="18"/>
        </w:rPr>
        <w:t xml:space="preserve"> 10 out of 17 for both pre-contractu</w:t>
      </w:r>
      <w:r>
        <w:rPr>
          <w:sz w:val="18"/>
          <w:szCs w:val="18"/>
        </w:rPr>
        <w:t>al information and the right of withdrawal.</w:t>
      </w:r>
    </w:p>
  </w:footnote>
  <w:footnote w:id="14">
    <w:p w:rsidR="002430DD" w:rsidRDefault="0008761B">
      <w:pPr>
        <w:pStyle w:val="FootnoteText"/>
        <w:keepLines/>
        <w:rPr>
          <w:sz w:val="18"/>
        </w:rPr>
      </w:pPr>
      <w:r>
        <w:rPr>
          <w:rStyle w:val="FootnoteReference"/>
          <w:sz w:val="18"/>
        </w:rPr>
        <w:footnoteRef/>
      </w:r>
      <w:r>
        <w:rPr>
          <w:sz w:val="18"/>
        </w:rPr>
        <w:t xml:space="preserve"> </w:t>
      </w:r>
      <w:r>
        <w:rPr>
          <w:sz w:val="18"/>
          <w:szCs w:val="18"/>
        </w:rPr>
        <w:t>A precise quantification of the costs faced by traders was not possible due to the low level of responses.</w:t>
      </w:r>
    </w:p>
  </w:footnote>
  <w:footnote w:id="15">
    <w:p w:rsidR="002430DD" w:rsidRDefault="0008761B">
      <w:pPr>
        <w:pStyle w:val="FootnoteText"/>
        <w:keepLines/>
        <w:rPr>
          <w:sz w:val="18"/>
        </w:rPr>
      </w:pPr>
      <w:r>
        <w:rPr>
          <w:rStyle w:val="FootnoteReference"/>
          <w:sz w:val="18"/>
        </w:rPr>
        <w:footnoteRef/>
      </w:r>
      <w:r>
        <w:rPr>
          <w:sz w:val="18"/>
        </w:rPr>
        <w:t xml:space="preserve"> SMEs operating online in business to consumer transactions; figures are similar when considering the </w:t>
      </w:r>
      <w:r>
        <w:rPr>
          <w:sz w:val="18"/>
        </w:rPr>
        <w:t>overall respondents: 57 out of the 113 respondents consider that current costs due to legal fragmentation do not have an impact on their decision to enter other EU markets, while for 16 respondents these costs represent an obstacle.</w:t>
      </w:r>
    </w:p>
  </w:footnote>
  <w:footnote w:id="16">
    <w:p w:rsidR="002430DD" w:rsidRDefault="0008761B">
      <w:pPr>
        <w:pStyle w:val="FootnoteText"/>
        <w:keepLines/>
        <w:rPr>
          <w:sz w:val="18"/>
        </w:rPr>
      </w:pPr>
      <w:r>
        <w:rPr>
          <w:rStyle w:val="FootnoteReference"/>
          <w:sz w:val="18"/>
        </w:rPr>
        <w:footnoteRef/>
      </w:r>
      <w:r>
        <w:rPr>
          <w:sz w:val="18"/>
        </w:rPr>
        <w:t xml:space="preserve"> SME panel: "</w:t>
      </w:r>
      <w:r>
        <w:rPr>
          <w:i/>
          <w:sz w:val="18"/>
        </w:rPr>
        <w:t>Does your</w:t>
      </w:r>
      <w:r>
        <w:rPr>
          <w:i/>
          <w:sz w:val="18"/>
        </w:rPr>
        <w:t xml:space="preserve"> enterprise incur costs when trading cross-border due to the following?</w:t>
      </w:r>
      <w:r>
        <w:rPr>
          <w:sz w:val="18"/>
        </w:rPr>
        <w:t>" The responses to these questions included five "not applicable to my enterprise" responses.</w:t>
      </w:r>
    </w:p>
  </w:footnote>
  <w:footnote w:id="17">
    <w:p w:rsidR="002430DD" w:rsidRDefault="0008761B">
      <w:pPr>
        <w:pStyle w:val="FootnoteText"/>
        <w:keepLines/>
        <w:rPr>
          <w:sz w:val="18"/>
        </w:rPr>
      </w:pPr>
      <w:r>
        <w:rPr>
          <w:rStyle w:val="FootnoteReference"/>
          <w:sz w:val="18"/>
        </w:rPr>
        <w:footnoteRef/>
      </w:r>
      <w:r>
        <w:rPr>
          <w:sz w:val="18"/>
        </w:rPr>
        <w:t xml:space="preserve"> Question was: One-off costs: Please estimate the one-off resources you need to invest in order to enter a new EU market, on average per Member State (e.g. checking compliance with national rules and adjusting business practices as a result (e.g. update yo</w:t>
      </w:r>
      <w:r>
        <w:rPr>
          <w:sz w:val="18"/>
        </w:rPr>
        <w:t>ur website), costs of legal/technical advice). Regular costs: Please estimate the resources you need to invest on a regular basis to comply with different national rules, on average per country (e.g. handling consumer complaints/ enquiries, monitoring nati</w:t>
      </w:r>
      <w:r>
        <w:rPr>
          <w:sz w:val="18"/>
        </w:rPr>
        <w:t>onal rules). Note: Please indicate staff time in working days, whereby 1 working day = 8 hours of staff time. Please do not consider staff time for translation. If no staff time is involved, indicate ‘0’</w:t>
      </w:r>
    </w:p>
  </w:footnote>
  <w:footnote w:id="18">
    <w:p w:rsidR="002430DD" w:rsidRDefault="0008761B">
      <w:pPr>
        <w:pStyle w:val="FootnoteText"/>
        <w:keepLines/>
        <w:rPr>
          <w:sz w:val="18"/>
          <w:szCs w:val="18"/>
        </w:rPr>
      </w:pPr>
      <w:r>
        <w:rPr>
          <w:rStyle w:val="FootnoteReference"/>
          <w:sz w:val="18"/>
          <w:szCs w:val="18"/>
        </w:rPr>
        <w:footnoteRef/>
      </w:r>
      <w:r>
        <w:rPr>
          <w:sz w:val="18"/>
          <w:szCs w:val="18"/>
        </w:rPr>
        <w:t xml:space="preserve"> Economic Study on Consumers Digital Content Produc</w:t>
      </w:r>
      <w:r>
        <w:rPr>
          <w:sz w:val="18"/>
          <w:szCs w:val="18"/>
        </w:rPr>
        <w:t>ts, p. 100.</w:t>
      </w:r>
    </w:p>
  </w:footnote>
  <w:footnote w:id="19">
    <w:p w:rsidR="002430DD" w:rsidRDefault="0008761B">
      <w:pPr>
        <w:pStyle w:val="FootnoteText"/>
        <w:keepLines/>
        <w:rPr>
          <w:sz w:val="18"/>
          <w:szCs w:val="18"/>
        </w:rPr>
      </w:pPr>
      <w:r>
        <w:rPr>
          <w:rStyle w:val="FootnoteReference"/>
          <w:sz w:val="18"/>
        </w:rPr>
        <w:footnoteRef/>
      </w:r>
      <w:r>
        <w:rPr>
          <w:rStyle w:val="FootnoteReference"/>
          <w:sz w:val="18"/>
        </w:rPr>
        <w:t xml:space="preserve"> </w:t>
      </w:r>
      <w:r>
        <w:rPr>
          <w:sz w:val="18"/>
          <w:szCs w:val="18"/>
        </w:rPr>
        <w:t>68% of individuals (58 out of 85 respondents) strongly/tend to agree that lack of pre-contractual information is problematic and creates harm when using "free" digital services cross-border; similar percentage applies for lack of a withdrawal</w:t>
      </w:r>
      <w:r>
        <w:rPr>
          <w:sz w:val="18"/>
          <w:szCs w:val="18"/>
        </w:rPr>
        <w:t xml:space="preserve"> right: 66% of individuals (57 out of 86 respondents) strongly/tend to agree this being problematic.</w:t>
      </w:r>
    </w:p>
  </w:footnote>
  <w:footnote w:id="20">
    <w:p w:rsidR="002430DD" w:rsidRDefault="0008761B">
      <w:pPr>
        <w:pStyle w:val="FootnoteText"/>
        <w:keepLines/>
        <w:rPr>
          <w:sz w:val="18"/>
          <w:szCs w:val="18"/>
        </w:rPr>
      </w:pPr>
      <w:r>
        <w:rPr>
          <w:rStyle w:val="FootnoteReference"/>
          <w:sz w:val="18"/>
          <w:szCs w:val="18"/>
        </w:rPr>
        <w:footnoteRef/>
      </w:r>
      <w:r>
        <w:rPr>
          <w:sz w:val="18"/>
          <w:szCs w:val="18"/>
        </w:rPr>
        <w:t xml:space="preserve"> Specific examples of potential consumer problems due to lack of protection in contracts for "free" digital services are also included </w:t>
      </w:r>
      <w:r>
        <w:rPr>
          <w:sz w:val="18"/>
        </w:rPr>
        <w:t xml:space="preserve">in subsection 2 of </w:t>
      </w:r>
      <w:r>
        <w:rPr>
          <w:sz w:val="18"/>
        </w:rPr>
        <w:t>this Annex.</w:t>
      </w:r>
    </w:p>
  </w:footnote>
  <w:footnote w:id="21">
    <w:p w:rsidR="002430DD" w:rsidRDefault="0008761B">
      <w:pPr>
        <w:pStyle w:val="FootnoteText"/>
        <w:keepLines/>
        <w:rPr>
          <w:sz w:val="18"/>
          <w:szCs w:val="18"/>
        </w:rPr>
      </w:pPr>
      <w:r>
        <w:rPr>
          <w:rStyle w:val="FootnoteReference"/>
          <w:sz w:val="18"/>
          <w:szCs w:val="18"/>
        </w:rPr>
        <w:footnoteRef/>
      </w:r>
      <w:r>
        <w:rPr>
          <w:sz w:val="18"/>
          <w:szCs w:val="18"/>
        </w:rPr>
        <w:t xml:space="preserve"> Consumer survey conducted in 2015 in 15 sample countries within the framework of the Economic Study on Consumer Digital Content Product. See DCD IA, p. </w:t>
      </w:r>
      <w:r>
        <w:rPr>
          <w:sz w:val="18"/>
        </w:rPr>
        <w:t>15</w:t>
      </w:r>
      <w:r>
        <w:rPr>
          <w:sz w:val="18"/>
          <w:szCs w:val="18"/>
        </w:rPr>
        <w:t xml:space="preserve"> and the Economic Study on Consumer Digital Content Products, p. 222.</w:t>
      </w:r>
    </w:p>
  </w:footnote>
  <w:footnote w:id="22">
    <w:p w:rsidR="002430DD" w:rsidRDefault="0008761B">
      <w:pPr>
        <w:pStyle w:val="FootnoteText"/>
        <w:keepLines/>
        <w:rPr>
          <w:sz w:val="18"/>
          <w:szCs w:val="18"/>
        </w:rPr>
      </w:pPr>
      <w:r>
        <w:rPr>
          <w:rStyle w:val="FootnoteReference"/>
          <w:sz w:val="18"/>
        </w:rPr>
        <w:footnoteRef/>
      </w:r>
      <w:r>
        <w:rPr>
          <w:sz w:val="18"/>
          <w:szCs w:val="18"/>
        </w:rPr>
        <w:t xml:space="preserve"> 24 out of 27 and</w:t>
      </w:r>
      <w:r>
        <w:rPr>
          <w:sz w:val="18"/>
          <w:szCs w:val="18"/>
        </w:rPr>
        <w:t xml:space="preserve"> 20 out of 27 responding consumer authorities strongly/tend to agree that respectively lack of pre-contractual information and right of withdrawal discourage consumers from acquiring "free" digital services.</w:t>
      </w:r>
    </w:p>
  </w:footnote>
  <w:footnote w:id="23">
    <w:p w:rsidR="002430DD" w:rsidRDefault="0008761B">
      <w:pPr>
        <w:pStyle w:val="FootnoteText"/>
        <w:keepLines/>
        <w:rPr>
          <w:sz w:val="18"/>
          <w:szCs w:val="18"/>
        </w:rPr>
      </w:pPr>
      <w:r>
        <w:rPr>
          <w:rStyle w:val="FootnoteReference"/>
          <w:sz w:val="18"/>
          <w:szCs w:val="18"/>
        </w:rPr>
        <w:footnoteRef/>
      </w:r>
      <w:r>
        <w:rPr>
          <w:sz w:val="18"/>
          <w:szCs w:val="18"/>
        </w:rPr>
        <w:t xml:space="preserve"> 32 out of 62 and 32 out of 57  responding busi</w:t>
      </w:r>
      <w:r>
        <w:rPr>
          <w:sz w:val="18"/>
          <w:szCs w:val="18"/>
        </w:rPr>
        <w:t>ness associations strongly/tend to disagree that consumers suffer detriment due to respectively lack of pre-contractual information and withdrawal right.</w:t>
      </w:r>
    </w:p>
  </w:footnote>
  <w:footnote w:id="24">
    <w:p w:rsidR="002430DD" w:rsidRDefault="0008761B">
      <w:pPr>
        <w:pStyle w:val="FootnoteText"/>
        <w:keepLines/>
        <w:rPr>
          <w:sz w:val="18"/>
          <w:szCs w:val="18"/>
        </w:rPr>
      </w:pPr>
      <w:r>
        <w:rPr>
          <w:rStyle w:val="FootnoteReference"/>
          <w:sz w:val="18"/>
          <w:szCs w:val="18"/>
        </w:rPr>
        <w:footnoteRef/>
      </w:r>
      <w:r>
        <w:rPr>
          <w:sz w:val="18"/>
          <w:szCs w:val="18"/>
        </w:rPr>
        <w:t xml:space="preserve"> 18 out of 54 and 18 out of 53 </w:t>
      </w:r>
      <w:r>
        <w:rPr>
          <w:sz w:val="18"/>
        </w:rPr>
        <w:t xml:space="preserve">responding </w:t>
      </w:r>
      <w:r>
        <w:rPr>
          <w:sz w:val="18"/>
          <w:szCs w:val="18"/>
        </w:rPr>
        <w:t>companies</w:t>
      </w:r>
      <w:r>
        <w:rPr>
          <w:sz w:val="18"/>
        </w:rPr>
        <w:t xml:space="preserve"> strongly</w:t>
      </w:r>
      <w:r>
        <w:rPr>
          <w:sz w:val="18"/>
          <w:szCs w:val="18"/>
        </w:rPr>
        <w:t>/tend to disagree that consumers suffer d</w:t>
      </w:r>
      <w:r>
        <w:rPr>
          <w:sz w:val="18"/>
          <w:szCs w:val="18"/>
        </w:rPr>
        <w:t>etriment due to respectively lack of pre-contractual information and withdrawal right.</w:t>
      </w:r>
    </w:p>
  </w:footnote>
  <w:footnote w:id="25">
    <w:p w:rsidR="002430DD" w:rsidRDefault="0008761B">
      <w:pPr>
        <w:pStyle w:val="FootnoteText"/>
        <w:keepLines/>
        <w:rPr>
          <w:sz w:val="18"/>
          <w:szCs w:val="18"/>
        </w:rPr>
      </w:pPr>
      <w:r>
        <w:rPr>
          <w:rStyle w:val="FootnoteReference"/>
          <w:sz w:val="18"/>
        </w:rPr>
        <w:footnoteRef/>
      </w:r>
      <w:r>
        <w:rPr>
          <w:sz w:val="18"/>
          <w:szCs w:val="18"/>
        </w:rPr>
        <w:t xml:space="preserve"> 42 out of 88 responding individuals indicated they would use more "free" digitals services if they had a right to be informed, while 43 out of 89 respondents think thi</w:t>
      </w:r>
      <w:r>
        <w:rPr>
          <w:sz w:val="18"/>
          <w:szCs w:val="18"/>
        </w:rPr>
        <w:t>s would happen if a right to withdraw from the contract was granted.</w:t>
      </w:r>
    </w:p>
  </w:footnote>
  <w:footnote w:id="26">
    <w:p w:rsidR="002430DD" w:rsidRDefault="0008761B">
      <w:pPr>
        <w:pStyle w:val="FootnoteText"/>
        <w:keepLines/>
        <w:rPr>
          <w:sz w:val="18"/>
          <w:szCs w:val="18"/>
        </w:rPr>
      </w:pPr>
      <w:r>
        <w:rPr>
          <w:rStyle w:val="FootnoteReference"/>
          <w:sz w:val="18"/>
        </w:rPr>
        <w:footnoteRef/>
      </w:r>
      <w:r>
        <w:rPr>
          <w:sz w:val="18"/>
        </w:rPr>
        <w:t xml:space="preserve"> 22 out of 25 responding </w:t>
      </w:r>
      <w:r>
        <w:rPr>
          <w:b/>
          <w:sz w:val="18"/>
        </w:rPr>
        <w:t>consumer associations</w:t>
      </w:r>
      <w:r>
        <w:rPr>
          <w:sz w:val="18"/>
        </w:rPr>
        <w:t xml:space="preserve"> indicated that </w:t>
      </w:r>
      <w:r>
        <w:rPr>
          <w:b/>
          <w:sz w:val="18"/>
        </w:rPr>
        <w:t>consumers would use "free" digital services more often</w:t>
      </w:r>
      <w:r>
        <w:rPr>
          <w:sz w:val="18"/>
        </w:rPr>
        <w:t xml:space="preserve"> if they had pre</w:t>
      </w:r>
      <w:r>
        <w:rPr>
          <w:sz w:val="18"/>
        </w:rPr>
        <w:noBreakHyphen/>
        <w:t>contractual information, while 22 out of 26 of them c</w:t>
      </w:r>
      <w:r>
        <w:rPr>
          <w:sz w:val="18"/>
        </w:rPr>
        <w:t>onsider this would happen if a right to cancel the contract within 14 days was granted</w:t>
      </w:r>
      <w:r>
        <w:rPr>
          <w:sz w:val="18"/>
          <w:szCs w:val="18"/>
        </w:rPr>
        <w:t>.</w:t>
      </w:r>
    </w:p>
  </w:footnote>
  <w:footnote w:id="27">
    <w:p w:rsidR="002430DD" w:rsidRDefault="0008761B">
      <w:pPr>
        <w:pStyle w:val="FootnoteText"/>
        <w:keepLines/>
        <w:rPr>
          <w:sz w:val="18"/>
          <w:szCs w:val="18"/>
        </w:rPr>
      </w:pPr>
      <w:r>
        <w:rPr>
          <w:rStyle w:val="FootnoteReference"/>
          <w:sz w:val="18"/>
        </w:rPr>
        <w:footnoteRef/>
      </w:r>
      <w:r>
        <w:rPr>
          <w:rStyle w:val="FootnoteReference"/>
          <w:sz w:val="18"/>
        </w:rPr>
        <w:t xml:space="preserve"> </w:t>
      </w:r>
      <w:r>
        <w:rPr>
          <w:sz w:val="18"/>
          <w:szCs w:val="18"/>
        </w:rPr>
        <w:t>11 out of 27 responding MS authorities consider that consumers would use more "free digital services" if a right to be informed was granted, while 13 out of 28 consid</w:t>
      </w:r>
      <w:r>
        <w:rPr>
          <w:sz w:val="18"/>
          <w:szCs w:val="18"/>
        </w:rPr>
        <w:t>er this would happen if a right to withdraw from the contract was granted.</w:t>
      </w:r>
    </w:p>
  </w:footnote>
  <w:footnote w:id="28">
    <w:p w:rsidR="002430DD" w:rsidRDefault="0008761B">
      <w:pPr>
        <w:pStyle w:val="FootnoteText"/>
        <w:keepLines/>
        <w:rPr>
          <w:sz w:val="18"/>
          <w:szCs w:val="18"/>
        </w:rPr>
      </w:pPr>
      <w:r>
        <w:rPr>
          <w:rStyle w:val="FootnoteReference"/>
          <w:sz w:val="18"/>
          <w:szCs w:val="18"/>
        </w:rPr>
        <w:footnoteRef/>
      </w:r>
      <w:r>
        <w:rPr>
          <w:sz w:val="18"/>
          <w:szCs w:val="18"/>
        </w:rPr>
        <w:t xml:space="preserve"> This is supported by results from the consumer survey undertaken as part of this study, where on average, 67% of consumers using intangible music content did so for free (in compa</w:t>
      </w:r>
      <w:r>
        <w:rPr>
          <w:sz w:val="18"/>
          <w:szCs w:val="18"/>
        </w:rPr>
        <w:t>rison to 39% who paid), 62% of those using intangible games content did so for free, and 62% of those using anti-virus software did so for free. The one exception was cloud storage, with an equal split between consumers paying and accessing for free, among</w:t>
      </w:r>
      <w:r>
        <w:rPr>
          <w:sz w:val="18"/>
          <w:szCs w:val="18"/>
        </w:rPr>
        <w:t>st those using cloud storage.</w:t>
      </w:r>
    </w:p>
  </w:footnote>
  <w:footnote w:id="29">
    <w:p w:rsidR="002430DD" w:rsidRDefault="0008761B">
      <w:pPr>
        <w:pStyle w:val="FootnoteText"/>
        <w:keepLines/>
        <w:jc w:val="left"/>
        <w:rPr>
          <w:sz w:val="18"/>
          <w:szCs w:val="18"/>
        </w:rPr>
      </w:pPr>
      <w:r>
        <w:rPr>
          <w:rStyle w:val="FootnoteReference"/>
          <w:sz w:val="18"/>
          <w:szCs w:val="18"/>
        </w:rPr>
        <w:footnoteRef/>
      </w:r>
      <w:r>
        <w:rPr>
          <w:sz w:val="18"/>
          <w:szCs w:val="18"/>
        </w:rPr>
        <w:t xml:space="preserve"> Kaspersky Lab. 2012. Perception and knowledge of IT threats: the consumer’s point of view. </w:t>
      </w:r>
      <w:hyperlink r:id="rId4" w:history="1">
        <w:r>
          <w:rPr>
            <w:rStyle w:val="Hyperlink"/>
            <w:sz w:val="18"/>
            <w:szCs w:val="18"/>
          </w:rPr>
          <w:t>https://www.kaspersky.c</w:t>
        </w:r>
        <w:r>
          <w:rPr>
            <w:rStyle w:val="Hyperlink"/>
            <w:sz w:val="18"/>
            <w:szCs w:val="18"/>
          </w:rPr>
          <w:t>om/downloads/pdf/kaspersky-lab_ok-consumer-survey-report_eng_final.pdf</w:t>
        </w:r>
      </w:hyperlink>
      <w:r>
        <w:rPr>
          <w:sz w:val="18"/>
          <w:szCs w:val="18"/>
        </w:rPr>
        <w:t xml:space="preserve">  </w:t>
      </w:r>
    </w:p>
  </w:footnote>
  <w:footnote w:id="30">
    <w:p w:rsidR="002430DD" w:rsidRDefault="0008761B">
      <w:pPr>
        <w:pStyle w:val="FootnoteText"/>
        <w:keepLines/>
        <w:rPr>
          <w:sz w:val="18"/>
          <w:szCs w:val="18"/>
        </w:rPr>
      </w:pPr>
      <w:r>
        <w:rPr>
          <w:rStyle w:val="FootnoteReference"/>
          <w:sz w:val="18"/>
          <w:szCs w:val="18"/>
        </w:rPr>
        <w:footnoteRef/>
      </w:r>
      <w:r>
        <w:rPr>
          <w:sz w:val="18"/>
          <w:szCs w:val="18"/>
        </w:rPr>
        <w:t xml:space="preserve"> There exists potential overlap in consumers between product categories, therefore the estimate is derived from ‘games – intangible medium’, which is the maximum number of consumers </w:t>
      </w:r>
      <w:r>
        <w:rPr>
          <w:sz w:val="18"/>
          <w:szCs w:val="18"/>
        </w:rPr>
        <w:t xml:space="preserve">affected in one category. It is likely the number will exceed 70 million - however it is not possible to deduce the precise number from the information available. </w:t>
      </w:r>
    </w:p>
  </w:footnote>
  <w:footnote w:id="31">
    <w:p w:rsidR="002430DD" w:rsidRDefault="0008761B">
      <w:pPr>
        <w:pStyle w:val="FootnoteText"/>
        <w:keepLines/>
        <w:rPr>
          <w:sz w:val="18"/>
          <w:szCs w:val="18"/>
        </w:rPr>
      </w:pPr>
      <w:r>
        <w:rPr>
          <w:rStyle w:val="FootnoteReference"/>
          <w:sz w:val="18"/>
          <w:szCs w:val="18"/>
        </w:rPr>
        <w:footnoteRef/>
      </w:r>
      <w:r>
        <w:rPr>
          <w:sz w:val="18"/>
          <w:szCs w:val="18"/>
        </w:rPr>
        <w:t xml:space="preserve"> Annex 3 p. 214 Table 60.</w:t>
      </w:r>
    </w:p>
  </w:footnote>
  <w:footnote w:id="32">
    <w:p w:rsidR="002430DD" w:rsidRDefault="0008761B">
      <w:pPr>
        <w:pStyle w:val="FootnoteText"/>
        <w:keepLines/>
        <w:jc w:val="left"/>
        <w:rPr>
          <w:sz w:val="18"/>
          <w:szCs w:val="18"/>
        </w:rPr>
      </w:pPr>
      <w:r>
        <w:rPr>
          <w:rStyle w:val="FootnoteReference"/>
          <w:sz w:val="18"/>
          <w:szCs w:val="18"/>
        </w:rPr>
        <w:footnoteRef/>
      </w:r>
      <w:r>
        <w:rPr>
          <w:sz w:val="18"/>
          <w:szCs w:val="18"/>
        </w:rPr>
        <w:t xml:space="preserve"> Kaspersky Lab. 2012. Perception and knowledge of IT threats: th</w:t>
      </w:r>
      <w:r>
        <w:rPr>
          <w:sz w:val="18"/>
          <w:szCs w:val="18"/>
        </w:rPr>
        <w:t xml:space="preserve">e consumer’s point of view. </w:t>
      </w:r>
      <w:hyperlink r:id="rId5" w:history="1">
        <w:r>
          <w:rPr>
            <w:rStyle w:val="Hyperlink"/>
            <w:sz w:val="18"/>
            <w:szCs w:val="18"/>
          </w:rPr>
          <w:t>https://www.kaspersky.com/downloads/pdf/kaspersky-lab_ok-consumer-survey-report_eng_final.pdf</w:t>
        </w:r>
      </w:hyperlink>
    </w:p>
  </w:footnote>
  <w:footnote w:id="33">
    <w:p w:rsidR="002430DD" w:rsidRDefault="0008761B">
      <w:pPr>
        <w:pStyle w:val="FootnoteText"/>
        <w:keepLines/>
        <w:jc w:val="left"/>
        <w:rPr>
          <w:sz w:val="18"/>
          <w:lang w:val="fr-BE"/>
        </w:rPr>
      </w:pPr>
      <w:r>
        <w:rPr>
          <w:rStyle w:val="FootnoteReference"/>
          <w:sz w:val="18"/>
          <w:szCs w:val="18"/>
        </w:rPr>
        <w:footnoteRef/>
      </w:r>
      <w:r>
        <w:rPr>
          <w:sz w:val="18"/>
          <w:szCs w:val="18"/>
        </w:rPr>
        <w:t xml:space="preserve"> NetworkComputing, 2013</w:t>
      </w:r>
      <w:r>
        <w:rPr>
          <w:sz w:val="18"/>
          <w:szCs w:val="18"/>
        </w:rPr>
        <w:t xml:space="preserve">. 8 Great Cloud Storage Services. </w:t>
      </w:r>
      <w:r>
        <w:rPr>
          <w:sz w:val="18"/>
          <w:lang w:val="fr-BE"/>
        </w:rPr>
        <w:t xml:space="preserve">Available: </w:t>
      </w:r>
      <w:hyperlink r:id="rId6" w:history="1">
        <w:r>
          <w:rPr>
            <w:rStyle w:val="Hyperlink"/>
            <w:sz w:val="18"/>
            <w:lang w:val="fr-BE"/>
          </w:rPr>
          <w:t>http://www.networkcomputing.com/cloud-infrastructure/8-great-cloud-storage-services/d/d-id/1109155</w:t>
        </w:r>
      </w:hyperlink>
      <w:r>
        <w:rPr>
          <w:sz w:val="18"/>
          <w:lang w:val="fr-BE"/>
        </w:rPr>
        <w:t xml:space="preserve">? </w:t>
      </w:r>
    </w:p>
  </w:footnote>
  <w:footnote w:id="34">
    <w:p w:rsidR="002430DD" w:rsidRDefault="0008761B">
      <w:pPr>
        <w:pStyle w:val="FootnoteText"/>
        <w:keepLines/>
        <w:rPr>
          <w:sz w:val="18"/>
          <w:lang w:val="fr-BE"/>
        </w:rPr>
      </w:pPr>
      <w:r>
        <w:rPr>
          <w:rStyle w:val="FootnoteReference"/>
          <w:sz w:val="18"/>
          <w:szCs w:val="18"/>
        </w:rPr>
        <w:footnoteRef/>
      </w:r>
      <w:r>
        <w:rPr>
          <w:sz w:val="18"/>
          <w:lang w:val="fr-BE"/>
        </w:rPr>
        <w:t xml:space="preserve"> </w:t>
      </w:r>
      <w:hyperlink r:id="rId7" w:history="1">
        <w:r>
          <w:rPr>
            <w:rStyle w:val="Hyperlink"/>
            <w:sz w:val="18"/>
            <w:lang w:val="fr-BE"/>
          </w:rPr>
          <w:t>http://www.agcm.it/en/newsroom/press-releases/2380-whatsapp-fined-for-3-million-euro-for-having-forced-its-users-to-share-their-personal-data-with-facebook.html</w:t>
        </w:r>
      </w:hyperlink>
    </w:p>
  </w:footnote>
  <w:footnote w:id="35">
    <w:p w:rsidR="002430DD" w:rsidRDefault="0008761B">
      <w:pPr>
        <w:pStyle w:val="FootnoteText"/>
        <w:keepLines/>
        <w:rPr>
          <w:sz w:val="18"/>
          <w:lang w:val="fr-BE"/>
        </w:rPr>
      </w:pPr>
      <w:r>
        <w:rPr>
          <w:rStyle w:val="FootnoteReference"/>
          <w:sz w:val="18"/>
        </w:rPr>
        <w:footnoteRef/>
      </w:r>
      <w:r>
        <w:rPr>
          <w:sz w:val="18"/>
          <w:lang w:val="fr-BE"/>
        </w:rPr>
        <w:t xml:space="preserve"> </w:t>
      </w:r>
      <w:hyperlink r:id="rId8" w:history="1">
        <w:r>
          <w:rPr>
            <w:rStyle w:val="Hyperlink"/>
            <w:sz w:val="18"/>
            <w:lang w:val="fr-BE"/>
          </w:rPr>
          <w:t>https://ssl.marktwaechter.de/pressemeldung/online-dating-abzocke-fakes-und-schlechter-datenschutz</w:t>
        </w:r>
      </w:hyperlink>
    </w:p>
  </w:footnote>
  <w:footnote w:id="36">
    <w:p w:rsidR="002430DD" w:rsidRDefault="0008761B">
      <w:pPr>
        <w:pStyle w:val="FootnoteText"/>
        <w:keepLines/>
        <w:rPr>
          <w:sz w:val="18"/>
        </w:rPr>
      </w:pPr>
      <w:r>
        <w:rPr>
          <w:rStyle w:val="FootnoteReference"/>
          <w:sz w:val="18"/>
        </w:rPr>
        <w:footnoteRef/>
      </w:r>
      <w:r>
        <w:rPr>
          <w:sz w:val="18"/>
        </w:rPr>
        <w:t xml:space="preserve"> "When assessing whether consent is freely gi</w:t>
      </w:r>
      <w:r>
        <w:rPr>
          <w:sz w:val="18"/>
        </w:rPr>
        <w:t>ven, one shall take into account as one out of several aspects whether consent is a condition for the performance of a contract (Article 7(4) Regulation (EU) 2016/679). In that regard, consent is presumed not to be freely given if the performance of a cont</w:t>
      </w:r>
      <w:r>
        <w:rPr>
          <w:sz w:val="18"/>
        </w:rPr>
        <w:t>ract, including the provision of a service, is dependent on the consent despite such consent not being necessary for such performance". Non-paper of the Commission services on the relationship between the Proposal for a Directive on certain aspects concern</w:t>
      </w:r>
      <w:r>
        <w:rPr>
          <w:sz w:val="18"/>
        </w:rPr>
        <w:t xml:space="preserve">ing contracts for the supply of Digital content and EU Data protection, 2015/0287 (COD). </w:t>
      </w:r>
    </w:p>
  </w:footnote>
  <w:footnote w:id="37">
    <w:p w:rsidR="002430DD" w:rsidRDefault="0008761B">
      <w:pPr>
        <w:pStyle w:val="FootnoteText"/>
        <w:keepLines/>
        <w:rPr>
          <w:sz w:val="18"/>
          <w:szCs w:val="18"/>
        </w:rPr>
      </w:pPr>
      <w:r>
        <w:rPr>
          <w:rStyle w:val="FootnoteReference"/>
          <w:sz w:val="18"/>
        </w:rPr>
        <w:footnoteRef/>
      </w:r>
      <w:r>
        <w:rPr>
          <w:rStyle w:val="FootnoteReference"/>
          <w:sz w:val="18"/>
        </w:rPr>
        <w:t xml:space="preserve"> </w:t>
      </w:r>
      <w:r>
        <w:rPr>
          <w:sz w:val="18"/>
        </w:rPr>
        <w:t xml:space="preserve">Question 36: </w:t>
      </w:r>
      <w:r>
        <w:rPr>
          <w:sz w:val="18"/>
          <w:szCs w:val="18"/>
        </w:rPr>
        <w:t>68% of individuals (58 out of 85 respondents) strongly/tend to agree that lack of pre-contractual information is problematic and creates harm when usin</w:t>
      </w:r>
      <w:r>
        <w:rPr>
          <w:sz w:val="18"/>
          <w:szCs w:val="18"/>
        </w:rPr>
        <w:t>g "free" digital services cross-border; similar percentage applies for lack of a withdrawal right: 66% of individuals (57 out of 86 respondents) strongly/tend to agree this being problematic.</w:t>
      </w:r>
    </w:p>
  </w:footnote>
  <w:footnote w:id="38">
    <w:p w:rsidR="002430DD" w:rsidRDefault="0008761B">
      <w:pPr>
        <w:pStyle w:val="FootnoteText"/>
        <w:keepLines/>
        <w:rPr>
          <w:sz w:val="18"/>
          <w:szCs w:val="18"/>
        </w:rPr>
      </w:pPr>
      <w:r>
        <w:rPr>
          <w:rStyle w:val="FootnoteReference"/>
          <w:sz w:val="18"/>
        </w:rPr>
        <w:footnoteRef/>
      </w:r>
      <w:r>
        <w:rPr>
          <w:sz w:val="18"/>
          <w:szCs w:val="18"/>
        </w:rPr>
        <w:t xml:space="preserve"> </w:t>
      </w:r>
      <w:r>
        <w:rPr>
          <w:sz w:val="18"/>
        </w:rPr>
        <w:t>Questions 36 and 40 in the public consultation</w:t>
      </w:r>
      <w:r>
        <w:rPr>
          <w:sz w:val="18"/>
          <w:szCs w:val="18"/>
        </w:rPr>
        <w:t>. Please see fig</w:t>
      </w:r>
      <w:r>
        <w:rPr>
          <w:sz w:val="18"/>
          <w:szCs w:val="18"/>
        </w:rPr>
        <w:t>ures 3-6.</w:t>
      </w:r>
    </w:p>
  </w:footnote>
  <w:footnote w:id="39">
    <w:p w:rsidR="002430DD" w:rsidRDefault="0008761B">
      <w:pPr>
        <w:pStyle w:val="FootnoteText"/>
        <w:keepLines/>
        <w:rPr>
          <w:sz w:val="18"/>
          <w:szCs w:val="18"/>
        </w:rPr>
      </w:pPr>
      <w:r>
        <w:rPr>
          <w:rStyle w:val="FootnoteReference"/>
          <w:sz w:val="18"/>
        </w:rPr>
        <w:footnoteRef/>
      </w:r>
      <w:r>
        <w:rPr>
          <w:sz w:val="18"/>
          <w:szCs w:val="18"/>
        </w:rPr>
        <w:t>Question 92 of the public consultation. The only responding company also considered these costs unreasonable.</w:t>
      </w:r>
    </w:p>
  </w:footnote>
  <w:footnote w:id="40">
    <w:p w:rsidR="002430DD" w:rsidRDefault="0008761B">
      <w:pPr>
        <w:pStyle w:val="FootnoteText"/>
        <w:keepLines/>
        <w:rPr>
          <w:sz w:val="18"/>
        </w:rPr>
      </w:pPr>
      <w:r>
        <w:rPr>
          <w:rStyle w:val="FootnoteReference"/>
          <w:sz w:val="18"/>
        </w:rPr>
        <w:footnoteRef/>
      </w:r>
      <w:r>
        <w:rPr>
          <w:sz w:val="18"/>
        </w:rPr>
        <w:t xml:space="preserve"> Behavioural experiment for the Fitness Check. For details see Fitness Check report, p. 65 – 67.  </w:t>
      </w:r>
    </w:p>
  </w:footnote>
  <w:footnote w:id="41">
    <w:p w:rsidR="002430DD" w:rsidRDefault="0008761B">
      <w:pPr>
        <w:pStyle w:val="FootnoteText"/>
        <w:keepLines/>
        <w:rPr>
          <w:sz w:val="18"/>
        </w:rPr>
      </w:pPr>
      <w:r>
        <w:rPr>
          <w:rStyle w:val="FootnoteReference"/>
          <w:sz w:val="18"/>
        </w:rPr>
        <w:footnoteRef/>
      </w:r>
      <w:r>
        <w:rPr>
          <w:sz w:val="18"/>
        </w:rPr>
        <w:t xml:space="preserve"> Consumer survey for the Fitness C</w:t>
      </w:r>
      <w:r>
        <w:rPr>
          <w:sz w:val="18"/>
        </w:rPr>
        <w:t>heck, question: ‘</w:t>
      </w:r>
      <w:r>
        <w:rPr>
          <w:i/>
          <w:sz w:val="18"/>
        </w:rPr>
        <w:t>When you see an online advertisement or advertisement on a poster for a good or a service, how important is it for you to receive the following information already in the advertisement? Note that you will receive all the same and even more</w:t>
      </w:r>
      <w:r>
        <w:rPr>
          <w:i/>
          <w:sz w:val="18"/>
        </w:rPr>
        <w:t xml:space="preserve"> information about the product and contract terms when actually visiting the (online) shop concerned</w:t>
      </w:r>
      <w:r>
        <w:rPr>
          <w:sz w:val="18"/>
        </w:rPr>
        <w:t>’. For details see Fitness Check report, p. 65 – 67.</w:t>
      </w:r>
    </w:p>
  </w:footnote>
  <w:footnote w:id="42">
    <w:p w:rsidR="002430DD" w:rsidRDefault="0008761B">
      <w:pPr>
        <w:pStyle w:val="FootnoteText"/>
        <w:keepLines/>
        <w:rPr>
          <w:sz w:val="18"/>
          <w:szCs w:val="18"/>
        </w:rPr>
      </w:pPr>
      <w:r>
        <w:rPr>
          <w:rStyle w:val="FootnoteReference"/>
          <w:sz w:val="18"/>
          <w:szCs w:val="18"/>
        </w:rPr>
        <w:footnoteRef/>
      </w:r>
      <w:r>
        <w:rPr>
          <w:sz w:val="18"/>
          <w:szCs w:val="18"/>
        </w:rPr>
        <w:t xml:space="preserve"> 34 out of the 94 respondents for the unduly tested goods, and 31 out of the 91 respondents for early </w:t>
      </w:r>
      <w:r>
        <w:rPr>
          <w:sz w:val="18"/>
          <w:szCs w:val="18"/>
        </w:rPr>
        <w:t>reimbursement.</w:t>
      </w:r>
    </w:p>
  </w:footnote>
  <w:footnote w:id="43">
    <w:p w:rsidR="002430DD" w:rsidRDefault="0008761B">
      <w:pPr>
        <w:pStyle w:val="FootnoteText"/>
        <w:keepLines/>
        <w:rPr>
          <w:sz w:val="18"/>
          <w:szCs w:val="18"/>
        </w:rPr>
      </w:pPr>
      <w:r>
        <w:rPr>
          <w:rStyle w:val="FootnoteReference"/>
          <w:sz w:val="18"/>
          <w:szCs w:val="18"/>
        </w:rPr>
        <w:footnoteRef/>
      </w:r>
      <w:r>
        <w:rPr>
          <w:sz w:val="18"/>
          <w:szCs w:val="18"/>
        </w:rPr>
        <w:t xml:space="preserve"> Respectively 34% (32 companies) 'often' or 'a few times' for used goods, and 32% (29 companies) 'often' or 'a few times' for early reimbursement. Only two companies experienced such problems 'once'.</w:t>
      </w:r>
    </w:p>
  </w:footnote>
  <w:footnote w:id="44">
    <w:p w:rsidR="002430DD" w:rsidRDefault="0008761B">
      <w:pPr>
        <w:pStyle w:val="FootnoteText"/>
        <w:keepLines/>
        <w:rPr>
          <w:sz w:val="18"/>
          <w:szCs w:val="18"/>
        </w:rPr>
      </w:pPr>
      <w:r>
        <w:rPr>
          <w:rStyle w:val="FootnoteReference"/>
          <w:sz w:val="18"/>
          <w:szCs w:val="18"/>
        </w:rPr>
        <w:footnoteRef/>
      </w:r>
      <w:r>
        <w:rPr>
          <w:sz w:val="18"/>
          <w:szCs w:val="18"/>
        </w:rPr>
        <w:t xml:space="preserve"> 24 out of the 64 responding SMEs for t</w:t>
      </w:r>
      <w:r>
        <w:rPr>
          <w:sz w:val="18"/>
          <w:szCs w:val="18"/>
        </w:rPr>
        <w:t>he unduly tested goods and 21 out of the 62 responding SMEs for early reimbursement.</w:t>
      </w:r>
    </w:p>
  </w:footnote>
  <w:footnote w:id="45">
    <w:p w:rsidR="002430DD" w:rsidRDefault="0008761B">
      <w:pPr>
        <w:pStyle w:val="FootnoteText"/>
        <w:keepLines/>
        <w:rPr>
          <w:sz w:val="18"/>
          <w:szCs w:val="18"/>
        </w:rPr>
      </w:pPr>
      <w:r>
        <w:rPr>
          <w:rStyle w:val="FootnoteReference"/>
          <w:sz w:val="18"/>
          <w:szCs w:val="18"/>
        </w:rPr>
        <w:footnoteRef/>
      </w:r>
      <w:r>
        <w:rPr>
          <w:sz w:val="18"/>
          <w:szCs w:val="18"/>
        </w:rPr>
        <w:t xml:space="preserve"> Authorities from the following countries: Germany, Romania, United Kingdom, Czech Republic, Netherlands, Luxembourg, Norway, Finland, Cyprus, Italy, Hungary, Austria, Po</w:t>
      </w:r>
      <w:r>
        <w:rPr>
          <w:sz w:val="18"/>
          <w:szCs w:val="18"/>
        </w:rPr>
        <w:t>rtugal, Latvia.</w:t>
      </w:r>
    </w:p>
  </w:footnote>
  <w:footnote w:id="46">
    <w:p w:rsidR="002430DD" w:rsidRDefault="0008761B">
      <w:pPr>
        <w:pStyle w:val="FootnoteText"/>
        <w:keepLines/>
        <w:rPr>
          <w:sz w:val="18"/>
          <w:szCs w:val="18"/>
        </w:rPr>
      </w:pPr>
      <w:r>
        <w:rPr>
          <w:rStyle w:val="FootnoteReference"/>
          <w:sz w:val="18"/>
          <w:szCs w:val="18"/>
        </w:rPr>
        <w:footnoteRef/>
      </w:r>
      <w:r>
        <w:rPr>
          <w:sz w:val="18"/>
          <w:szCs w:val="18"/>
        </w:rPr>
        <w:t xml:space="preserve"> For 2 consumer associations, 7 MS authorities, 1 of 'other' category right of withdrawal for unduly tested goods is rather important, while 'early reimbursement' is rather important for 1 consumer associations, 8 MS authorities, and 2 of </w:t>
      </w:r>
      <w:r>
        <w:rPr>
          <w:sz w:val="18"/>
          <w:szCs w:val="18"/>
        </w:rPr>
        <w:t>'other' category.</w:t>
      </w:r>
    </w:p>
  </w:footnote>
  <w:footnote w:id="47">
    <w:p w:rsidR="002430DD" w:rsidRDefault="0008761B">
      <w:pPr>
        <w:pStyle w:val="FootnoteText"/>
        <w:keepLines/>
        <w:rPr>
          <w:sz w:val="18"/>
          <w:szCs w:val="18"/>
        </w:rPr>
      </w:pPr>
      <w:r>
        <w:rPr>
          <w:rStyle w:val="FootnoteReference"/>
          <w:sz w:val="18"/>
          <w:szCs w:val="18"/>
        </w:rPr>
        <w:footnoteRef/>
      </w:r>
      <w:r>
        <w:rPr>
          <w:sz w:val="18"/>
          <w:szCs w:val="18"/>
        </w:rPr>
        <w:t xml:space="preserve"> For 12 consumer associations, 5 MS authorities, 4 of 'other' category Row for unduly tested goods is very important, while 'early reimbursement' is very important for 13 consumer associations, 4 MS authorities, and 4 of 'other' category</w:t>
      </w:r>
      <w:r>
        <w:rPr>
          <w:sz w:val="18"/>
          <w:szCs w:val="18"/>
        </w:rPr>
        <w:t>.</w:t>
      </w:r>
    </w:p>
  </w:footnote>
  <w:footnote w:id="48">
    <w:p w:rsidR="002430DD" w:rsidRDefault="002430DD">
      <w:pPr>
        <w:keepLines/>
        <w:rPr>
          <w:sz w:val="18"/>
        </w:rPr>
      </w:pPr>
    </w:p>
  </w:footnote>
  <w:footnote w:id="49">
    <w:p w:rsidR="002430DD" w:rsidRDefault="0008761B">
      <w:pPr>
        <w:pStyle w:val="FootnoteText"/>
      </w:pPr>
      <w:r>
        <w:rPr>
          <w:rStyle w:val="FootnoteReference"/>
        </w:rPr>
        <w:footnoteRef/>
      </w:r>
      <w:r>
        <w:t xml:space="preserve"> Please note that remedies and penalties are two different legal provisions. </w:t>
      </w:r>
    </w:p>
  </w:footnote>
  <w:footnote w:id="50">
    <w:p w:rsidR="002430DD" w:rsidRDefault="0008761B">
      <w:pPr>
        <w:pStyle w:val="FootnoteText"/>
        <w:ind w:left="180" w:hanging="180"/>
        <w:rPr>
          <w:lang w:val="en-US"/>
        </w:rPr>
      </w:pPr>
      <w:r>
        <w:rPr>
          <w:rStyle w:val="FootnoteReference"/>
        </w:rPr>
        <w:footnoteRef/>
      </w:r>
      <w:r>
        <w:t xml:space="preserve"> </w:t>
      </w:r>
      <w:r>
        <w:rPr>
          <w:lang w:val="en-US"/>
        </w:rPr>
        <w:t>See the report “</w:t>
      </w:r>
      <w:r>
        <w:t>Consumers' attitudes towards cross-border trade and consumer protection 2016” (</w:t>
      </w:r>
      <w:hyperlink r:id="rId9" w:history="1">
        <w:r>
          <w:rPr>
            <w:rStyle w:val="Hyperlink"/>
          </w:rPr>
          <w:t>http://ec.europa.eu/consumers/consumer_evidence/consumer_scoreboards/survey_consumers_retailers/index_en.htm</w:t>
        </w:r>
      </w:hyperlink>
      <w:r>
        <w:t xml:space="preserve">) </w:t>
      </w:r>
      <w:r>
        <w:rPr>
          <w:lang w:val="en-US"/>
        </w:rPr>
        <w:t>for a detailed descript</w:t>
      </w:r>
      <w:r>
        <w:rPr>
          <w:lang w:val="en-US"/>
        </w:rPr>
        <w:t>ion of the Survey and the survey methodology implemented.</w:t>
      </w:r>
    </w:p>
  </w:footnote>
  <w:footnote w:id="51">
    <w:p w:rsidR="002430DD" w:rsidRDefault="0008761B">
      <w:pPr>
        <w:pStyle w:val="FootnoteText"/>
        <w:ind w:left="180" w:hanging="180"/>
        <w:rPr>
          <w:lang w:val="en-US"/>
        </w:rPr>
      </w:pPr>
      <w:r>
        <w:rPr>
          <w:rStyle w:val="FootnoteReference"/>
        </w:rPr>
        <w:footnoteRef/>
      </w:r>
      <w:hyperlink r:id="rId10" w:history="1">
        <w:r>
          <w:rPr>
            <w:rStyle w:val="Hyperlink"/>
          </w:rPr>
          <w:t>http://ec.europa.eu/consumers/consumer_evidence/consumer_scoreboards/sur</w:t>
        </w:r>
        <w:r>
          <w:rPr>
            <w:rStyle w:val="Hyperlink"/>
          </w:rPr>
          <w:t>vey_consumers_retailers/index_en.htm</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DD" w:rsidRDefault="002430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0FF2"/>
    <w:multiLevelType w:val="hybridMultilevel"/>
    <w:tmpl w:val="C540AE2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9AF3A4D"/>
    <w:multiLevelType w:val="hybridMultilevel"/>
    <w:tmpl w:val="FF54D748"/>
    <w:lvl w:ilvl="0" w:tplc="A0EE43A2">
      <w:start w:val="1"/>
      <w:numFmt w:val="bullet"/>
      <w:pStyle w:val="JRCTextbulletedlist1"/>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6D37B8"/>
    <w:multiLevelType w:val="hybridMultilevel"/>
    <w:tmpl w:val="60029A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0872EC"/>
    <w:multiLevelType w:val="hybridMultilevel"/>
    <w:tmpl w:val="5E181312"/>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C73FBA"/>
    <w:multiLevelType w:val="hybridMultilevel"/>
    <w:tmpl w:val="67BC133C"/>
    <w:lvl w:ilvl="0" w:tplc="6EEA97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DA25C9"/>
    <w:multiLevelType w:val="hybridMultilevel"/>
    <w:tmpl w:val="B7C2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8">
    <w:nsid w:val="1C261749"/>
    <w:multiLevelType w:val="hybridMultilevel"/>
    <w:tmpl w:val="EF38D47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C15007"/>
    <w:multiLevelType w:val="hybridMultilevel"/>
    <w:tmpl w:val="BE344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020ACF"/>
    <w:multiLevelType w:val="hybridMultilevel"/>
    <w:tmpl w:val="B8DEC2D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119032E"/>
    <w:multiLevelType w:val="multilevel"/>
    <w:tmpl w:val="3A8EA71A"/>
    <w:lvl w:ilvl="0">
      <w:start w:val="1"/>
      <w:numFmt w:val="decimal"/>
      <w:pStyle w:val="ListNumber"/>
      <w:lvlText w:val="(%1)"/>
      <w:lvlJc w:val="left"/>
      <w:pPr>
        <w:tabs>
          <w:tab w:val="num" w:pos="709"/>
        </w:tabs>
        <w:ind w:left="709" w:hanging="709"/>
      </w:pPr>
      <w:rPr>
        <w:rFonts w:hint="default"/>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3007DED"/>
    <w:multiLevelType w:val="hybridMultilevel"/>
    <w:tmpl w:val="92A2DDDA"/>
    <w:lvl w:ilvl="0" w:tplc="297AB3F0">
      <w:start w:val="9"/>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41C7CD9"/>
    <w:multiLevelType w:val="hybridMultilevel"/>
    <w:tmpl w:val="DEA8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C03F59"/>
    <w:multiLevelType w:val="hybridMultilevel"/>
    <w:tmpl w:val="0C64D5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01096E"/>
    <w:multiLevelType w:val="hybridMultilevel"/>
    <w:tmpl w:val="4C4A1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CF124E"/>
    <w:multiLevelType w:val="hybridMultilevel"/>
    <w:tmpl w:val="58A8BFDE"/>
    <w:lvl w:ilvl="0" w:tplc="44B8DD18">
      <w:start w:val="1"/>
      <w:numFmt w:val="decimal"/>
      <w:pStyle w:val="JRCTextnumberedlist1"/>
      <w:lvlText w:val="%1."/>
      <w:lvlJc w:val="left"/>
      <w:pPr>
        <w:ind w:left="720" w:hanging="360"/>
      </w:pPr>
    </w:lvl>
    <w:lvl w:ilvl="1" w:tplc="4F049BF6">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ACF7DB0"/>
    <w:multiLevelType w:val="multilevel"/>
    <w:tmpl w:val="203887C4"/>
    <w:lvl w:ilvl="0">
      <w:start w:val="1"/>
      <w:numFmt w:val="decimal"/>
      <w:pStyle w:val="JRCLevel-1title"/>
      <w:lvlText w:val="%1"/>
      <w:lvlJc w:val="left"/>
      <w:pPr>
        <w:ind w:left="574" w:hanging="432"/>
      </w:pPr>
      <w:rPr>
        <w:rFonts w:hint="default"/>
      </w:rPr>
    </w:lvl>
    <w:lvl w:ilvl="1">
      <w:start w:val="1"/>
      <w:numFmt w:val="decimal"/>
      <w:pStyle w:val="JRCLevel-2title"/>
      <w:lvlText w:val="%1.%2"/>
      <w:lvlJc w:val="left"/>
      <w:pPr>
        <w:ind w:left="576" w:hanging="576"/>
      </w:pPr>
      <w:rPr>
        <w:rFonts w:hint="default"/>
      </w:rPr>
    </w:lvl>
    <w:lvl w:ilvl="2">
      <w:start w:val="1"/>
      <w:numFmt w:val="decimal"/>
      <w:pStyle w:val="JRCLevel-3title"/>
      <w:lvlText w:val="%1.%2.%3"/>
      <w:lvlJc w:val="left"/>
      <w:pPr>
        <w:ind w:left="720" w:hanging="720"/>
      </w:pPr>
      <w:rPr>
        <w:rFonts w:hint="default"/>
      </w:rPr>
    </w:lvl>
    <w:lvl w:ilvl="3">
      <w:start w:val="1"/>
      <w:numFmt w:val="decimal"/>
      <w:pStyle w:val="JRCLevel-4title"/>
      <w:lvlText w:val="%1.%2.%3.%4"/>
      <w:lvlJc w:val="left"/>
      <w:pPr>
        <w:ind w:left="864" w:hanging="864"/>
      </w:pPr>
      <w:rPr>
        <w:rFonts w:hint="default"/>
      </w:rPr>
    </w:lvl>
    <w:lvl w:ilvl="4">
      <w:start w:val="1"/>
      <w:numFmt w:val="decimal"/>
      <w:pStyle w:val="JRCLevel-5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D375280"/>
    <w:multiLevelType w:val="hybridMultilevel"/>
    <w:tmpl w:val="0436CE44"/>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2E110BDB"/>
    <w:multiLevelType w:val="hybridMultilevel"/>
    <w:tmpl w:val="1654D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1576AD"/>
    <w:multiLevelType w:val="hybridMultilevel"/>
    <w:tmpl w:val="AE04865E"/>
    <w:lvl w:ilvl="0" w:tplc="2A0A10D2">
      <w:start w:val="1"/>
      <w:numFmt w:val="bullet"/>
      <w:pStyle w:val="JRCTextbulletedlist2"/>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2F75468D"/>
    <w:multiLevelType w:val="hybridMultilevel"/>
    <w:tmpl w:val="C2AC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5AF28D5"/>
    <w:multiLevelType w:val="hybridMultilevel"/>
    <w:tmpl w:val="6986C9C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35B06652"/>
    <w:multiLevelType w:val="hybridMultilevel"/>
    <w:tmpl w:val="95A0C814"/>
    <w:lvl w:ilvl="0" w:tplc="F1CCACB8">
      <w:numFmt w:val="bullet"/>
      <w:lvlText w:val="-"/>
      <w:lvlJc w:val="left"/>
      <w:pPr>
        <w:ind w:left="720"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9DE31CA"/>
    <w:multiLevelType w:val="hybridMultilevel"/>
    <w:tmpl w:val="9C063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6">
    <w:nsid w:val="3D994504"/>
    <w:multiLevelType w:val="hybridMultilevel"/>
    <w:tmpl w:val="EB328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7129E3"/>
    <w:multiLevelType w:val="hybridMultilevel"/>
    <w:tmpl w:val="63E6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1902C7"/>
    <w:multiLevelType w:val="hybridMultilevel"/>
    <w:tmpl w:val="60C00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9557A0D"/>
    <w:multiLevelType w:val="hybridMultilevel"/>
    <w:tmpl w:val="AF3C428E"/>
    <w:lvl w:ilvl="0" w:tplc="897E1E24">
      <w:start w:val="1"/>
      <w:numFmt w:val="lowerLetter"/>
      <w:lvlText w:val="(%1)"/>
      <w:lvlJc w:val="left"/>
      <w:pPr>
        <w:ind w:left="1210" w:hanging="360"/>
      </w:pPr>
      <w:rPr>
        <w:rFonts w:hint="default"/>
      </w:rPr>
    </w:lvl>
    <w:lvl w:ilvl="1" w:tplc="18090019">
      <w:start w:val="1"/>
      <w:numFmt w:val="lowerLetter"/>
      <w:lvlText w:val="%2."/>
      <w:lvlJc w:val="left"/>
      <w:pPr>
        <w:ind w:left="1930" w:hanging="360"/>
      </w:pPr>
    </w:lvl>
    <w:lvl w:ilvl="2" w:tplc="1809001B" w:tentative="1">
      <w:start w:val="1"/>
      <w:numFmt w:val="lowerRoman"/>
      <w:lvlText w:val="%3."/>
      <w:lvlJc w:val="right"/>
      <w:pPr>
        <w:ind w:left="2650" w:hanging="180"/>
      </w:pPr>
    </w:lvl>
    <w:lvl w:ilvl="3" w:tplc="1809000F" w:tentative="1">
      <w:start w:val="1"/>
      <w:numFmt w:val="decimal"/>
      <w:lvlText w:val="%4."/>
      <w:lvlJc w:val="left"/>
      <w:pPr>
        <w:ind w:left="3370" w:hanging="360"/>
      </w:pPr>
    </w:lvl>
    <w:lvl w:ilvl="4" w:tplc="18090019" w:tentative="1">
      <w:start w:val="1"/>
      <w:numFmt w:val="lowerLetter"/>
      <w:lvlText w:val="%5."/>
      <w:lvlJc w:val="left"/>
      <w:pPr>
        <w:ind w:left="4090" w:hanging="360"/>
      </w:pPr>
    </w:lvl>
    <w:lvl w:ilvl="5" w:tplc="1809001B" w:tentative="1">
      <w:start w:val="1"/>
      <w:numFmt w:val="lowerRoman"/>
      <w:lvlText w:val="%6."/>
      <w:lvlJc w:val="right"/>
      <w:pPr>
        <w:ind w:left="4810" w:hanging="180"/>
      </w:pPr>
    </w:lvl>
    <w:lvl w:ilvl="6" w:tplc="1809000F" w:tentative="1">
      <w:start w:val="1"/>
      <w:numFmt w:val="decimal"/>
      <w:lvlText w:val="%7."/>
      <w:lvlJc w:val="left"/>
      <w:pPr>
        <w:ind w:left="5530" w:hanging="360"/>
      </w:pPr>
    </w:lvl>
    <w:lvl w:ilvl="7" w:tplc="18090019" w:tentative="1">
      <w:start w:val="1"/>
      <w:numFmt w:val="lowerLetter"/>
      <w:lvlText w:val="%8."/>
      <w:lvlJc w:val="left"/>
      <w:pPr>
        <w:ind w:left="6250" w:hanging="360"/>
      </w:pPr>
    </w:lvl>
    <w:lvl w:ilvl="8" w:tplc="1809001B" w:tentative="1">
      <w:start w:val="1"/>
      <w:numFmt w:val="lowerRoman"/>
      <w:lvlText w:val="%9."/>
      <w:lvlJc w:val="right"/>
      <w:pPr>
        <w:ind w:left="6970" w:hanging="180"/>
      </w:pPr>
    </w:lvl>
  </w:abstractNum>
  <w:abstractNum w:abstractNumId="30">
    <w:nsid w:val="498374B3"/>
    <w:multiLevelType w:val="multilevel"/>
    <w:tmpl w:val="896EDAC2"/>
    <w:lvl w:ilvl="0">
      <w:start w:val="1"/>
      <w:numFmt w:val="decimal"/>
      <w:pStyle w:val="Heading1"/>
      <w:lvlText w:val="%1"/>
      <w:lvlJc w:val="left"/>
      <w:pPr>
        <w:ind w:left="432" w:hanging="432"/>
      </w:pPr>
    </w:lvl>
    <w:lvl w:ilvl="1">
      <w:start w:val="1"/>
      <w:numFmt w:val="decimal"/>
      <w:lvlText w:val="%1.%2"/>
      <w:lvlJc w:val="left"/>
      <w:pPr>
        <w:ind w:left="128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4FF23C34"/>
    <w:multiLevelType w:val="hybridMultilevel"/>
    <w:tmpl w:val="A9165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52D6F6F"/>
    <w:multiLevelType w:val="hybridMultilevel"/>
    <w:tmpl w:val="C6342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57A76AF"/>
    <w:multiLevelType w:val="hybridMultilevel"/>
    <w:tmpl w:val="AF78F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D926850"/>
    <w:multiLevelType w:val="hybridMultilevel"/>
    <w:tmpl w:val="2B2C82B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nsid w:val="5DC92D56"/>
    <w:multiLevelType w:val="multilevel"/>
    <w:tmpl w:val="B7D01DEC"/>
    <w:lvl w:ilvl="0">
      <w:start w:val="1"/>
      <w:numFmt w:val="decimal"/>
      <w:lvlText w:val="%1."/>
      <w:lvlJc w:val="left"/>
      <w:pPr>
        <w:ind w:left="720" w:hanging="360"/>
      </w:pPr>
    </w:lvl>
    <w:lvl w:ilvl="1">
      <w:start w:val="1"/>
      <w:numFmt w:val="decimal"/>
      <w:lvlText w:val="%2)"/>
      <w:lvlJc w:val="left"/>
      <w:pPr>
        <w:ind w:left="1485" w:hanging="405"/>
      </w:pPr>
      <w:rPr>
        <w:rFonts w:hint="default"/>
      </w:rPr>
    </w:lvl>
    <w:lvl w:ilvl="2">
      <w:start w:val="1"/>
      <w:numFmt w:val="decimal"/>
      <w:lvlText w:val="(%3)"/>
      <w:lvlJc w:val="left"/>
      <w:pPr>
        <w:ind w:left="2352" w:hanging="372"/>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5E703381"/>
    <w:multiLevelType w:val="multilevel"/>
    <w:tmpl w:val="2716BEF4"/>
    <w:lvl w:ilvl="0">
      <w:start w:val="1"/>
      <w:numFmt w:val="bullet"/>
      <w:lvlText w:val=""/>
      <w:lvlJc w:val="left"/>
      <w:pPr>
        <w:tabs>
          <w:tab w:val="num" w:pos="709"/>
        </w:tabs>
        <w:ind w:left="709" w:hanging="709"/>
      </w:pPr>
      <w:rPr>
        <w:rFonts w:ascii="Symbol" w:hAnsi="Symbol" w:hint="default"/>
      </w:rPr>
    </w:lvl>
    <w:lvl w:ilvl="1">
      <w:start w:val="1"/>
      <w:numFmt w:val="lowerLetter"/>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6C3D2E28"/>
    <w:multiLevelType w:val="hybridMultilevel"/>
    <w:tmpl w:val="BDC85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8">
    <w:nsid w:val="6EFE66B6"/>
    <w:multiLevelType w:val="hybridMultilevel"/>
    <w:tmpl w:val="2618E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451AFF"/>
    <w:multiLevelType w:val="hybridMultilevel"/>
    <w:tmpl w:val="5ADAE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72F6254B"/>
    <w:multiLevelType w:val="hybridMultilevel"/>
    <w:tmpl w:val="B7D01DEC"/>
    <w:lvl w:ilvl="0" w:tplc="0809000F">
      <w:start w:val="1"/>
      <w:numFmt w:val="decimal"/>
      <w:lvlText w:val="%1."/>
      <w:lvlJc w:val="left"/>
      <w:pPr>
        <w:ind w:left="720" w:hanging="360"/>
      </w:pPr>
    </w:lvl>
    <w:lvl w:ilvl="1" w:tplc="42D68160">
      <w:start w:val="1"/>
      <w:numFmt w:val="decimal"/>
      <w:lvlText w:val="%2)"/>
      <w:lvlJc w:val="left"/>
      <w:pPr>
        <w:ind w:left="1485" w:hanging="405"/>
      </w:pPr>
      <w:rPr>
        <w:rFonts w:hint="default"/>
      </w:rPr>
    </w:lvl>
    <w:lvl w:ilvl="2" w:tplc="44049CC4">
      <w:start w:val="1"/>
      <w:numFmt w:val="decimal"/>
      <w:lvlText w:val="(%3)"/>
      <w:lvlJc w:val="left"/>
      <w:pPr>
        <w:ind w:left="2352" w:hanging="372"/>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30E1F0A"/>
    <w:multiLevelType w:val="hybridMultilevel"/>
    <w:tmpl w:val="E8D4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8C1DAA"/>
    <w:multiLevelType w:val="hybridMultilevel"/>
    <w:tmpl w:val="BB227E4E"/>
    <w:lvl w:ilvl="0" w:tplc="C30C32CA">
      <w:start w:val="1"/>
      <w:numFmt w:val="decimal"/>
      <w:pStyle w:val="FigureEconomisit"/>
      <w:lvlText w:val="Figure %1"/>
      <w:lvlJc w:val="left"/>
      <w:pPr>
        <w:ind w:left="1134" w:hanging="1134"/>
      </w:pPr>
      <w:rPr>
        <w:rFonts w:ascii="Arial Bold" w:hAnsi="Arial Bold" w:cs="Times New Roman" w:hint="default"/>
        <w:b/>
        <w:i w:val="0"/>
        <w:color w:val="595959" w:themeColor="text1" w:themeTint="A6"/>
        <w:sz w:val="20"/>
        <w:szCs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76AF5CC7"/>
    <w:multiLevelType w:val="multilevel"/>
    <w:tmpl w:val="D2D8303A"/>
    <w:styleLink w:val="Bullets"/>
    <w:lvl w:ilvl="0">
      <w:start w:val="1"/>
      <w:numFmt w:val="bullet"/>
      <w:pStyle w:val="Bullet1"/>
      <w:lvlText w:val=""/>
      <w:lvlJc w:val="left"/>
      <w:pPr>
        <w:tabs>
          <w:tab w:val="num" w:pos="340"/>
        </w:tabs>
        <w:ind w:left="34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themeColor="text2"/>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44">
    <w:nsid w:val="7CBE4812"/>
    <w:multiLevelType w:val="singleLevel"/>
    <w:tmpl w:val="23C821E4"/>
    <w:name w:val="Considérant"/>
    <w:lvl w:ilvl="0">
      <w:start w:val="1"/>
      <w:numFmt w:val="decimal"/>
      <w:lvlRestart w:val="0"/>
      <w:lvlText w:val="(%1)"/>
      <w:lvlJc w:val="left"/>
      <w:pPr>
        <w:tabs>
          <w:tab w:val="num" w:pos="709"/>
        </w:tabs>
        <w:ind w:left="709" w:hanging="709"/>
      </w:pPr>
    </w:lvl>
  </w:abstractNum>
  <w:abstractNum w:abstractNumId="45">
    <w:nsid w:val="7EED1CB9"/>
    <w:multiLevelType w:val="hybridMultilevel"/>
    <w:tmpl w:val="1CE2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0"/>
  </w:num>
  <w:num w:numId="4">
    <w:abstractNumId w:val="3"/>
  </w:num>
  <w:num w:numId="5">
    <w:abstractNumId w:val="25"/>
  </w:num>
  <w:num w:numId="6">
    <w:abstractNumId w:val="6"/>
  </w:num>
  <w:num w:numId="7">
    <w:abstractNumId w:val="21"/>
  </w:num>
  <w:num w:numId="8">
    <w:abstractNumId w:val="43"/>
  </w:num>
  <w:num w:numId="9">
    <w:abstractNumId w:val="45"/>
  </w:num>
  <w:num w:numId="10">
    <w:abstractNumId w:val="9"/>
  </w:num>
  <w:num w:numId="11">
    <w:abstractNumId w:val="2"/>
  </w:num>
  <w:num w:numId="12">
    <w:abstractNumId w:val="41"/>
  </w:num>
  <w:num w:numId="13">
    <w:abstractNumId w:val="42"/>
  </w:num>
  <w:num w:numId="14">
    <w:abstractNumId w:val="33"/>
  </w:num>
  <w:num w:numId="15">
    <w:abstractNumId w:val="32"/>
  </w:num>
  <w:num w:numId="16">
    <w:abstractNumId w:val="24"/>
  </w:num>
  <w:num w:numId="17">
    <w:abstractNumId w:val="26"/>
  </w:num>
  <w:num w:numId="18">
    <w:abstractNumId w:val="27"/>
  </w:num>
  <w:num w:numId="19">
    <w:abstractNumId w:val="38"/>
  </w:num>
  <w:num w:numId="20">
    <w:abstractNumId w:val="40"/>
  </w:num>
  <w:num w:numId="21">
    <w:abstractNumId w:val="22"/>
  </w:num>
  <w:num w:numId="22">
    <w:abstractNumId w:val="10"/>
  </w:num>
  <w:num w:numId="23">
    <w:abstractNumId w:val="15"/>
  </w:num>
  <w:num w:numId="24">
    <w:abstractNumId w:val="1"/>
  </w:num>
  <w:num w:numId="25">
    <w:abstractNumId w:val="17"/>
  </w:num>
  <w:num w:numId="26">
    <w:abstractNumId w:val="4"/>
  </w:num>
  <w:num w:numId="27">
    <w:abstractNumId w:val="16"/>
  </w:num>
  <w:num w:numId="28">
    <w:abstractNumId w:val="20"/>
  </w:num>
  <w:num w:numId="29">
    <w:abstractNumId w:val="18"/>
  </w:num>
  <w:num w:numId="30">
    <w:abstractNumId w:val="34"/>
  </w:num>
  <w:num w:numId="31">
    <w:abstractNumId w:val="36"/>
  </w:num>
  <w:num w:numId="32">
    <w:abstractNumId w:val="5"/>
  </w:num>
  <w:num w:numId="33">
    <w:abstractNumId w:val="8"/>
  </w:num>
  <w:num w:numId="34">
    <w:abstractNumId w:val="19"/>
  </w:num>
  <w:num w:numId="35">
    <w:abstractNumId w:val="28"/>
  </w:num>
  <w:num w:numId="36">
    <w:abstractNumId w:val="14"/>
  </w:num>
  <w:num w:numId="37">
    <w:abstractNumId w:val="11"/>
  </w:num>
  <w:num w:numId="38">
    <w:abstractNumId w:val="35"/>
  </w:num>
  <w:num w:numId="39">
    <w:abstractNumId w:val="13"/>
  </w:num>
  <w:num w:numId="40">
    <w:abstractNumId w:val="23"/>
  </w:num>
  <w:num w:numId="41">
    <w:abstractNumId w:val="39"/>
  </w:num>
  <w:num w:numId="42">
    <w:abstractNumId w:val="39"/>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12"/>
  </w:num>
  <w:num w:numId="46">
    <w:abstractNumId w:val="37"/>
  </w:num>
  <w:num w:numId="47">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de-DE" w:vendorID="64" w:dllVersion="131078" w:nlCheck="1" w:checkStyle="0"/>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it-IT" w:vendorID="64" w:dllVersion="131078" w:nlCheck="1" w:checkStyle="0"/>
  <w:defaultTabStop w:val="720"/>
  <w:hyphenationZone w:val="425"/>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7D8C755E-7645-4C7B-81FD-4D3835E4E87F"/>
    <w:docVar w:name="LW_COVERPAGE_TYPE" w:val="1"/>
    <w:docVar w:name="LW_CROSSREFERENCE" w:val="{COM(2018) 184 final}_x000b_{SWD(2018) 98 final}"/>
    <w:docVar w:name="LW_DocType" w:val="NORMAL"/>
    <w:docVar w:name="LW_EMISSION" w:val="11.4.2018"/>
    <w:docVar w:name="LW_EMISSION_ISODATE" w:val="2018-04-11"/>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lt;UNUSED&gt;"/>
    <w:docVar w:name="LW_PART_NBR" w:val="3"/>
    <w:docVar w:name="LW_PART_NBR_TOTAL" w:val="3"/>
    <w:docVar w:name="LW_REF.INST.NEW" w:val="SWD"/>
    <w:docVar w:name="LW_REF.INST.NEW_ADOPTED" w:val="final"/>
    <w:docVar w:name="LW_REF.INST.NEW_TEXT" w:val="(2018) 9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s for_x000b__x000b_DIRECTIVES OF THE EUROPEAN PARLIAMENT AND OF THE COUNCIL_x000b__x000b_(1) amending Council Directive 93/13/EEC, Directive 98/6/EC of the European Parliament and of the Council, Directive 2005/29/EC of the European Parliament and of the Council and Directive 2011/83/EU of teh European Parliament and of the Council as regards better enforcement and modernisation of EU consumer protection rules_x000b__x000b_and _x000b__x000b_(2) on representative actions for the protection of the collective interests of consumers, and repealing Directive 2009/22/EC"/>
  </w:docVars>
  <w:rsids>
    <w:rsidRoot w:val="002430DD"/>
    <w:rsid w:val="0008761B"/>
    <w:rsid w:val="00243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w:uiPriority="0"/>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uto"/>
      <w:jc w:val="both"/>
    </w:pPr>
    <w:rPr>
      <w:rFonts w:ascii="Times New Roman" w:hAnsi="Times New Roman" w:cs="Times New Roman"/>
      <w:sz w:val="24"/>
      <w:szCs w:val="24"/>
      <w:lang w:val="en-IE"/>
    </w:rPr>
  </w:style>
  <w:style w:type="paragraph" w:styleId="Heading1">
    <w:name w:val="heading 1"/>
    <w:basedOn w:val="Normal"/>
    <w:next w:val="Normal"/>
    <w:link w:val="Heading1Char"/>
    <w:uiPriority w:val="9"/>
    <w:qFormat/>
    <w:pPr>
      <w:keepNext/>
      <w:keepLines/>
      <w:numPr>
        <w:numId w:val="1"/>
      </w:numPr>
      <w:spacing w:before="240" w:after="0"/>
      <w:outlineLvl w:val="0"/>
    </w:pPr>
    <w:rPr>
      <w:rFonts w:eastAsiaTheme="majorEastAsia"/>
      <w:b/>
      <w:bCs/>
      <w:color w:val="365F91" w:themeColor="accent1" w:themeShade="BF"/>
      <w:szCs w:val="28"/>
    </w:rPr>
  </w:style>
  <w:style w:type="paragraph" w:styleId="Heading2">
    <w:name w:val="heading 2"/>
    <w:basedOn w:val="Normal"/>
    <w:next w:val="Normal"/>
    <w:link w:val="Heading2Char"/>
    <w:autoRedefine/>
    <w:uiPriority w:val="9"/>
    <w:unhideWhenUsed/>
    <w:qFormat/>
    <w:pPr>
      <w:keepNext/>
      <w:keepLines/>
      <w:spacing w:before="200"/>
      <w:outlineLvl w:val="1"/>
    </w:pPr>
    <w:rPr>
      <w:rFonts w:eastAsiaTheme="majorEastAsia"/>
      <w:b/>
      <w:bCs/>
      <w:color w:val="4F81BD" w:themeColor="accent1"/>
      <w:sz w:val="22"/>
      <w:szCs w:val="22"/>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styleId="Header">
    <w:name w:val="header"/>
    <w:basedOn w:val="Normal"/>
    <w:link w:val="HeaderChar"/>
    <w:uiPriority w:val="99"/>
    <w:unhideWhenUsed/>
    <w:pPr>
      <w:tabs>
        <w:tab w:val="center" w:pos="4535"/>
        <w:tab w:val="right" w:pos="9071"/>
      </w:tabs>
    </w:pPr>
    <w:rPr>
      <w:szCs w:val="22"/>
    </w:rPr>
  </w:style>
  <w:style w:type="character" w:customStyle="1" w:styleId="HeaderChar">
    <w:name w:val="Header Char"/>
    <w:basedOn w:val="DefaultParagraphFont"/>
    <w:link w:val="Header"/>
    <w:uiPriority w:val="99"/>
    <w:rPr>
      <w:rFonts w:ascii="Times New Roman" w:hAnsi="Times New Roman" w:cs="Times New Roman"/>
      <w:sz w:val="24"/>
      <w:lang w:val="en-GB"/>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szCs w:val="22"/>
    </w:rPr>
  </w:style>
  <w:style w:type="character" w:customStyle="1" w:styleId="FooterChar">
    <w:name w:val="Footer Char"/>
    <w:basedOn w:val="DefaultParagraphFont"/>
    <w:link w:val="Footer"/>
    <w:uiPriority w:val="99"/>
    <w:rPr>
      <w:rFonts w:ascii="Times New Roman" w:hAnsi="Times New Roman" w:cs="Times New Roman"/>
      <w:sz w:val="24"/>
      <w:lang w:val="en-GB"/>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cs="Times New Roman"/>
      <w:sz w:val="24"/>
      <w:szCs w:val="24"/>
      <w:lang w:val="en-IE"/>
    </w:rPr>
  </w:style>
  <w:style w:type="paragraph" w:customStyle="1" w:styleId="HeaderCoverPage">
    <w:name w:val="Header Cover Page"/>
    <w:basedOn w:val="Normal"/>
    <w:link w:val="HeaderCoverPageChar"/>
    <w:pPr>
      <w:tabs>
        <w:tab w:val="center" w:pos="4535"/>
        <w:tab w:val="right" w:pos="9071"/>
      </w:tabs>
    </w:pPr>
  </w:style>
  <w:style w:type="character" w:customStyle="1" w:styleId="HeaderCoverPageChar">
    <w:name w:val="Header Cover Page Char"/>
    <w:basedOn w:val="DefaultParagraphFont"/>
    <w:link w:val="HeaderCoverPage"/>
    <w:rPr>
      <w:rFonts w:ascii="Times New Roman" w:hAnsi="Times New Roman" w:cs="Times New Roman"/>
      <w:sz w:val="24"/>
      <w:szCs w:val="24"/>
      <w:lang w:val="en-IE"/>
    </w:rPr>
  </w:style>
  <w:style w:type="character" w:customStyle="1" w:styleId="Heading1Char">
    <w:name w:val="Heading 1 Char"/>
    <w:basedOn w:val="DefaultParagraphFont"/>
    <w:link w:val="Heading1"/>
    <w:uiPriority w:val="9"/>
    <w:rPr>
      <w:rFonts w:ascii="Times New Roman" w:eastAsiaTheme="majorEastAsia" w:hAnsi="Times New Roman" w:cs="Times New Roman"/>
      <w:b/>
      <w:bCs/>
      <w:color w:val="365F91" w:themeColor="accent1" w:themeShade="BF"/>
      <w:sz w:val="24"/>
      <w:szCs w:val="28"/>
      <w:lang w:val="en-IE"/>
    </w:rPr>
  </w:style>
  <w:style w:type="character" w:customStyle="1" w:styleId="Heading2Char">
    <w:name w:val="Heading 2 Char"/>
    <w:basedOn w:val="DefaultParagraphFont"/>
    <w:link w:val="Heading2"/>
    <w:uiPriority w:val="9"/>
    <w:rPr>
      <w:rFonts w:ascii="Times New Roman" w:eastAsiaTheme="majorEastAsia" w:hAnsi="Times New Roman" w:cs="Times New Roman"/>
      <w:b/>
      <w:bCs/>
      <w:color w:val="4F81BD" w:themeColor="accent1"/>
      <w:lang w:val="en-IE"/>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szCs w:val="24"/>
      <w:lang w:val="en-GB"/>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sz w:val="24"/>
      <w:szCs w:val="24"/>
      <w:lang w:val="en-GB"/>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4"/>
      <w:szCs w:val="24"/>
      <w:lang w:val="en-GB"/>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4"/>
      <w:szCs w:val="24"/>
      <w:lang w:val="en-GB"/>
    </w:rPr>
  </w:style>
  <w:style w:type="paragraph" w:styleId="Title">
    <w:name w:val="Title"/>
    <w:basedOn w:val="Normal"/>
    <w:next w:val="Normal"/>
    <w:link w:val="TitleChar"/>
    <w:uiPriority w:val="10"/>
    <w:qFormat/>
    <w:pPr>
      <w:spacing w:after="300"/>
      <w:contextualSpacing/>
    </w:pPr>
    <w:rPr>
      <w:rFonts w:eastAsiaTheme="majorEastAsia"/>
      <w:b/>
      <w:color w:val="548DD4" w:themeColor="text2" w:themeTint="99"/>
      <w:spacing w:val="5"/>
      <w:kern w:val="28"/>
      <w:sz w:val="28"/>
      <w:szCs w:val="28"/>
    </w:rPr>
  </w:style>
  <w:style w:type="character" w:customStyle="1" w:styleId="TitleChar">
    <w:name w:val="Title Char"/>
    <w:basedOn w:val="DefaultParagraphFont"/>
    <w:link w:val="Title"/>
    <w:uiPriority w:val="10"/>
    <w:rPr>
      <w:rFonts w:ascii="Times New Roman" w:eastAsiaTheme="majorEastAsia" w:hAnsi="Times New Roman" w:cs="Times New Roman"/>
      <w:b/>
      <w:color w:val="548DD4" w:themeColor="text2" w:themeTint="99"/>
      <w:spacing w:val="5"/>
      <w:kern w:val="28"/>
      <w:sz w:val="28"/>
      <w:szCs w:val="28"/>
      <w:lang w:val="en-GB"/>
    </w:rPr>
  </w:style>
  <w:style w:type="paragraph" w:styleId="TOCHeading">
    <w:name w:val="TOC Heading"/>
    <w:basedOn w:val="Heading1"/>
    <w:next w:val="Normal"/>
    <w:uiPriority w:val="39"/>
    <w:unhideWhenUsed/>
    <w:qFormat/>
    <w:pPr>
      <w:outlineLvl w:val="9"/>
    </w:pPr>
    <w:rPr>
      <w:lang w:eastAsia="ja-JP"/>
    </w:rPr>
  </w:style>
  <w:style w:type="paragraph" w:styleId="TOC1">
    <w:name w:val="toc 1"/>
    <w:basedOn w:val="Normal"/>
    <w:next w:val="Normal"/>
    <w:autoRedefine/>
    <w:uiPriority w:val="39"/>
    <w:unhideWhenUsed/>
    <w:pPr>
      <w:tabs>
        <w:tab w:val="left" w:pos="440"/>
        <w:tab w:val="right" w:leader="dot" w:pos="9396"/>
      </w:tabs>
      <w:spacing w:after="100"/>
      <w:ind w:right="-141"/>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Fiche List Paragraph,L"/>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lang w:val="en-GB"/>
    </w:rPr>
  </w:style>
  <w:style w:type="table" w:styleId="TableGrid">
    <w:name w:val="Table Grid"/>
    <w:aliases w:val="Document Table,CV1,TabelEcorys,CV table,Deloitte,Table Grid IDEA,Table EY"/>
    <w:basedOn w:val="TableNormal"/>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n-GB"/>
    </w:rPr>
  </w:style>
  <w:style w:type="paragraph" w:styleId="FootnoteText">
    <w:name w:val="footnote text"/>
    <w:aliases w:val="Fußnotentextf,Fußnote,Fuﬂnotentextf,Footnote Text Blue,Geneva 9,Font: Geneva 9,Boston 10,f,Footnote Text Char Char Char Char Char Char,Tekst przypisu,Schriftart: 9 pt,Schriftart: 10 pt,Schriftart: 8 pt,WB-Fußnotentext,fn,Fotnotstext1,Char"/>
    <w:basedOn w:val="Normal"/>
    <w:link w:val="FootnoteTextChar"/>
    <w:uiPriority w:val="99"/>
    <w:unhideWhenUsed/>
    <w:qFormat/>
    <w:pPr>
      <w:spacing w:after="0"/>
    </w:pPr>
    <w:rPr>
      <w:sz w:val="20"/>
      <w:szCs w:val="20"/>
    </w:rPr>
  </w:style>
  <w:style w:type="character" w:customStyle="1" w:styleId="FootnoteTextChar">
    <w:name w:val="Footnote Text Char"/>
    <w:aliases w:val="Fußnotentextf Char,Fußnote Char,Fuﬂnotentextf Char,Footnote Text Blue Char,Geneva 9 Char,Font: Geneva 9 Char,Boston 10 Char,f Char,Footnote Text Char Char Char Char Char Char Char,Tekst przypisu Char,Schriftart: 9 pt Char,fn Char"/>
    <w:basedOn w:val="DefaultParagraphFont"/>
    <w:link w:val="FootnoteText"/>
    <w:uiPriority w:val="99"/>
    <w:qFormat/>
    <w:rPr>
      <w:sz w:val="20"/>
      <w:szCs w:val="20"/>
    </w:rPr>
  </w:style>
  <w:style w:type="character" w:styleId="FootnoteReference">
    <w:name w:val="footnote reference"/>
    <w:aliases w:val="Footnote Reference Number,Footnote Reference_LVL6,Footnote Reference_LVL61,Footnote Reference_LVL62,Footnote Reference_LVL63,Footnote Reference_LVL64,SUPERS,Footnote Reference Superscript,BVI fnr,Footnote symbol,Footnote sign, BVI fnr"/>
    <w:basedOn w:val="DefaultParagraphFont"/>
    <w:link w:val="FootnotesymbolCarZchn"/>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pPr>
    <w:rPr>
      <w:rFonts w:eastAsia="Times New Roman"/>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paragraph" w:styleId="CommentSubject">
    <w:name w:val="annotation subject"/>
    <w:basedOn w:val="CommentText"/>
    <w:next w:val="CommentText"/>
    <w:link w:val="CommentSubjectChar"/>
    <w:uiPriority w:val="99"/>
    <w:semiHidden/>
    <w:unhideWhenUsed/>
    <w:rPr>
      <w:b/>
      <w:bCs/>
      <w:lang w:val="en-U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BodyText">
    <w:name w:val="Body Text"/>
    <w:basedOn w:val="Normal"/>
    <w:link w:val="BodyTextChar"/>
    <w:uiPriority w:val="1"/>
    <w:qFormat/>
    <w:pPr>
      <w:widowControl w:val="0"/>
      <w:spacing w:after="0"/>
      <w:ind w:left="110"/>
    </w:pPr>
    <w:rPr>
      <w:rFonts w:ascii="Arial Unicode MS" w:eastAsia="Arial Unicode MS" w:hAnsi="Arial Unicode MS"/>
      <w:sz w:val="21"/>
      <w:szCs w:val="21"/>
    </w:rPr>
  </w:style>
  <w:style w:type="character" w:customStyle="1" w:styleId="BodyTextChar">
    <w:name w:val="Body Text Char"/>
    <w:basedOn w:val="DefaultParagraphFont"/>
    <w:link w:val="BodyText"/>
    <w:uiPriority w:val="1"/>
    <w:rPr>
      <w:rFonts w:ascii="Arial Unicode MS" w:eastAsia="Arial Unicode MS" w:hAnsi="Arial Unicode MS"/>
      <w:sz w:val="21"/>
      <w:szCs w:val="21"/>
    </w:rPr>
  </w:style>
  <w:style w:type="paragraph" w:styleId="Revision">
    <w:name w:val="Revision"/>
    <w:hidden/>
    <w:uiPriority w:val="99"/>
    <w:semiHidden/>
    <w:pPr>
      <w:spacing w:after="0" w:line="240" w:lineRule="auto"/>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tabs>
        <w:tab w:val="right" w:leader="dot" w:pos="9396"/>
      </w:tabs>
      <w:spacing w:after="100"/>
      <w:ind w:left="440"/>
    </w:p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basedOn w:val="DefaultParagraphFont"/>
    <w:link w:val="ListParagraph"/>
    <w:uiPriority w:val="34"/>
    <w:qFormat/>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rPr>
  </w:style>
  <w:style w:type="paragraph" w:styleId="Subtitle">
    <w:name w:val="Subtitle"/>
    <w:basedOn w:val="Normal"/>
    <w:next w:val="Normal"/>
    <w:link w:val="SubtitleChar"/>
    <w:uiPriority w:val="11"/>
    <w:qFormat/>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lang w:val="en-GB"/>
    </w:rPr>
  </w:style>
  <w:style w:type="table" w:customStyle="1" w:styleId="TableGrid1">
    <w:name w:val="Table Grid1"/>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rPr>
      <w:rFonts w:ascii="Calibri" w:eastAsia="Times New Roman"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ource">
    <w:name w:val="Table source"/>
    <w:basedOn w:val="Normal"/>
    <w:link w:val="TablesourceChar"/>
    <w:qFormat/>
    <w:pPr>
      <w:keepNext/>
      <w:keepLines/>
      <w:spacing w:before="60" w:after="360"/>
    </w:pPr>
    <w:rPr>
      <w:rFonts w:asciiTheme="minorHAnsi" w:eastAsia="Times New Roman" w:hAnsiTheme="minorHAnsi"/>
      <w:sz w:val="18"/>
      <w:szCs w:val="18"/>
    </w:rPr>
  </w:style>
  <w:style w:type="character" w:customStyle="1" w:styleId="TablesourceChar">
    <w:name w:val="Table source Char"/>
    <w:basedOn w:val="DefaultParagraphFont"/>
    <w:link w:val="Tablesource"/>
    <w:rPr>
      <w:rFonts w:eastAsia="Times New Roman" w:cs="Times New Roman"/>
      <w:sz w:val="18"/>
      <w:szCs w:val="18"/>
      <w:lang w:val="en-GB"/>
    </w:rPr>
  </w:style>
  <w:style w:type="paragraph" w:customStyle="1" w:styleId="FootnoteText1">
    <w:name w:val="Footnote Text1"/>
    <w:basedOn w:val="FootnoteText"/>
    <w:link w:val="FootnotetextChar0"/>
    <w:autoRedefine/>
    <w:qFormat/>
    <w:pPr>
      <w:keepLines/>
    </w:pPr>
    <w:rPr>
      <w:rFonts w:eastAsia="Calibri"/>
      <w:color w:val="000000" w:themeColor="text1"/>
      <w:szCs w:val="22"/>
      <w:lang w:eastAsia="en-GB"/>
    </w:rPr>
  </w:style>
  <w:style w:type="character" w:customStyle="1" w:styleId="FootnotetextChar0">
    <w:name w:val="Footnote text Char"/>
    <w:basedOn w:val="DefaultParagraphFont"/>
    <w:link w:val="FootnoteText1"/>
    <w:rPr>
      <w:rFonts w:ascii="Times New Roman" w:eastAsia="Calibri" w:hAnsi="Times New Roman" w:cs="Times New Roman"/>
      <w:color w:val="000000" w:themeColor="text1"/>
      <w:sz w:val="20"/>
      <w:lang w:val="en-GB" w:eastAsia="en-GB"/>
    </w:rPr>
  </w:style>
  <w:style w:type="paragraph" w:customStyle="1" w:styleId="ECbodytext">
    <w:name w:val="EC body text"/>
    <w:basedOn w:val="Normal"/>
    <w:link w:val="ECbodytextChar"/>
    <w:qFormat/>
    <w:pPr>
      <w:spacing w:after="240"/>
    </w:pPr>
    <w:rPr>
      <w:rFonts w:ascii="Verdana" w:eastAsia="Times New Roman" w:hAnsi="Verdana" w:cs="Verdana"/>
      <w:color w:val="58595B"/>
      <w:sz w:val="20"/>
      <w:szCs w:val="20"/>
      <w:lang w:eastAsia="nl-BE"/>
    </w:rPr>
  </w:style>
  <w:style w:type="character" w:customStyle="1" w:styleId="ECbodytextChar">
    <w:name w:val="EC body text Char"/>
    <w:basedOn w:val="DefaultParagraphFont"/>
    <w:link w:val="ECbodytext"/>
    <w:rPr>
      <w:rFonts w:ascii="Verdana" w:eastAsia="Times New Roman" w:hAnsi="Verdana" w:cs="Verdana"/>
      <w:color w:val="58595B"/>
      <w:sz w:val="20"/>
      <w:szCs w:val="20"/>
      <w:lang w:val="en-GB" w:eastAsia="nl-BE"/>
    </w:rPr>
  </w:style>
  <w:style w:type="paragraph" w:customStyle="1" w:styleId="Tablestyle">
    <w:name w:val="Table style"/>
    <w:basedOn w:val="Normal"/>
    <w:link w:val="TablestyleChar"/>
    <w:autoRedefine/>
    <w:qFormat/>
    <w:pPr>
      <w:keepNext/>
      <w:suppressAutoHyphens/>
      <w:spacing w:after="0" w:line="280" w:lineRule="atLeast"/>
    </w:pPr>
    <w:rPr>
      <w:b/>
      <w:lang w:eastAsia="ar-SA"/>
    </w:rPr>
  </w:style>
  <w:style w:type="character" w:customStyle="1" w:styleId="TablestyleChar">
    <w:name w:val="Table style Char"/>
    <w:link w:val="Tablestyle"/>
    <w:rPr>
      <w:rFonts w:ascii="Times New Roman" w:hAnsi="Times New Roman" w:cs="Times New Roman"/>
      <w:b/>
      <w:sz w:val="24"/>
      <w:szCs w:val="24"/>
      <w:lang w:val="en-GB" w:eastAsia="ar-SA"/>
    </w:rPr>
  </w:style>
  <w:style w:type="table" w:customStyle="1" w:styleId="ECTables">
    <w:name w:val="EC Tables"/>
    <w:basedOn w:val="TableNormal"/>
    <w:uiPriority w:val="99"/>
    <w:pPr>
      <w:spacing w:after="0" w:line="240" w:lineRule="auto"/>
    </w:pPr>
    <w:rPr>
      <w:rFonts w:ascii="Verdana" w:eastAsia="Calibri" w:hAnsi="Verdana" w:cs="Times New Roman"/>
      <w:sz w:val="20"/>
      <w:szCs w:val="20"/>
      <w:lang w:eastAsia="nl-B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cPr>
    <w:tblStylePr w:type="firstRow">
      <w:rPr>
        <w:rFonts w:ascii="@Batang" w:hAnsi="@Batang"/>
        <w:b w:val="0"/>
        <w:color w:val="FFFFFF" w:themeColor="background1"/>
        <w:sz w:val="20"/>
      </w:rPr>
      <w:tblPr/>
      <w:tcPr>
        <w:shd w:val="clear" w:color="auto" w:fill="002395"/>
      </w:tcPr>
    </w:tblStyle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cs="Times New Roman"/>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before="60" w:after="160" w:line="240" w:lineRule="exact"/>
    </w:pPr>
    <w:rPr>
      <w:rFonts w:asciiTheme="minorHAnsi" w:eastAsia="Times New Roman"/>
      <w:color w:val="000000" w:themeColor="text1"/>
      <w:sz w:val="22"/>
      <w:szCs w:val="22"/>
      <w:vertAlign w:val="superscript"/>
      <w:lang w:eastAsia="en-GB"/>
    </w:rPr>
  </w:style>
  <w:style w:type="character" w:customStyle="1" w:styleId="ApprovalfooterChar">
    <w:name w:val="Approval_footer Char"/>
    <w:basedOn w:val="DefaultParagraphFont"/>
    <w:link w:val="Footerapproval"/>
    <w:locked/>
    <w:rPr>
      <w:rFonts w:ascii="Verdana" w:hAnsi="Verdana"/>
    </w:rPr>
  </w:style>
  <w:style w:type="paragraph" w:customStyle="1" w:styleId="Footerapproval">
    <w:name w:val="Footer approval"/>
    <w:basedOn w:val="Normal"/>
    <w:link w:val="ApprovalfooterChar"/>
    <w:pPr>
      <w:spacing w:after="0"/>
      <w:ind w:right="-567"/>
      <w:jc w:val="left"/>
    </w:pPr>
    <w:rPr>
      <w:rFonts w:ascii="Verdana" w:hAnsi="Verdana" w:cstheme="minorBidi"/>
      <w:sz w:val="22"/>
      <w:szCs w:val="22"/>
      <w:lang w:val="en-US"/>
    </w:rPr>
  </w:style>
  <w:style w:type="paragraph" w:customStyle="1" w:styleId="Bodynormal">
    <w:name w:val="Body normal"/>
    <w:basedOn w:val="Normal"/>
    <w:link w:val="BodynormalChar"/>
    <w:qFormat/>
    <w:pPr>
      <w:spacing w:after="240"/>
    </w:pPr>
    <w:rPr>
      <w:rFonts w:ascii="Verdana" w:eastAsia="Times New Roman" w:hAnsi="Verdana"/>
      <w:sz w:val="20"/>
      <w:szCs w:val="20"/>
      <w:lang w:eastAsia="nl-BE"/>
    </w:rPr>
  </w:style>
  <w:style w:type="character" w:customStyle="1" w:styleId="BodynormalChar">
    <w:name w:val="Body normal Char"/>
    <w:link w:val="Bodynormal"/>
    <w:rPr>
      <w:rFonts w:ascii="Verdana" w:eastAsia="Times New Roman" w:hAnsi="Verdana" w:cs="Times New Roman"/>
      <w:sz w:val="20"/>
      <w:szCs w:val="20"/>
      <w:lang w:val="en-GB" w:eastAsia="nl-BE"/>
    </w:rPr>
  </w:style>
  <w:style w:type="paragraph" w:customStyle="1" w:styleId="Tabletitle">
    <w:name w:val="Table title"/>
    <w:basedOn w:val="Normal"/>
    <w:link w:val="TabletitleChar"/>
    <w:qFormat/>
    <w:pPr>
      <w:keepNext/>
      <w:spacing w:after="180"/>
      <w:jc w:val="left"/>
    </w:pPr>
    <w:rPr>
      <w:rFonts w:ascii="Verdana" w:eastAsia="Times New Roman" w:hAnsi="Verdana"/>
      <w:b/>
      <w:i/>
      <w:sz w:val="20"/>
      <w:szCs w:val="20"/>
      <w:lang w:val="nl-BE" w:eastAsia="nl-BE"/>
    </w:rPr>
  </w:style>
  <w:style w:type="character" w:customStyle="1" w:styleId="TabletitleChar">
    <w:name w:val="Table title Char"/>
    <w:basedOn w:val="DefaultParagraphFont"/>
    <w:link w:val="Tabletitle"/>
    <w:rPr>
      <w:rFonts w:ascii="Verdana" w:eastAsia="Times New Roman" w:hAnsi="Verdana" w:cs="Times New Roman"/>
      <w:b/>
      <w:i/>
      <w:sz w:val="20"/>
      <w:szCs w:val="20"/>
      <w:lang w:val="nl-BE" w:eastAsia="nl-BE"/>
    </w:rPr>
  </w:style>
  <w:style w:type="paragraph" w:customStyle="1" w:styleId="Declassification">
    <w:name w:val="Declassification"/>
    <w:basedOn w:val="Normal"/>
    <w:next w:val="Normal"/>
    <w:pPr>
      <w:spacing w:after="0"/>
    </w:pPr>
    <w:rPr>
      <w:szCs w:val="22"/>
    </w:rPr>
  </w:style>
  <w:style w:type="paragraph" w:customStyle="1" w:styleId="HeaderLandscape">
    <w:name w:val="HeaderLandscape"/>
    <w:basedOn w:val="Normal"/>
    <w:pPr>
      <w:tabs>
        <w:tab w:val="center" w:pos="7285"/>
        <w:tab w:val="right" w:pos="14003"/>
      </w:tabs>
    </w:pPr>
    <w:rPr>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Bullet2">
    <w:name w:val="List Bullet 2"/>
    <w:basedOn w:val="Normal"/>
    <w:pPr>
      <w:numPr>
        <w:numId w:val="5"/>
      </w:numPr>
      <w:spacing w:after="240"/>
    </w:pPr>
    <w:rPr>
      <w:rFonts w:eastAsia="Times New Roman"/>
      <w:szCs w:val="20"/>
      <w:lang w:eastAsia="en-GB"/>
    </w:rPr>
  </w:style>
  <w:style w:type="paragraph" w:customStyle="1" w:styleId="TableParagraph">
    <w:name w:val="Table Paragraph"/>
    <w:basedOn w:val="Normal"/>
    <w:uiPriority w:val="1"/>
    <w:qFormat/>
    <w:pPr>
      <w:widowControl w:val="0"/>
      <w:spacing w:after="0"/>
      <w:jc w:val="left"/>
    </w:pPr>
    <w:rPr>
      <w:rFonts w:asciiTheme="minorHAnsi" w:hAnsiTheme="minorHAnsi" w:cstheme="minorBidi"/>
      <w:sz w:val="22"/>
      <w:szCs w:val="22"/>
      <w:lang w:val="en-US"/>
    </w:rPr>
  </w:style>
  <w:style w:type="character" w:styleId="IntenseEmphasis">
    <w:name w:val="Intense Emphasis"/>
    <w:basedOn w:val="DefaultParagraphFont"/>
    <w:uiPriority w:val="21"/>
    <w:qFormat/>
    <w:rPr>
      <w:b/>
      <w:bCs/>
      <w:i/>
      <w:iCs/>
      <w:color w:val="4F81BD" w:themeColor="accent1"/>
    </w:rPr>
  </w:style>
  <w:style w:type="numbering" w:customStyle="1" w:styleId="Bullets">
    <w:name w:val="Bullets"/>
    <w:aliases w:val="NumbLstBTBullet,NumbLstBullet"/>
    <w:uiPriority w:val="99"/>
    <w:pPr>
      <w:numPr>
        <w:numId w:val="8"/>
      </w:numPr>
    </w:pPr>
  </w:style>
  <w:style w:type="paragraph" w:customStyle="1" w:styleId="Bullet1">
    <w:name w:val="Bullet 1"/>
    <w:aliases w:val="Bullet1,BTBullet1"/>
    <w:basedOn w:val="Normal"/>
    <w:uiPriority w:val="6"/>
    <w:qFormat/>
    <w:pPr>
      <w:numPr>
        <w:numId w:val="8"/>
      </w:numPr>
      <w:spacing w:before="120"/>
      <w:contextualSpacing/>
      <w:jc w:val="left"/>
    </w:pPr>
    <w:rPr>
      <w:rFonts w:ascii="Verdana" w:hAnsi="Verdana" w:cstheme="minorBidi"/>
      <w:color w:val="58595B"/>
      <w:sz w:val="20"/>
      <w:szCs w:val="22"/>
    </w:rPr>
  </w:style>
  <w:style w:type="paragraph" w:customStyle="1" w:styleId="Bullet2">
    <w:name w:val="Bullet 2"/>
    <w:aliases w:val="Bullet2,BTBullet2"/>
    <w:basedOn w:val="Normal"/>
    <w:uiPriority w:val="6"/>
    <w:qFormat/>
    <w:pPr>
      <w:numPr>
        <w:ilvl w:val="1"/>
        <w:numId w:val="8"/>
      </w:numPr>
      <w:spacing w:before="120"/>
      <w:contextualSpacing/>
      <w:jc w:val="left"/>
    </w:pPr>
    <w:rPr>
      <w:rFonts w:ascii="Verdana" w:hAnsi="Verdana" w:cstheme="minorBidi"/>
      <w:color w:val="58595B"/>
      <w:sz w:val="20"/>
      <w:szCs w:val="22"/>
    </w:rPr>
  </w:style>
  <w:style w:type="paragraph" w:customStyle="1" w:styleId="Bullet3">
    <w:name w:val="Bullet 3"/>
    <w:aliases w:val="Bullet3,BTBullet3"/>
    <w:basedOn w:val="Bullet2"/>
    <w:uiPriority w:val="6"/>
    <w:qFormat/>
    <w:pPr>
      <w:numPr>
        <w:ilvl w:val="2"/>
      </w:numPr>
    </w:pPr>
  </w:style>
  <w:style w:type="character" w:customStyle="1" w:styleId="filetitle">
    <w:name w:val="file__title"/>
    <w:basedOn w:val="DefaultParagraphFont"/>
  </w:style>
  <w:style w:type="character" w:customStyle="1" w:styleId="bold1">
    <w:name w:val="bold1"/>
    <w:basedOn w:val="DefaultParagraphFont"/>
    <w:rPr>
      <w:b/>
      <w:bCs/>
    </w:r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Economisit">
    <w:name w:val="Figure Economisit"/>
    <w:basedOn w:val="Normal"/>
    <w:link w:val="FigureEconomisitChar"/>
    <w:qFormat/>
    <w:pPr>
      <w:numPr>
        <w:numId w:val="13"/>
      </w:numPr>
      <w:spacing w:before="120"/>
    </w:pPr>
    <w:rPr>
      <w:rFonts w:ascii="Arial" w:eastAsia="Times New Roman" w:hAnsi="Arial"/>
      <w:b/>
      <w:color w:val="595959" w:themeColor="text1" w:themeTint="A6"/>
      <w:sz w:val="20"/>
      <w:szCs w:val="20"/>
      <w:lang w:eastAsia="ar-SA"/>
    </w:rPr>
  </w:style>
  <w:style w:type="character" w:customStyle="1" w:styleId="FigureEconomisitChar">
    <w:name w:val="Figure Economisit Char"/>
    <w:link w:val="FigureEconomisit"/>
    <w:rPr>
      <w:rFonts w:ascii="Arial" w:eastAsia="Times New Roman" w:hAnsi="Arial" w:cs="Times New Roman"/>
      <w:b/>
      <w:color w:val="595959" w:themeColor="text1" w:themeTint="A6"/>
      <w:sz w:val="20"/>
      <w:szCs w:val="20"/>
      <w:lang w:val="en-IE" w:eastAsia="ar-SA"/>
    </w:rPr>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table" w:customStyle="1" w:styleId="CV11">
    <w:name w:val="CV11"/>
    <w:basedOn w:val="TableNormal"/>
    <w:next w:val="TableGrid"/>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pPr>
      <w:spacing w:after="0"/>
      <w:jc w:val="left"/>
    </w:pPr>
    <w:rPr>
      <w:rFonts w:ascii="Calibri" w:hAnsi="Calibri" w:cs="Consolas"/>
      <w:sz w:val="22"/>
      <w:szCs w:val="21"/>
    </w:rPr>
  </w:style>
  <w:style w:type="character" w:customStyle="1" w:styleId="PlainTextChar">
    <w:name w:val="Plain Text Char"/>
    <w:basedOn w:val="DefaultParagraphFont"/>
    <w:link w:val="PlainText"/>
    <w:uiPriority w:val="99"/>
    <w:rPr>
      <w:rFonts w:ascii="Calibri" w:hAnsi="Calibri" w:cs="Consolas"/>
      <w:szCs w:val="21"/>
      <w:lang w:val="en-GB"/>
    </w:rPr>
  </w:style>
  <w:style w:type="character" w:customStyle="1" w:styleId="Bodytext4">
    <w:name w:val="Body text (4)_"/>
    <w:basedOn w:val="DefaultParagraphFont"/>
    <w:link w:val="Bodytext40"/>
    <w:rPr>
      <w:rFonts w:ascii="Arial" w:eastAsia="Arial" w:hAnsi="Arial" w:cs="Arial"/>
      <w:sz w:val="18"/>
      <w:szCs w:val="18"/>
      <w:shd w:val="clear" w:color="auto" w:fill="FFFFFF"/>
    </w:rPr>
  </w:style>
  <w:style w:type="character" w:customStyle="1" w:styleId="Bodytext2">
    <w:name w:val="Body text (2)_"/>
    <w:basedOn w:val="DefaultParagraphFont"/>
    <w:rPr>
      <w:rFonts w:ascii="Arial" w:eastAsia="Arial" w:hAnsi="Arial" w:cs="Arial"/>
      <w:b w:val="0"/>
      <w:bCs w:val="0"/>
      <w:i w:val="0"/>
      <w:iCs w:val="0"/>
      <w:smallCaps w:val="0"/>
      <w:strike w:val="0"/>
      <w:sz w:val="22"/>
      <w:szCs w:val="22"/>
      <w:u w:val="none"/>
    </w:rPr>
  </w:style>
  <w:style w:type="character" w:customStyle="1" w:styleId="Bodytext20">
    <w:name w:val="Body text (2)"/>
    <w:basedOn w:val="Bodytext2"/>
    <w:rPr>
      <w:rFonts w:ascii="Arial" w:eastAsia="Arial" w:hAnsi="Arial" w:cs="Arial"/>
      <w:b w:val="0"/>
      <w:bCs w:val="0"/>
      <w:i w:val="0"/>
      <w:iCs w:val="0"/>
      <w:smallCaps w:val="0"/>
      <w:strike w:val="0"/>
      <w:color w:val="808080"/>
      <w:spacing w:val="0"/>
      <w:w w:val="100"/>
      <w:position w:val="0"/>
      <w:sz w:val="22"/>
      <w:szCs w:val="22"/>
      <w:u w:val="none"/>
      <w:lang w:val="fi-FI" w:eastAsia="fi-FI" w:bidi="fi-FI"/>
    </w:rPr>
  </w:style>
  <w:style w:type="character" w:customStyle="1" w:styleId="Bodytext4Exact">
    <w:name w:val="Body text (4) Exact"/>
    <w:basedOn w:val="DefaultParagraphFont"/>
    <w:rPr>
      <w:rFonts w:ascii="Arial" w:eastAsia="Arial" w:hAnsi="Arial" w:cs="Arial"/>
      <w:b w:val="0"/>
      <w:bCs w:val="0"/>
      <w:i w:val="0"/>
      <w:iCs w:val="0"/>
      <w:smallCaps w:val="0"/>
      <w:strike w:val="0"/>
      <w:sz w:val="18"/>
      <w:szCs w:val="18"/>
      <w:u w:val="none"/>
    </w:rPr>
  </w:style>
  <w:style w:type="character" w:customStyle="1" w:styleId="Tablecaption">
    <w:name w:val="Table caption_"/>
    <w:basedOn w:val="DefaultParagraphFont"/>
    <w:link w:val="Tablecaption0"/>
    <w:rPr>
      <w:rFonts w:ascii="Arial" w:eastAsia="Arial" w:hAnsi="Arial" w:cs="Arial"/>
      <w:sz w:val="18"/>
      <w:szCs w:val="18"/>
      <w:shd w:val="clear" w:color="auto" w:fill="FFFFFF"/>
    </w:rPr>
  </w:style>
  <w:style w:type="character" w:customStyle="1" w:styleId="Bodytext29pt">
    <w:name w:val="Body text (2) + 9 pt"/>
    <w:basedOn w:val="Bodytext2"/>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TablecaptionExact">
    <w:name w:val="Table caption Exact"/>
    <w:basedOn w:val="DefaultParagraphFont"/>
    <w:rPr>
      <w:rFonts w:ascii="Arial" w:eastAsia="Arial" w:hAnsi="Arial" w:cs="Arial"/>
      <w:b w:val="0"/>
      <w:bCs w:val="0"/>
      <w:i w:val="0"/>
      <w:iCs w:val="0"/>
      <w:smallCaps w:val="0"/>
      <w:strike w:val="0"/>
      <w:sz w:val="18"/>
      <w:szCs w:val="18"/>
      <w:u w:val="none"/>
    </w:rPr>
  </w:style>
  <w:style w:type="paragraph" w:customStyle="1" w:styleId="Bodytext40">
    <w:name w:val="Body text (4)"/>
    <w:basedOn w:val="Normal"/>
    <w:link w:val="Bodytext4"/>
    <w:pPr>
      <w:widowControl w:val="0"/>
      <w:shd w:val="clear" w:color="auto" w:fill="FFFFFF"/>
      <w:spacing w:after="260" w:line="221" w:lineRule="exact"/>
      <w:ind w:hanging="880"/>
      <w:jc w:val="left"/>
    </w:pPr>
    <w:rPr>
      <w:rFonts w:ascii="Arial" w:eastAsia="Arial" w:hAnsi="Arial" w:cs="Arial"/>
      <w:sz w:val="18"/>
      <w:szCs w:val="18"/>
      <w:lang w:val="en-US"/>
    </w:rPr>
  </w:style>
  <w:style w:type="paragraph" w:customStyle="1" w:styleId="Tablecaption0">
    <w:name w:val="Table caption"/>
    <w:basedOn w:val="Normal"/>
    <w:link w:val="Tablecaption"/>
    <w:pPr>
      <w:widowControl w:val="0"/>
      <w:shd w:val="clear" w:color="auto" w:fill="FFFFFF"/>
      <w:spacing w:after="0" w:line="192" w:lineRule="exact"/>
      <w:ind w:hanging="320"/>
      <w:jc w:val="left"/>
    </w:pPr>
    <w:rPr>
      <w:rFonts w:ascii="Arial" w:eastAsia="Arial" w:hAnsi="Arial" w:cs="Arial"/>
      <w:sz w:val="18"/>
      <w:szCs w:val="18"/>
      <w:lang w:val="en-US"/>
    </w:rPr>
  </w:style>
  <w:style w:type="table" w:customStyle="1" w:styleId="Deloitte1">
    <w:name w:val="Deloitte1"/>
    <w:basedOn w:val="TableNormal"/>
    <w:next w:val="TableGrid"/>
    <w:uiPriority w:val="39"/>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uiPriority w:val="99"/>
    <w:rPr>
      <w:b/>
      <w:i/>
      <w:color w:val="FF0000"/>
    </w:rPr>
  </w:style>
  <w:style w:type="paragraph" w:customStyle="1" w:styleId="Bodytext3">
    <w:name w:val="Body text (3)"/>
    <w:basedOn w:val="Normal"/>
    <w:qFormat/>
    <w:pPr>
      <w:keepNext/>
      <w:widowControl w:val="0"/>
      <w:shd w:val="clear" w:color="auto" w:fill="FFFFFF"/>
      <w:spacing w:after="380" w:line="283" w:lineRule="exact"/>
      <w:jc w:val="right"/>
    </w:pPr>
    <w:rPr>
      <w:rFonts w:ascii="Arial" w:eastAsia="Arial" w:hAnsi="Arial" w:cs="Arial"/>
      <w:b/>
      <w:bCs/>
      <w:color w:val="000000"/>
      <w:sz w:val="21"/>
      <w:szCs w:val="21"/>
      <w:lang w:val="de-DE" w:eastAsia="de-DE" w:bidi="de-DE"/>
    </w:rPr>
  </w:style>
  <w:style w:type="paragraph" w:customStyle="1" w:styleId="JRCAbbreviations">
    <w:name w:val="JRC_Abbreviations"/>
    <w:basedOn w:val="Normal"/>
    <w:qFormat/>
    <w:pPr>
      <w:tabs>
        <w:tab w:val="left" w:pos="851"/>
      </w:tabs>
      <w:spacing w:before="120"/>
      <w:ind w:left="851" w:hanging="851"/>
    </w:pPr>
    <w:rPr>
      <w:rFonts w:ascii="Verdana" w:eastAsia="Calibri" w:hAnsi="Verdana"/>
      <w:sz w:val="20"/>
      <w:szCs w:val="22"/>
    </w:rPr>
  </w:style>
  <w:style w:type="paragraph" w:customStyle="1" w:styleId="JRCCoversubtitle">
    <w:name w:val="JRC_Cover_subtitle"/>
    <w:basedOn w:val="Normal"/>
    <w:qFormat/>
    <w:pPr>
      <w:spacing w:before="120" w:line="400" w:lineRule="exact"/>
      <w:ind w:left="5103"/>
      <w:jc w:val="left"/>
    </w:pPr>
    <w:rPr>
      <w:rFonts w:ascii="Verdana" w:eastAsia="Calibri" w:hAnsi="Verdana"/>
      <w:i/>
      <w:color w:val="646464"/>
      <w:sz w:val="32"/>
      <w:szCs w:val="32"/>
    </w:rPr>
  </w:style>
  <w:style w:type="paragraph" w:customStyle="1" w:styleId="JRCCovertitle">
    <w:name w:val="JRC_Cover_title"/>
    <w:basedOn w:val="Normal"/>
    <w:qFormat/>
    <w:pPr>
      <w:spacing w:before="600" w:after="600" w:line="640" w:lineRule="exact"/>
      <w:ind w:left="-567"/>
      <w:jc w:val="left"/>
    </w:pPr>
    <w:rPr>
      <w:rFonts w:ascii="Verdana" w:eastAsia="Calibri" w:hAnsi="Verdana"/>
      <w:noProof/>
      <w:sz w:val="56"/>
      <w:szCs w:val="56"/>
      <w:lang w:eastAsia="en-GB"/>
    </w:rPr>
  </w:style>
  <w:style w:type="paragraph" w:customStyle="1" w:styleId="JRCEquation">
    <w:name w:val="JRC_Equation"/>
    <w:basedOn w:val="Normal"/>
    <w:next w:val="Normal"/>
    <w:qFormat/>
    <w:pPr>
      <w:spacing w:before="360" w:after="360"/>
      <w:jc w:val="center"/>
    </w:pPr>
    <w:rPr>
      <w:rFonts w:ascii="Verdana" w:eastAsia="Calibri" w:hAnsi="Verdana"/>
      <w:sz w:val="20"/>
      <w:szCs w:val="22"/>
    </w:rPr>
  </w:style>
  <w:style w:type="paragraph" w:customStyle="1" w:styleId="JRCFigurecaption">
    <w:name w:val="JRC_Figure_caption"/>
    <w:basedOn w:val="Normal"/>
    <w:next w:val="JRCText"/>
    <w:qFormat/>
    <w:pPr>
      <w:spacing w:before="360"/>
      <w:jc w:val="center"/>
    </w:pPr>
    <w:rPr>
      <w:rFonts w:ascii="Verdana" w:eastAsia="Calibri" w:hAnsi="Verdana"/>
      <w:sz w:val="18"/>
      <w:szCs w:val="22"/>
    </w:rPr>
  </w:style>
  <w:style w:type="paragraph" w:customStyle="1" w:styleId="JRCLevel-1Fronttitle">
    <w:name w:val="JRC_Level-1_Front_title"/>
    <w:basedOn w:val="Normal"/>
    <w:next w:val="Normal"/>
    <w:link w:val="JRCLevel-1FronttitleChar"/>
    <w:autoRedefine/>
    <w:qFormat/>
    <w:pPr>
      <w:keepNext/>
      <w:pageBreakBefore/>
      <w:jc w:val="left"/>
    </w:pPr>
    <w:rPr>
      <w:rFonts w:ascii="Verdana" w:eastAsia="Times New Roman" w:hAnsi="Verdana"/>
      <w:b/>
      <w:szCs w:val="22"/>
      <w:lang w:eastAsia="en-GB"/>
    </w:rPr>
  </w:style>
  <w:style w:type="character" w:customStyle="1" w:styleId="JRCLevel-1FronttitleChar">
    <w:name w:val="JRC_Level-1_Front_title Char"/>
    <w:link w:val="JRCLevel-1Fronttitle"/>
    <w:rPr>
      <w:rFonts w:ascii="Verdana" w:eastAsia="Times New Roman" w:hAnsi="Verdana" w:cs="Times New Roman"/>
      <w:b/>
      <w:sz w:val="24"/>
      <w:lang w:val="en-GB" w:eastAsia="en-GB"/>
    </w:rPr>
  </w:style>
  <w:style w:type="paragraph" w:customStyle="1" w:styleId="JRCLevel-2Backtitle">
    <w:name w:val="JRC_Level-2_Back_title"/>
    <w:basedOn w:val="Normal"/>
    <w:next w:val="JRCText"/>
    <w:link w:val="JRCLevel-2BacktitleChar"/>
    <w:qFormat/>
    <w:pPr>
      <w:keepNext/>
      <w:spacing w:before="120"/>
      <w:jc w:val="left"/>
      <w:outlineLvl w:val="1"/>
    </w:pPr>
    <w:rPr>
      <w:rFonts w:ascii="Verdana" w:eastAsia="Calibri" w:hAnsi="Verdana"/>
      <w:b/>
      <w:sz w:val="20"/>
      <w:szCs w:val="22"/>
    </w:rPr>
  </w:style>
  <w:style w:type="character" w:customStyle="1" w:styleId="JRCLevel-2BacktitleChar">
    <w:name w:val="JRC_Level-2_Back_title Char"/>
    <w:link w:val="JRCLevel-2Backtitle"/>
    <w:rPr>
      <w:rFonts w:ascii="Verdana" w:eastAsia="Calibri" w:hAnsi="Verdana" w:cs="Times New Roman"/>
      <w:b/>
      <w:sz w:val="20"/>
      <w:lang w:val="en-GB"/>
    </w:rPr>
  </w:style>
  <w:style w:type="paragraph" w:customStyle="1" w:styleId="JRCLevel-2Frontsmalltitle">
    <w:name w:val="JRC_Level-2_Front_small_title"/>
    <w:basedOn w:val="Normal"/>
    <w:next w:val="JRCText"/>
    <w:autoRedefine/>
    <w:qFormat/>
    <w:pPr>
      <w:keepNext/>
      <w:spacing w:before="240"/>
      <w:jc w:val="left"/>
    </w:pPr>
    <w:rPr>
      <w:rFonts w:ascii="Verdana" w:eastAsia="Calibri" w:hAnsi="Verdana"/>
      <w:b/>
      <w:i/>
      <w:sz w:val="20"/>
      <w:szCs w:val="22"/>
    </w:rPr>
  </w:style>
  <w:style w:type="paragraph" w:customStyle="1" w:styleId="JRCTabletitle">
    <w:name w:val="JRC_Table_title"/>
    <w:basedOn w:val="Normal"/>
    <w:autoRedefine/>
    <w:qFormat/>
    <w:pPr>
      <w:keepNext/>
      <w:spacing w:before="240"/>
      <w:jc w:val="left"/>
    </w:pPr>
    <w:rPr>
      <w:rFonts w:ascii="Verdana" w:eastAsia="Calibri" w:hAnsi="Verdana"/>
      <w:color w:val="000000"/>
      <w:sz w:val="18"/>
      <w:szCs w:val="22"/>
    </w:rPr>
  </w:style>
  <w:style w:type="paragraph" w:styleId="TableofFigures">
    <w:name w:val="table of figures"/>
    <w:basedOn w:val="Normal"/>
    <w:next w:val="Normal"/>
    <w:uiPriority w:val="99"/>
    <w:unhideWhenUsed/>
    <w:pPr>
      <w:spacing w:before="120"/>
      <w:jc w:val="left"/>
    </w:pPr>
    <w:rPr>
      <w:rFonts w:ascii="Verdana" w:eastAsia="Calibri" w:hAnsi="Verdana"/>
      <w:sz w:val="20"/>
      <w:szCs w:val="22"/>
    </w:rPr>
  </w:style>
  <w:style w:type="paragraph" w:customStyle="1" w:styleId="JRCText">
    <w:name w:val="JRC_Text"/>
    <w:basedOn w:val="Normal"/>
    <w:qFormat/>
    <w:pPr>
      <w:spacing w:before="120"/>
    </w:pPr>
    <w:rPr>
      <w:rFonts w:ascii="Verdana" w:eastAsia="Calibri" w:hAnsi="Verdana"/>
      <w:sz w:val="20"/>
      <w:szCs w:val="22"/>
    </w:rPr>
  </w:style>
  <w:style w:type="paragraph" w:customStyle="1" w:styleId="JRCTextbulletedlist1">
    <w:name w:val="JRC_Text_bulleted_list1"/>
    <w:basedOn w:val="Normal"/>
    <w:qFormat/>
    <w:pPr>
      <w:numPr>
        <w:numId w:val="24"/>
      </w:numPr>
      <w:spacing w:before="120"/>
    </w:pPr>
    <w:rPr>
      <w:rFonts w:ascii="Verdana" w:eastAsia="Times New Roman" w:hAnsi="Verdana"/>
      <w:sz w:val="20"/>
      <w:szCs w:val="22"/>
      <w:lang w:eastAsia="en-GB"/>
    </w:rPr>
  </w:style>
  <w:style w:type="paragraph" w:styleId="TOC4">
    <w:name w:val="toc 4"/>
    <w:basedOn w:val="Normal"/>
    <w:next w:val="Normal"/>
    <w:autoRedefine/>
    <w:uiPriority w:val="39"/>
    <w:unhideWhenUsed/>
    <w:pPr>
      <w:tabs>
        <w:tab w:val="left" w:pos="1701"/>
        <w:tab w:val="right" w:leader="dot" w:pos="9016"/>
      </w:tabs>
      <w:spacing w:before="120" w:after="100"/>
      <w:ind w:left="851"/>
      <w:jc w:val="left"/>
    </w:pPr>
    <w:rPr>
      <w:rFonts w:ascii="Verdana" w:eastAsia="Calibri" w:hAnsi="Verdana"/>
      <w:noProof/>
      <w:sz w:val="20"/>
      <w:szCs w:val="22"/>
    </w:rPr>
  </w:style>
  <w:style w:type="paragraph" w:styleId="TOC5">
    <w:name w:val="toc 5"/>
    <w:basedOn w:val="Normal"/>
    <w:next w:val="Normal"/>
    <w:autoRedefine/>
    <w:uiPriority w:val="39"/>
    <w:unhideWhenUsed/>
    <w:pPr>
      <w:tabs>
        <w:tab w:val="left" w:pos="2268"/>
        <w:tab w:val="right" w:leader="dot" w:pos="9016"/>
      </w:tabs>
      <w:spacing w:before="120" w:after="100"/>
      <w:ind w:left="1134"/>
      <w:jc w:val="left"/>
    </w:pPr>
    <w:rPr>
      <w:rFonts w:ascii="Verdana" w:eastAsia="Calibri" w:hAnsi="Verdana"/>
      <w:noProof/>
      <w:sz w:val="20"/>
      <w:szCs w:val="22"/>
    </w:rPr>
  </w:style>
  <w:style w:type="paragraph" w:customStyle="1" w:styleId="JRCLevel-2title">
    <w:name w:val="JRC_Level-2_title"/>
    <w:basedOn w:val="Heading2"/>
    <w:next w:val="JRCText"/>
    <w:qFormat/>
    <w:pPr>
      <w:numPr>
        <w:ilvl w:val="1"/>
        <w:numId w:val="25"/>
      </w:numPr>
      <w:spacing w:before="240"/>
    </w:pPr>
    <w:rPr>
      <w:rFonts w:ascii="Verdana" w:eastAsia="Times New Roman" w:hAnsi="Verdana"/>
      <w:iCs/>
      <w:color w:val="auto"/>
      <w:sz w:val="24"/>
    </w:rPr>
  </w:style>
  <w:style w:type="paragraph" w:customStyle="1" w:styleId="JRCLevel-1title">
    <w:name w:val="JRC_Level-1_title"/>
    <w:basedOn w:val="Heading1"/>
    <w:next w:val="JRCText"/>
    <w:qFormat/>
    <w:pPr>
      <w:keepLines w:val="0"/>
      <w:pageBreakBefore/>
      <w:numPr>
        <w:numId w:val="25"/>
      </w:numPr>
      <w:spacing w:before="0" w:after="120"/>
      <w:jc w:val="left"/>
    </w:pPr>
    <w:rPr>
      <w:rFonts w:ascii="Verdana" w:eastAsia="Calibri" w:hAnsi="Verdana"/>
      <w:bCs w:val="0"/>
      <w:color w:val="auto"/>
      <w:sz w:val="26"/>
      <w:szCs w:val="24"/>
    </w:rPr>
  </w:style>
  <w:style w:type="paragraph" w:customStyle="1" w:styleId="JRCTextbulletedlist2">
    <w:name w:val="JRC_Text_bulleted_list2"/>
    <w:basedOn w:val="Normal"/>
    <w:autoRedefine/>
    <w:qFormat/>
    <w:pPr>
      <w:numPr>
        <w:numId w:val="28"/>
      </w:numPr>
      <w:spacing w:before="120"/>
    </w:pPr>
    <w:rPr>
      <w:rFonts w:ascii="Verdana" w:eastAsia="Times New Roman" w:hAnsi="Verdana"/>
      <w:sz w:val="20"/>
      <w:szCs w:val="22"/>
      <w:lang w:eastAsia="en-GB"/>
    </w:rPr>
  </w:style>
  <w:style w:type="paragraph" w:customStyle="1" w:styleId="JRCLevel-4title">
    <w:name w:val="JRC_Level-4_title"/>
    <w:basedOn w:val="Normal"/>
    <w:next w:val="JRCText"/>
    <w:qFormat/>
    <w:pPr>
      <w:keepNext/>
      <w:numPr>
        <w:ilvl w:val="3"/>
        <w:numId w:val="25"/>
      </w:numPr>
      <w:spacing w:before="240"/>
      <w:jc w:val="left"/>
    </w:pPr>
    <w:rPr>
      <w:rFonts w:ascii="Verdana" w:eastAsia="Times New Roman" w:hAnsi="Verdana"/>
      <w:b/>
      <w:i/>
      <w:sz w:val="20"/>
      <w:szCs w:val="22"/>
      <w:lang w:eastAsia="en-GB"/>
    </w:rPr>
  </w:style>
  <w:style w:type="paragraph" w:customStyle="1" w:styleId="JRCLevel-3title">
    <w:name w:val="JRC_Level-3_title"/>
    <w:basedOn w:val="Heading3"/>
    <w:next w:val="JRCText"/>
    <w:qFormat/>
    <w:pPr>
      <w:numPr>
        <w:ilvl w:val="2"/>
        <w:numId w:val="25"/>
      </w:numPr>
      <w:spacing w:before="240"/>
    </w:pPr>
    <w:rPr>
      <w:rFonts w:ascii="Verdana" w:eastAsia="Times New Roman" w:hAnsi="Verdana" w:cs="Times New Roman"/>
      <w:color w:val="auto"/>
    </w:rPr>
  </w:style>
  <w:style w:type="paragraph" w:customStyle="1" w:styleId="JRCLevel-5title">
    <w:name w:val="JRC_Level-5_title"/>
    <w:basedOn w:val="Normal"/>
    <w:next w:val="JRCText"/>
    <w:qFormat/>
    <w:pPr>
      <w:keepNext/>
      <w:numPr>
        <w:ilvl w:val="4"/>
        <w:numId w:val="25"/>
      </w:numPr>
      <w:spacing w:before="200" w:after="0"/>
      <w:jc w:val="left"/>
      <w:outlineLvl w:val="4"/>
    </w:pPr>
    <w:rPr>
      <w:rFonts w:ascii="Verdana" w:eastAsia="Times New Roman" w:hAnsi="Verdana"/>
      <w:sz w:val="20"/>
      <w:szCs w:val="22"/>
      <w:lang w:eastAsia="en-GB"/>
    </w:rPr>
  </w:style>
  <w:style w:type="paragraph" w:customStyle="1" w:styleId="JRCLevel-1Backtitle">
    <w:name w:val="JRC_Level-1_Back_title"/>
    <w:basedOn w:val="Normal"/>
    <w:next w:val="JRCText"/>
    <w:qFormat/>
    <w:pPr>
      <w:keepNext/>
      <w:pageBreakBefore/>
      <w:jc w:val="left"/>
      <w:outlineLvl w:val="0"/>
    </w:pPr>
    <w:rPr>
      <w:rFonts w:ascii="Verdana" w:eastAsia="Times New Roman" w:hAnsi="Verdana"/>
      <w:b/>
      <w:szCs w:val="22"/>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pPr>
    <w:rPr>
      <w:rFonts w:ascii="Verdana" w:eastAsia="Times New Roman" w:hAnsi="Verdana"/>
      <w:sz w:val="18"/>
      <w:szCs w:val="22"/>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pPr>
    <w:rPr>
      <w:rFonts w:ascii="Verdana" w:eastAsia="Times New Roman" w:hAnsi="Verdana"/>
      <w:sz w:val="20"/>
      <w:szCs w:val="22"/>
      <w:lang w:eastAsia="en-GB"/>
    </w:rPr>
  </w:style>
  <w:style w:type="paragraph" w:customStyle="1" w:styleId="JRCBoxbulletlist">
    <w:name w:val="JRC_Box_bullet_list"/>
    <w:basedOn w:val="Normal"/>
    <w:qFormat/>
    <w:pPr>
      <w:numPr>
        <w:numId w:val="26"/>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pPr>
    <w:rPr>
      <w:rFonts w:ascii="Verdana" w:eastAsia="Times New Roman" w:hAnsi="Verdana"/>
      <w:sz w:val="20"/>
      <w:szCs w:val="22"/>
      <w:lang w:eastAsia="en-GB"/>
    </w:rPr>
  </w:style>
  <w:style w:type="paragraph" w:customStyle="1" w:styleId="JRCTextnumberedlist1">
    <w:name w:val="JRC_Text_numbered_list1"/>
    <w:basedOn w:val="Normal"/>
    <w:autoRedefine/>
    <w:qFormat/>
    <w:pPr>
      <w:numPr>
        <w:numId w:val="27"/>
      </w:numPr>
      <w:spacing w:before="120"/>
    </w:pPr>
    <w:rPr>
      <w:rFonts w:ascii="Verdana" w:eastAsia="Times New Roman" w:hAnsi="Verdana"/>
      <w:sz w:val="20"/>
      <w:szCs w:val="22"/>
      <w:lang w:eastAsia="en-GB"/>
    </w:rPr>
  </w:style>
  <w:style w:type="paragraph" w:customStyle="1" w:styleId="JRCCoverauthor">
    <w:name w:val="JRC_Cover_author"/>
    <w:basedOn w:val="Normal"/>
    <w:qFormat/>
    <w:pPr>
      <w:spacing w:before="120"/>
      <w:jc w:val="left"/>
    </w:pPr>
    <w:rPr>
      <w:rFonts w:ascii="Verdana" w:eastAsia="Times New Roman" w:hAnsi="Verdana"/>
      <w:sz w:val="20"/>
      <w:szCs w:val="22"/>
      <w:lang w:eastAsia="en-GB"/>
    </w:rPr>
  </w:style>
  <w:style w:type="paragraph" w:customStyle="1" w:styleId="JRCCoveryear">
    <w:name w:val="JRC_Cover_year"/>
    <w:basedOn w:val="Normal"/>
    <w:pPr>
      <w:spacing w:after="0"/>
      <w:jc w:val="left"/>
    </w:pPr>
    <w:rPr>
      <w:rFonts w:ascii="Verdana" w:eastAsia="Times New Roman" w:hAnsi="Verdana"/>
      <w:sz w:val="20"/>
      <w:szCs w:val="22"/>
      <w:lang w:eastAsia="en-GB"/>
    </w:rPr>
  </w:style>
  <w:style w:type="paragraph" w:customStyle="1" w:styleId="JRCCoverclass">
    <w:name w:val="JRC_Cover_class"/>
    <w:basedOn w:val="Normal"/>
    <w:next w:val="JRCCoveryear"/>
    <w:pPr>
      <w:spacing w:before="120"/>
    </w:pPr>
    <w:rPr>
      <w:rFonts w:ascii="Verdana" w:eastAsia="Times New Roman" w:hAnsi="Verdana"/>
      <w:color w:val="FF0000"/>
      <w:sz w:val="20"/>
      <w:szCs w:val="22"/>
      <w:lang w:eastAsia="en-GB"/>
    </w:rPr>
  </w:style>
  <w:style w:type="paragraph" w:customStyle="1" w:styleId="JRCCoverEUR">
    <w:name w:val="JRC_Cover_EUR"/>
    <w:basedOn w:val="Normal"/>
    <w:pPr>
      <w:spacing w:after="0"/>
      <w:jc w:val="right"/>
    </w:pPr>
    <w:rPr>
      <w:rFonts w:ascii="Verdana" w:eastAsia="Times New Roman" w:hAnsi="Verdana"/>
      <w:sz w:val="18"/>
      <w:szCs w:val="22"/>
      <w:lang w:eastAsia="en-GB"/>
    </w:rPr>
  </w:style>
  <w:style w:type="paragraph" w:customStyle="1" w:styleId="JRCCovertext">
    <w:name w:val="JRC_Cover_text"/>
    <w:basedOn w:val="Normal"/>
    <w:qFormat/>
    <w:pPr>
      <w:widowControl w:val="0"/>
      <w:spacing w:after="0" w:line="200" w:lineRule="exact"/>
      <w:jc w:val="left"/>
    </w:pPr>
    <w:rPr>
      <w:rFonts w:ascii="Verdana" w:eastAsia="Times New Roman" w:hAnsi="Verdana"/>
      <w:sz w:val="16"/>
      <w:szCs w:val="14"/>
      <w:lang w:eastAsia="en-GB"/>
    </w:rPr>
  </w:style>
  <w:style w:type="paragraph" w:customStyle="1" w:styleId="JRCTablesource">
    <w:name w:val="JRC_Table_source"/>
    <w:basedOn w:val="Normal"/>
    <w:next w:val="JRCText"/>
    <w:qFormat/>
    <w:rPr>
      <w:rFonts w:ascii="Verdana" w:eastAsia="Times New Roman" w:hAnsi="Verdana"/>
      <w:sz w:val="16"/>
      <w:szCs w:val="22"/>
      <w:lang w:eastAsia="en-GB"/>
    </w:rPr>
  </w:style>
  <w:style w:type="paragraph" w:customStyle="1" w:styleId="JRCFiguresource">
    <w:name w:val="JRC_Figure_source"/>
    <w:basedOn w:val="Normal"/>
    <w:next w:val="JRCText"/>
    <w:qFormat/>
    <w:pPr>
      <w:spacing w:after="360"/>
      <w:jc w:val="center"/>
    </w:pPr>
    <w:rPr>
      <w:rFonts w:ascii="Verdana" w:eastAsia="Times New Roman" w:hAnsi="Verdana"/>
      <w:sz w:val="16"/>
      <w:szCs w:val="22"/>
      <w:lang w:eastAsia="en-GB"/>
    </w:rPr>
  </w:style>
  <w:style w:type="paragraph" w:customStyle="1" w:styleId="JRCTablenote">
    <w:name w:val="JRC_Table_note"/>
    <w:basedOn w:val="Normal"/>
    <w:qFormat/>
    <w:pPr>
      <w:ind w:left="357" w:hanging="357"/>
      <w:contextualSpacing/>
    </w:pPr>
    <w:rPr>
      <w:rFonts w:ascii="Verdana" w:eastAsia="Times New Roman" w:hAnsi="Verdana"/>
      <w:sz w:val="16"/>
      <w:szCs w:val="22"/>
      <w:lang w:eastAsia="en-GB"/>
    </w:rPr>
  </w:style>
  <w:style w:type="paragraph" w:customStyle="1" w:styleId="JRCTextnumberedlist2">
    <w:name w:val="JRC_Text_numbered_list2"/>
    <w:basedOn w:val="Normal"/>
    <w:qFormat/>
    <w:pPr>
      <w:numPr>
        <w:ilvl w:val="1"/>
        <w:numId w:val="27"/>
      </w:numPr>
      <w:spacing w:before="120"/>
    </w:pPr>
    <w:rPr>
      <w:rFonts w:ascii="Verdana" w:eastAsia="Times New Roman" w:hAnsi="Verdana"/>
      <w:sz w:val="20"/>
      <w:szCs w:val="22"/>
      <w:lang w:eastAsia="en-GB"/>
    </w:rPr>
  </w:style>
  <w:style w:type="character" w:styleId="PlaceholderText">
    <w:name w:val="Placeholder Text"/>
    <w:basedOn w:val="DefaultParagraphFont"/>
    <w:uiPriority w:val="99"/>
    <w:semiHidden/>
    <w:rPr>
      <w:color w:val="808080"/>
    </w:rPr>
  </w:style>
  <w:style w:type="paragraph" w:styleId="Caption">
    <w:name w:val="caption"/>
    <w:basedOn w:val="Normal"/>
    <w:next w:val="Normal"/>
    <w:uiPriority w:val="35"/>
    <w:unhideWhenUsed/>
    <w:qFormat/>
    <w:pPr>
      <w:spacing w:after="200"/>
    </w:pPr>
    <w:rPr>
      <w:rFonts w:ascii="Verdana" w:eastAsia="Times New Roman" w:hAnsi="Verdana"/>
      <w:b/>
      <w:bCs/>
      <w:color w:val="4F81BD" w:themeColor="accent1"/>
      <w:sz w:val="18"/>
      <w:szCs w:val="18"/>
      <w:lang w:eastAsia="en-GB"/>
    </w:rPr>
  </w:style>
  <w:style w:type="paragraph" w:styleId="TOC6">
    <w:name w:val="toc 6"/>
    <w:basedOn w:val="Normal"/>
    <w:next w:val="Normal"/>
    <w:autoRedefine/>
    <w:uiPriority w:val="39"/>
    <w:unhideWhenUsed/>
    <w:pPr>
      <w:spacing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spacing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spacing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pPr>
      <w:spacing w:after="100" w:line="276" w:lineRule="auto"/>
      <w:ind w:left="1760"/>
      <w:jc w:val="left"/>
    </w:pPr>
    <w:rPr>
      <w:rFonts w:asciiTheme="minorHAnsi" w:eastAsiaTheme="minorEastAsia" w:hAnsiTheme="minorHAnsi" w:cstheme="minorBidi"/>
      <w:sz w:val="22"/>
      <w:szCs w:val="22"/>
      <w:lang w:eastAsia="en-GB"/>
    </w:rPr>
  </w:style>
  <w:style w:type="table" w:customStyle="1" w:styleId="TableGrid6">
    <w:name w:val="Table Grid6"/>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pPr>
      <w:numPr>
        <w:numId w:val="37"/>
      </w:numPr>
      <w:spacing w:after="240"/>
    </w:pPr>
    <w:rPr>
      <w:rFonts w:eastAsia="Times New Roman"/>
      <w:szCs w:val="20"/>
    </w:rPr>
  </w:style>
  <w:style w:type="paragraph" w:customStyle="1" w:styleId="ListNumberLevel2">
    <w:name w:val="List Number (Level 2)"/>
    <w:basedOn w:val="Normal"/>
    <w:pPr>
      <w:numPr>
        <w:ilvl w:val="1"/>
        <w:numId w:val="37"/>
      </w:numPr>
      <w:spacing w:after="240"/>
    </w:pPr>
    <w:rPr>
      <w:rFonts w:eastAsia="Times New Roman"/>
      <w:szCs w:val="20"/>
    </w:rPr>
  </w:style>
  <w:style w:type="paragraph" w:customStyle="1" w:styleId="ListNumberLevel3">
    <w:name w:val="List Number (Level 3)"/>
    <w:basedOn w:val="Normal"/>
    <w:pPr>
      <w:numPr>
        <w:ilvl w:val="2"/>
        <w:numId w:val="37"/>
      </w:numPr>
      <w:spacing w:after="240"/>
    </w:pPr>
    <w:rPr>
      <w:rFonts w:eastAsia="Times New Roman"/>
      <w:szCs w:val="20"/>
    </w:rPr>
  </w:style>
  <w:style w:type="paragraph" w:customStyle="1" w:styleId="ListNumberLevel4">
    <w:name w:val="List Number (Level 4)"/>
    <w:basedOn w:val="Normal"/>
    <w:pPr>
      <w:numPr>
        <w:ilvl w:val="3"/>
        <w:numId w:val="37"/>
      </w:numPr>
      <w:spacing w:after="240"/>
    </w:pPr>
    <w:rPr>
      <w:rFonts w:eastAsia="Times New Roman"/>
      <w:szCs w:val="20"/>
    </w:rPr>
  </w:style>
  <w:style w:type="paragraph" w:customStyle="1" w:styleId="Text1">
    <w:name w:val="Text 1"/>
    <w:basedOn w:val="Normal"/>
    <w:pPr>
      <w:spacing w:before="120"/>
      <w:ind w:left="850"/>
    </w:pPr>
    <w:rPr>
      <w:szCs w:val="22"/>
    </w:rPr>
  </w:style>
  <w:style w:type="paragraph" w:customStyle="1" w:styleId="Point1letter">
    <w:name w:val="Point 1 (letter)"/>
    <w:basedOn w:val="Normal"/>
    <w:pPr>
      <w:tabs>
        <w:tab w:val="num" w:pos="1417"/>
      </w:tabs>
      <w:spacing w:before="120"/>
      <w:ind w:left="1417" w:hanging="567"/>
    </w:pPr>
    <w:rPr>
      <w:szCs w:val="22"/>
      <w:lang w:val="en-GB"/>
    </w:rPr>
  </w:style>
  <w:style w:type="paragraph" w:customStyle="1" w:styleId="Considrant">
    <w:name w:val="Considérant"/>
    <w:basedOn w:val="Normal"/>
    <w:pPr>
      <w:tabs>
        <w:tab w:val="num" w:pos="709"/>
      </w:tabs>
      <w:spacing w:before="120"/>
      <w:ind w:left="709" w:hanging="709"/>
    </w:pPr>
    <w:rPr>
      <w:szCs w:val="22"/>
      <w:lang w:val="en-GB"/>
    </w:rPr>
  </w:style>
  <w:style w:type="character" w:customStyle="1" w:styleId="BODYChar">
    <w:name w:val="BODY Char"/>
    <w:link w:val="BODY"/>
    <w:locked/>
    <w:rPr>
      <w:rFonts w:ascii="Verdana" w:hAnsi="Verdana"/>
    </w:rPr>
  </w:style>
  <w:style w:type="paragraph" w:customStyle="1" w:styleId="BODY">
    <w:name w:val="BODY"/>
    <w:basedOn w:val="Normal"/>
    <w:link w:val="BODYChar"/>
    <w:autoRedefine/>
    <w:qFormat/>
    <w:pPr>
      <w:spacing w:before="120" w:line="360" w:lineRule="auto"/>
    </w:pPr>
    <w:rPr>
      <w:rFonts w:ascii="Verdana" w:hAnsi="Verdana"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w:uiPriority="0"/>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uto"/>
      <w:jc w:val="both"/>
    </w:pPr>
    <w:rPr>
      <w:rFonts w:ascii="Times New Roman" w:hAnsi="Times New Roman" w:cs="Times New Roman"/>
      <w:sz w:val="24"/>
      <w:szCs w:val="24"/>
      <w:lang w:val="en-IE"/>
    </w:rPr>
  </w:style>
  <w:style w:type="paragraph" w:styleId="Heading1">
    <w:name w:val="heading 1"/>
    <w:basedOn w:val="Normal"/>
    <w:next w:val="Normal"/>
    <w:link w:val="Heading1Char"/>
    <w:uiPriority w:val="9"/>
    <w:qFormat/>
    <w:pPr>
      <w:keepNext/>
      <w:keepLines/>
      <w:numPr>
        <w:numId w:val="1"/>
      </w:numPr>
      <w:spacing w:before="240" w:after="0"/>
      <w:outlineLvl w:val="0"/>
    </w:pPr>
    <w:rPr>
      <w:rFonts w:eastAsiaTheme="majorEastAsia"/>
      <w:b/>
      <w:bCs/>
      <w:color w:val="365F91" w:themeColor="accent1" w:themeShade="BF"/>
      <w:szCs w:val="28"/>
    </w:rPr>
  </w:style>
  <w:style w:type="paragraph" w:styleId="Heading2">
    <w:name w:val="heading 2"/>
    <w:basedOn w:val="Normal"/>
    <w:next w:val="Normal"/>
    <w:link w:val="Heading2Char"/>
    <w:autoRedefine/>
    <w:uiPriority w:val="9"/>
    <w:unhideWhenUsed/>
    <w:qFormat/>
    <w:pPr>
      <w:keepNext/>
      <w:keepLines/>
      <w:spacing w:before="200"/>
      <w:outlineLvl w:val="1"/>
    </w:pPr>
    <w:rPr>
      <w:rFonts w:eastAsiaTheme="majorEastAsia"/>
      <w:b/>
      <w:bCs/>
      <w:color w:val="4F81BD" w:themeColor="accent1"/>
      <w:sz w:val="22"/>
      <w:szCs w:val="22"/>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styleId="Header">
    <w:name w:val="header"/>
    <w:basedOn w:val="Normal"/>
    <w:link w:val="HeaderChar"/>
    <w:uiPriority w:val="99"/>
    <w:unhideWhenUsed/>
    <w:pPr>
      <w:tabs>
        <w:tab w:val="center" w:pos="4535"/>
        <w:tab w:val="right" w:pos="9071"/>
      </w:tabs>
    </w:pPr>
    <w:rPr>
      <w:szCs w:val="22"/>
    </w:rPr>
  </w:style>
  <w:style w:type="character" w:customStyle="1" w:styleId="HeaderChar">
    <w:name w:val="Header Char"/>
    <w:basedOn w:val="DefaultParagraphFont"/>
    <w:link w:val="Header"/>
    <w:uiPriority w:val="99"/>
    <w:rPr>
      <w:rFonts w:ascii="Times New Roman" w:hAnsi="Times New Roman" w:cs="Times New Roman"/>
      <w:sz w:val="24"/>
      <w:lang w:val="en-GB"/>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szCs w:val="22"/>
    </w:rPr>
  </w:style>
  <w:style w:type="character" w:customStyle="1" w:styleId="FooterChar">
    <w:name w:val="Footer Char"/>
    <w:basedOn w:val="DefaultParagraphFont"/>
    <w:link w:val="Footer"/>
    <w:uiPriority w:val="99"/>
    <w:rPr>
      <w:rFonts w:ascii="Times New Roman" w:hAnsi="Times New Roman" w:cs="Times New Roman"/>
      <w:sz w:val="24"/>
      <w:lang w:val="en-GB"/>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cs="Times New Roman"/>
      <w:sz w:val="24"/>
      <w:szCs w:val="24"/>
      <w:lang w:val="en-IE"/>
    </w:rPr>
  </w:style>
  <w:style w:type="paragraph" w:customStyle="1" w:styleId="HeaderCoverPage">
    <w:name w:val="Header Cover Page"/>
    <w:basedOn w:val="Normal"/>
    <w:link w:val="HeaderCoverPageChar"/>
    <w:pPr>
      <w:tabs>
        <w:tab w:val="center" w:pos="4535"/>
        <w:tab w:val="right" w:pos="9071"/>
      </w:tabs>
    </w:pPr>
  </w:style>
  <w:style w:type="character" w:customStyle="1" w:styleId="HeaderCoverPageChar">
    <w:name w:val="Header Cover Page Char"/>
    <w:basedOn w:val="DefaultParagraphFont"/>
    <w:link w:val="HeaderCoverPage"/>
    <w:rPr>
      <w:rFonts w:ascii="Times New Roman" w:hAnsi="Times New Roman" w:cs="Times New Roman"/>
      <w:sz w:val="24"/>
      <w:szCs w:val="24"/>
      <w:lang w:val="en-IE"/>
    </w:rPr>
  </w:style>
  <w:style w:type="character" w:customStyle="1" w:styleId="Heading1Char">
    <w:name w:val="Heading 1 Char"/>
    <w:basedOn w:val="DefaultParagraphFont"/>
    <w:link w:val="Heading1"/>
    <w:uiPriority w:val="9"/>
    <w:rPr>
      <w:rFonts w:ascii="Times New Roman" w:eastAsiaTheme="majorEastAsia" w:hAnsi="Times New Roman" w:cs="Times New Roman"/>
      <w:b/>
      <w:bCs/>
      <w:color w:val="365F91" w:themeColor="accent1" w:themeShade="BF"/>
      <w:sz w:val="24"/>
      <w:szCs w:val="28"/>
      <w:lang w:val="en-IE"/>
    </w:rPr>
  </w:style>
  <w:style w:type="character" w:customStyle="1" w:styleId="Heading2Char">
    <w:name w:val="Heading 2 Char"/>
    <w:basedOn w:val="DefaultParagraphFont"/>
    <w:link w:val="Heading2"/>
    <w:uiPriority w:val="9"/>
    <w:rPr>
      <w:rFonts w:ascii="Times New Roman" w:eastAsiaTheme="majorEastAsia" w:hAnsi="Times New Roman" w:cs="Times New Roman"/>
      <w:b/>
      <w:bCs/>
      <w:color w:val="4F81BD" w:themeColor="accent1"/>
      <w:lang w:val="en-IE"/>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szCs w:val="24"/>
      <w:lang w:val="en-GB"/>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sz w:val="24"/>
      <w:szCs w:val="24"/>
      <w:lang w:val="en-GB"/>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4"/>
      <w:szCs w:val="24"/>
      <w:lang w:val="en-GB"/>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4"/>
      <w:szCs w:val="24"/>
      <w:lang w:val="en-GB"/>
    </w:rPr>
  </w:style>
  <w:style w:type="paragraph" w:styleId="Title">
    <w:name w:val="Title"/>
    <w:basedOn w:val="Normal"/>
    <w:next w:val="Normal"/>
    <w:link w:val="TitleChar"/>
    <w:uiPriority w:val="10"/>
    <w:qFormat/>
    <w:pPr>
      <w:spacing w:after="300"/>
      <w:contextualSpacing/>
    </w:pPr>
    <w:rPr>
      <w:rFonts w:eastAsiaTheme="majorEastAsia"/>
      <w:b/>
      <w:color w:val="548DD4" w:themeColor="text2" w:themeTint="99"/>
      <w:spacing w:val="5"/>
      <w:kern w:val="28"/>
      <w:sz w:val="28"/>
      <w:szCs w:val="28"/>
    </w:rPr>
  </w:style>
  <w:style w:type="character" w:customStyle="1" w:styleId="TitleChar">
    <w:name w:val="Title Char"/>
    <w:basedOn w:val="DefaultParagraphFont"/>
    <w:link w:val="Title"/>
    <w:uiPriority w:val="10"/>
    <w:rPr>
      <w:rFonts w:ascii="Times New Roman" w:eastAsiaTheme="majorEastAsia" w:hAnsi="Times New Roman" w:cs="Times New Roman"/>
      <w:b/>
      <w:color w:val="548DD4" w:themeColor="text2" w:themeTint="99"/>
      <w:spacing w:val="5"/>
      <w:kern w:val="28"/>
      <w:sz w:val="28"/>
      <w:szCs w:val="28"/>
      <w:lang w:val="en-GB"/>
    </w:rPr>
  </w:style>
  <w:style w:type="paragraph" w:styleId="TOCHeading">
    <w:name w:val="TOC Heading"/>
    <w:basedOn w:val="Heading1"/>
    <w:next w:val="Normal"/>
    <w:uiPriority w:val="39"/>
    <w:unhideWhenUsed/>
    <w:qFormat/>
    <w:pPr>
      <w:outlineLvl w:val="9"/>
    </w:pPr>
    <w:rPr>
      <w:lang w:eastAsia="ja-JP"/>
    </w:rPr>
  </w:style>
  <w:style w:type="paragraph" w:styleId="TOC1">
    <w:name w:val="toc 1"/>
    <w:basedOn w:val="Normal"/>
    <w:next w:val="Normal"/>
    <w:autoRedefine/>
    <w:uiPriority w:val="39"/>
    <w:unhideWhenUsed/>
    <w:pPr>
      <w:tabs>
        <w:tab w:val="left" w:pos="440"/>
        <w:tab w:val="right" w:leader="dot" w:pos="9396"/>
      </w:tabs>
      <w:spacing w:after="100"/>
      <w:ind w:right="-141"/>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Fiche List Paragraph,L"/>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lang w:val="en-GB"/>
    </w:rPr>
  </w:style>
  <w:style w:type="table" w:styleId="TableGrid">
    <w:name w:val="Table Grid"/>
    <w:aliases w:val="Document Table,CV1,TabelEcorys,CV table,Deloitte,Table Grid IDEA,Table EY"/>
    <w:basedOn w:val="TableNormal"/>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n-GB"/>
    </w:rPr>
  </w:style>
  <w:style w:type="paragraph" w:styleId="FootnoteText">
    <w:name w:val="footnote text"/>
    <w:aliases w:val="Fußnotentextf,Fußnote,Fuﬂnotentextf,Footnote Text Blue,Geneva 9,Font: Geneva 9,Boston 10,f,Footnote Text Char Char Char Char Char Char,Tekst przypisu,Schriftart: 9 pt,Schriftart: 10 pt,Schriftart: 8 pt,WB-Fußnotentext,fn,Fotnotstext1,Char"/>
    <w:basedOn w:val="Normal"/>
    <w:link w:val="FootnoteTextChar"/>
    <w:uiPriority w:val="99"/>
    <w:unhideWhenUsed/>
    <w:qFormat/>
    <w:pPr>
      <w:spacing w:after="0"/>
    </w:pPr>
    <w:rPr>
      <w:sz w:val="20"/>
      <w:szCs w:val="20"/>
    </w:rPr>
  </w:style>
  <w:style w:type="character" w:customStyle="1" w:styleId="FootnoteTextChar">
    <w:name w:val="Footnote Text Char"/>
    <w:aliases w:val="Fußnotentextf Char,Fußnote Char,Fuﬂnotentextf Char,Footnote Text Blue Char,Geneva 9 Char,Font: Geneva 9 Char,Boston 10 Char,f Char,Footnote Text Char Char Char Char Char Char Char,Tekst przypisu Char,Schriftart: 9 pt Char,fn Char"/>
    <w:basedOn w:val="DefaultParagraphFont"/>
    <w:link w:val="FootnoteText"/>
    <w:uiPriority w:val="99"/>
    <w:qFormat/>
    <w:rPr>
      <w:sz w:val="20"/>
      <w:szCs w:val="20"/>
    </w:rPr>
  </w:style>
  <w:style w:type="character" w:styleId="FootnoteReference">
    <w:name w:val="footnote reference"/>
    <w:aliases w:val="Footnote Reference Number,Footnote Reference_LVL6,Footnote Reference_LVL61,Footnote Reference_LVL62,Footnote Reference_LVL63,Footnote Reference_LVL64,SUPERS,Footnote Reference Superscript,BVI fnr,Footnote symbol,Footnote sign, BVI fnr"/>
    <w:basedOn w:val="DefaultParagraphFont"/>
    <w:link w:val="FootnotesymbolCarZchn"/>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pPr>
    <w:rPr>
      <w:rFonts w:eastAsia="Times New Roman"/>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paragraph" w:styleId="CommentSubject">
    <w:name w:val="annotation subject"/>
    <w:basedOn w:val="CommentText"/>
    <w:next w:val="CommentText"/>
    <w:link w:val="CommentSubjectChar"/>
    <w:uiPriority w:val="99"/>
    <w:semiHidden/>
    <w:unhideWhenUsed/>
    <w:rPr>
      <w:b/>
      <w:bCs/>
      <w:lang w:val="en-U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BodyText">
    <w:name w:val="Body Text"/>
    <w:basedOn w:val="Normal"/>
    <w:link w:val="BodyTextChar"/>
    <w:uiPriority w:val="1"/>
    <w:qFormat/>
    <w:pPr>
      <w:widowControl w:val="0"/>
      <w:spacing w:after="0"/>
      <w:ind w:left="110"/>
    </w:pPr>
    <w:rPr>
      <w:rFonts w:ascii="Arial Unicode MS" w:eastAsia="Arial Unicode MS" w:hAnsi="Arial Unicode MS"/>
      <w:sz w:val="21"/>
      <w:szCs w:val="21"/>
    </w:rPr>
  </w:style>
  <w:style w:type="character" w:customStyle="1" w:styleId="BodyTextChar">
    <w:name w:val="Body Text Char"/>
    <w:basedOn w:val="DefaultParagraphFont"/>
    <w:link w:val="BodyText"/>
    <w:uiPriority w:val="1"/>
    <w:rPr>
      <w:rFonts w:ascii="Arial Unicode MS" w:eastAsia="Arial Unicode MS" w:hAnsi="Arial Unicode MS"/>
      <w:sz w:val="21"/>
      <w:szCs w:val="21"/>
    </w:rPr>
  </w:style>
  <w:style w:type="paragraph" w:styleId="Revision">
    <w:name w:val="Revision"/>
    <w:hidden/>
    <w:uiPriority w:val="99"/>
    <w:semiHidden/>
    <w:pPr>
      <w:spacing w:after="0" w:line="240" w:lineRule="auto"/>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tabs>
        <w:tab w:val="right" w:leader="dot" w:pos="9396"/>
      </w:tabs>
      <w:spacing w:after="100"/>
      <w:ind w:left="440"/>
    </w:p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basedOn w:val="DefaultParagraphFont"/>
    <w:link w:val="ListParagraph"/>
    <w:uiPriority w:val="34"/>
    <w:qFormat/>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rPr>
  </w:style>
  <w:style w:type="paragraph" w:styleId="Subtitle">
    <w:name w:val="Subtitle"/>
    <w:basedOn w:val="Normal"/>
    <w:next w:val="Normal"/>
    <w:link w:val="SubtitleChar"/>
    <w:uiPriority w:val="11"/>
    <w:qFormat/>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lang w:val="en-GB"/>
    </w:rPr>
  </w:style>
  <w:style w:type="table" w:customStyle="1" w:styleId="TableGrid1">
    <w:name w:val="Table Grid1"/>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rPr>
      <w:rFonts w:ascii="Calibri" w:eastAsia="Times New Roman"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ource">
    <w:name w:val="Table source"/>
    <w:basedOn w:val="Normal"/>
    <w:link w:val="TablesourceChar"/>
    <w:qFormat/>
    <w:pPr>
      <w:keepNext/>
      <w:keepLines/>
      <w:spacing w:before="60" w:after="360"/>
    </w:pPr>
    <w:rPr>
      <w:rFonts w:asciiTheme="minorHAnsi" w:eastAsia="Times New Roman" w:hAnsiTheme="minorHAnsi"/>
      <w:sz w:val="18"/>
      <w:szCs w:val="18"/>
    </w:rPr>
  </w:style>
  <w:style w:type="character" w:customStyle="1" w:styleId="TablesourceChar">
    <w:name w:val="Table source Char"/>
    <w:basedOn w:val="DefaultParagraphFont"/>
    <w:link w:val="Tablesource"/>
    <w:rPr>
      <w:rFonts w:eastAsia="Times New Roman" w:cs="Times New Roman"/>
      <w:sz w:val="18"/>
      <w:szCs w:val="18"/>
      <w:lang w:val="en-GB"/>
    </w:rPr>
  </w:style>
  <w:style w:type="paragraph" w:customStyle="1" w:styleId="FootnoteText1">
    <w:name w:val="Footnote Text1"/>
    <w:basedOn w:val="FootnoteText"/>
    <w:link w:val="FootnotetextChar0"/>
    <w:autoRedefine/>
    <w:qFormat/>
    <w:pPr>
      <w:keepLines/>
    </w:pPr>
    <w:rPr>
      <w:rFonts w:eastAsia="Calibri"/>
      <w:color w:val="000000" w:themeColor="text1"/>
      <w:szCs w:val="22"/>
      <w:lang w:eastAsia="en-GB"/>
    </w:rPr>
  </w:style>
  <w:style w:type="character" w:customStyle="1" w:styleId="FootnotetextChar0">
    <w:name w:val="Footnote text Char"/>
    <w:basedOn w:val="DefaultParagraphFont"/>
    <w:link w:val="FootnoteText1"/>
    <w:rPr>
      <w:rFonts w:ascii="Times New Roman" w:eastAsia="Calibri" w:hAnsi="Times New Roman" w:cs="Times New Roman"/>
      <w:color w:val="000000" w:themeColor="text1"/>
      <w:sz w:val="20"/>
      <w:lang w:val="en-GB" w:eastAsia="en-GB"/>
    </w:rPr>
  </w:style>
  <w:style w:type="paragraph" w:customStyle="1" w:styleId="ECbodytext">
    <w:name w:val="EC body text"/>
    <w:basedOn w:val="Normal"/>
    <w:link w:val="ECbodytextChar"/>
    <w:qFormat/>
    <w:pPr>
      <w:spacing w:after="240"/>
    </w:pPr>
    <w:rPr>
      <w:rFonts w:ascii="Verdana" w:eastAsia="Times New Roman" w:hAnsi="Verdana" w:cs="Verdana"/>
      <w:color w:val="58595B"/>
      <w:sz w:val="20"/>
      <w:szCs w:val="20"/>
      <w:lang w:eastAsia="nl-BE"/>
    </w:rPr>
  </w:style>
  <w:style w:type="character" w:customStyle="1" w:styleId="ECbodytextChar">
    <w:name w:val="EC body text Char"/>
    <w:basedOn w:val="DefaultParagraphFont"/>
    <w:link w:val="ECbodytext"/>
    <w:rPr>
      <w:rFonts w:ascii="Verdana" w:eastAsia="Times New Roman" w:hAnsi="Verdana" w:cs="Verdana"/>
      <w:color w:val="58595B"/>
      <w:sz w:val="20"/>
      <w:szCs w:val="20"/>
      <w:lang w:val="en-GB" w:eastAsia="nl-BE"/>
    </w:rPr>
  </w:style>
  <w:style w:type="paragraph" w:customStyle="1" w:styleId="Tablestyle">
    <w:name w:val="Table style"/>
    <w:basedOn w:val="Normal"/>
    <w:link w:val="TablestyleChar"/>
    <w:autoRedefine/>
    <w:qFormat/>
    <w:pPr>
      <w:keepNext/>
      <w:suppressAutoHyphens/>
      <w:spacing w:after="0" w:line="280" w:lineRule="atLeast"/>
    </w:pPr>
    <w:rPr>
      <w:b/>
      <w:lang w:eastAsia="ar-SA"/>
    </w:rPr>
  </w:style>
  <w:style w:type="character" w:customStyle="1" w:styleId="TablestyleChar">
    <w:name w:val="Table style Char"/>
    <w:link w:val="Tablestyle"/>
    <w:rPr>
      <w:rFonts w:ascii="Times New Roman" w:hAnsi="Times New Roman" w:cs="Times New Roman"/>
      <w:b/>
      <w:sz w:val="24"/>
      <w:szCs w:val="24"/>
      <w:lang w:val="en-GB" w:eastAsia="ar-SA"/>
    </w:rPr>
  </w:style>
  <w:style w:type="table" w:customStyle="1" w:styleId="ECTables">
    <w:name w:val="EC Tables"/>
    <w:basedOn w:val="TableNormal"/>
    <w:uiPriority w:val="99"/>
    <w:pPr>
      <w:spacing w:after="0" w:line="240" w:lineRule="auto"/>
    </w:pPr>
    <w:rPr>
      <w:rFonts w:ascii="Verdana" w:eastAsia="Calibri" w:hAnsi="Verdana" w:cs="Times New Roman"/>
      <w:sz w:val="20"/>
      <w:szCs w:val="20"/>
      <w:lang w:eastAsia="nl-B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cPr>
    <w:tblStylePr w:type="firstRow">
      <w:rPr>
        <w:rFonts w:ascii="@Batang" w:hAnsi="@Batang"/>
        <w:b w:val="0"/>
        <w:color w:val="FFFFFF" w:themeColor="background1"/>
        <w:sz w:val="20"/>
      </w:rPr>
      <w:tblPr/>
      <w:tcPr>
        <w:shd w:val="clear" w:color="auto" w:fill="002395"/>
      </w:tcPr>
    </w:tblStyle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cs="Times New Roman"/>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pacing w:before="60" w:after="160" w:line="240" w:lineRule="exact"/>
    </w:pPr>
    <w:rPr>
      <w:rFonts w:asciiTheme="minorHAnsi" w:eastAsia="Times New Roman"/>
      <w:color w:val="000000" w:themeColor="text1"/>
      <w:sz w:val="22"/>
      <w:szCs w:val="22"/>
      <w:vertAlign w:val="superscript"/>
      <w:lang w:eastAsia="en-GB"/>
    </w:rPr>
  </w:style>
  <w:style w:type="character" w:customStyle="1" w:styleId="ApprovalfooterChar">
    <w:name w:val="Approval_footer Char"/>
    <w:basedOn w:val="DefaultParagraphFont"/>
    <w:link w:val="Footerapproval"/>
    <w:locked/>
    <w:rPr>
      <w:rFonts w:ascii="Verdana" w:hAnsi="Verdana"/>
    </w:rPr>
  </w:style>
  <w:style w:type="paragraph" w:customStyle="1" w:styleId="Footerapproval">
    <w:name w:val="Footer approval"/>
    <w:basedOn w:val="Normal"/>
    <w:link w:val="ApprovalfooterChar"/>
    <w:pPr>
      <w:spacing w:after="0"/>
      <w:ind w:right="-567"/>
      <w:jc w:val="left"/>
    </w:pPr>
    <w:rPr>
      <w:rFonts w:ascii="Verdana" w:hAnsi="Verdana" w:cstheme="minorBidi"/>
      <w:sz w:val="22"/>
      <w:szCs w:val="22"/>
      <w:lang w:val="en-US"/>
    </w:rPr>
  </w:style>
  <w:style w:type="paragraph" w:customStyle="1" w:styleId="Bodynormal">
    <w:name w:val="Body normal"/>
    <w:basedOn w:val="Normal"/>
    <w:link w:val="BodynormalChar"/>
    <w:qFormat/>
    <w:pPr>
      <w:spacing w:after="240"/>
    </w:pPr>
    <w:rPr>
      <w:rFonts w:ascii="Verdana" w:eastAsia="Times New Roman" w:hAnsi="Verdana"/>
      <w:sz w:val="20"/>
      <w:szCs w:val="20"/>
      <w:lang w:eastAsia="nl-BE"/>
    </w:rPr>
  </w:style>
  <w:style w:type="character" w:customStyle="1" w:styleId="BodynormalChar">
    <w:name w:val="Body normal Char"/>
    <w:link w:val="Bodynormal"/>
    <w:rPr>
      <w:rFonts w:ascii="Verdana" w:eastAsia="Times New Roman" w:hAnsi="Verdana" w:cs="Times New Roman"/>
      <w:sz w:val="20"/>
      <w:szCs w:val="20"/>
      <w:lang w:val="en-GB" w:eastAsia="nl-BE"/>
    </w:rPr>
  </w:style>
  <w:style w:type="paragraph" w:customStyle="1" w:styleId="Tabletitle">
    <w:name w:val="Table title"/>
    <w:basedOn w:val="Normal"/>
    <w:link w:val="TabletitleChar"/>
    <w:qFormat/>
    <w:pPr>
      <w:keepNext/>
      <w:spacing w:after="180"/>
      <w:jc w:val="left"/>
    </w:pPr>
    <w:rPr>
      <w:rFonts w:ascii="Verdana" w:eastAsia="Times New Roman" w:hAnsi="Verdana"/>
      <w:b/>
      <w:i/>
      <w:sz w:val="20"/>
      <w:szCs w:val="20"/>
      <w:lang w:val="nl-BE" w:eastAsia="nl-BE"/>
    </w:rPr>
  </w:style>
  <w:style w:type="character" w:customStyle="1" w:styleId="TabletitleChar">
    <w:name w:val="Table title Char"/>
    <w:basedOn w:val="DefaultParagraphFont"/>
    <w:link w:val="Tabletitle"/>
    <w:rPr>
      <w:rFonts w:ascii="Verdana" w:eastAsia="Times New Roman" w:hAnsi="Verdana" w:cs="Times New Roman"/>
      <w:b/>
      <w:i/>
      <w:sz w:val="20"/>
      <w:szCs w:val="20"/>
      <w:lang w:val="nl-BE" w:eastAsia="nl-BE"/>
    </w:rPr>
  </w:style>
  <w:style w:type="paragraph" w:customStyle="1" w:styleId="Declassification">
    <w:name w:val="Declassification"/>
    <w:basedOn w:val="Normal"/>
    <w:next w:val="Normal"/>
    <w:pPr>
      <w:spacing w:after="0"/>
    </w:pPr>
    <w:rPr>
      <w:szCs w:val="22"/>
    </w:rPr>
  </w:style>
  <w:style w:type="paragraph" w:customStyle="1" w:styleId="HeaderLandscape">
    <w:name w:val="HeaderLandscape"/>
    <w:basedOn w:val="Normal"/>
    <w:pPr>
      <w:tabs>
        <w:tab w:val="center" w:pos="7285"/>
        <w:tab w:val="right" w:pos="14003"/>
      </w:tabs>
    </w:pPr>
    <w:rPr>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Bullet2">
    <w:name w:val="List Bullet 2"/>
    <w:basedOn w:val="Normal"/>
    <w:pPr>
      <w:numPr>
        <w:numId w:val="5"/>
      </w:numPr>
      <w:spacing w:after="240"/>
    </w:pPr>
    <w:rPr>
      <w:rFonts w:eastAsia="Times New Roman"/>
      <w:szCs w:val="20"/>
      <w:lang w:eastAsia="en-GB"/>
    </w:rPr>
  </w:style>
  <w:style w:type="paragraph" w:customStyle="1" w:styleId="TableParagraph">
    <w:name w:val="Table Paragraph"/>
    <w:basedOn w:val="Normal"/>
    <w:uiPriority w:val="1"/>
    <w:qFormat/>
    <w:pPr>
      <w:widowControl w:val="0"/>
      <w:spacing w:after="0"/>
      <w:jc w:val="left"/>
    </w:pPr>
    <w:rPr>
      <w:rFonts w:asciiTheme="minorHAnsi" w:hAnsiTheme="minorHAnsi" w:cstheme="minorBidi"/>
      <w:sz w:val="22"/>
      <w:szCs w:val="22"/>
      <w:lang w:val="en-US"/>
    </w:rPr>
  </w:style>
  <w:style w:type="character" w:styleId="IntenseEmphasis">
    <w:name w:val="Intense Emphasis"/>
    <w:basedOn w:val="DefaultParagraphFont"/>
    <w:uiPriority w:val="21"/>
    <w:qFormat/>
    <w:rPr>
      <w:b/>
      <w:bCs/>
      <w:i/>
      <w:iCs/>
      <w:color w:val="4F81BD" w:themeColor="accent1"/>
    </w:rPr>
  </w:style>
  <w:style w:type="numbering" w:customStyle="1" w:styleId="Bullets">
    <w:name w:val="Bullets"/>
    <w:aliases w:val="NumbLstBTBullet,NumbLstBullet"/>
    <w:uiPriority w:val="99"/>
    <w:pPr>
      <w:numPr>
        <w:numId w:val="8"/>
      </w:numPr>
    </w:pPr>
  </w:style>
  <w:style w:type="paragraph" w:customStyle="1" w:styleId="Bullet1">
    <w:name w:val="Bullet 1"/>
    <w:aliases w:val="Bullet1,BTBullet1"/>
    <w:basedOn w:val="Normal"/>
    <w:uiPriority w:val="6"/>
    <w:qFormat/>
    <w:pPr>
      <w:numPr>
        <w:numId w:val="8"/>
      </w:numPr>
      <w:spacing w:before="120"/>
      <w:contextualSpacing/>
      <w:jc w:val="left"/>
    </w:pPr>
    <w:rPr>
      <w:rFonts w:ascii="Verdana" w:hAnsi="Verdana" w:cstheme="minorBidi"/>
      <w:color w:val="58595B"/>
      <w:sz w:val="20"/>
      <w:szCs w:val="22"/>
    </w:rPr>
  </w:style>
  <w:style w:type="paragraph" w:customStyle="1" w:styleId="Bullet2">
    <w:name w:val="Bullet 2"/>
    <w:aliases w:val="Bullet2,BTBullet2"/>
    <w:basedOn w:val="Normal"/>
    <w:uiPriority w:val="6"/>
    <w:qFormat/>
    <w:pPr>
      <w:numPr>
        <w:ilvl w:val="1"/>
        <w:numId w:val="8"/>
      </w:numPr>
      <w:spacing w:before="120"/>
      <w:contextualSpacing/>
      <w:jc w:val="left"/>
    </w:pPr>
    <w:rPr>
      <w:rFonts w:ascii="Verdana" w:hAnsi="Verdana" w:cstheme="minorBidi"/>
      <w:color w:val="58595B"/>
      <w:sz w:val="20"/>
      <w:szCs w:val="22"/>
    </w:rPr>
  </w:style>
  <w:style w:type="paragraph" w:customStyle="1" w:styleId="Bullet3">
    <w:name w:val="Bullet 3"/>
    <w:aliases w:val="Bullet3,BTBullet3"/>
    <w:basedOn w:val="Bullet2"/>
    <w:uiPriority w:val="6"/>
    <w:qFormat/>
    <w:pPr>
      <w:numPr>
        <w:ilvl w:val="2"/>
      </w:numPr>
    </w:pPr>
  </w:style>
  <w:style w:type="character" w:customStyle="1" w:styleId="filetitle">
    <w:name w:val="file__title"/>
    <w:basedOn w:val="DefaultParagraphFont"/>
  </w:style>
  <w:style w:type="character" w:customStyle="1" w:styleId="bold1">
    <w:name w:val="bold1"/>
    <w:basedOn w:val="DefaultParagraphFont"/>
    <w:rPr>
      <w:b/>
      <w:bCs/>
    </w:r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Economisit">
    <w:name w:val="Figure Economisit"/>
    <w:basedOn w:val="Normal"/>
    <w:link w:val="FigureEconomisitChar"/>
    <w:qFormat/>
    <w:pPr>
      <w:numPr>
        <w:numId w:val="13"/>
      </w:numPr>
      <w:spacing w:before="120"/>
    </w:pPr>
    <w:rPr>
      <w:rFonts w:ascii="Arial" w:eastAsia="Times New Roman" w:hAnsi="Arial"/>
      <w:b/>
      <w:color w:val="595959" w:themeColor="text1" w:themeTint="A6"/>
      <w:sz w:val="20"/>
      <w:szCs w:val="20"/>
      <w:lang w:eastAsia="ar-SA"/>
    </w:rPr>
  </w:style>
  <w:style w:type="character" w:customStyle="1" w:styleId="FigureEconomisitChar">
    <w:name w:val="Figure Economisit Char"/>
    <w:link w:val="FigureEconomisit"/>
    <w:rPr>
      <w:rFonts w:ascii="Arial" w:eastAsia="Times New Roman" w:hAnsi="Arial" w:cs="Times New Roman"/>
      <w:b/>
      <w:color w:val="595959" w:themeColor="text1" w:themeTint="A6"/>
      <w:sz w:val="20"/>
      <w:szCs w:val="20"/>
      <w:lang w:val="en-IE" w:eastAsia="ar-SA"/>
    </w:rPr>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table" w:customStyle="1" w:styleId="CV11">
    <w:name w:val="CV11"/>
    <w:basedOn w:val="TableNormal"/>
    <w:next w:val="TableGrid"/>
    <w:uiPriority w:val="5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pPr>
      <w:spacing w:after="0"/>
      <w:jc w:val="left"/>
    </w:pPr>
    <w:rPr>
      <w:rFonts w:ascii="Calibri" w:hAnsi="Calibri" w:cs="Consolas"/>
      <w:sz w:val="22"/>
      <w:szCs w:val="21"/>
    </w:rPr>
  </w:style>
  <w:style w:type="character" w:customStyle="1" w:styleId="PlainTextChar">
    <w:name w:val="Plain Text Char"/>
    <w:basedOn w:val="DefaultParagraphFont"/>
    <w:link w:val="PlainText"/>
    <w:uiPriority w:val="99"/>
    <w:rPr>
      <w:rFonts w:ascii="Calibri" w:hAnsi="Calibri" w:cs="Consolas"/>
      <w:szCs w:val="21"/>
      <w:lang w:val="en-GB"/>
    </w:rPr>
  </w:style>
  <w:style w:type="character" w:customStyle="1" w:styleId="Bodytext4">
    <w:name w:val="Body text (4)_"/>
    <w:basedOn w:val="DefaultParagraphFont"/>
    <w:link w:val="Bodytext40"/>
    <w:rPr>
      <w:rFonts w:ascii="Arial" w:eastAsia="Arial" w:hAnsi="Arial" w:cs="Arial"/>
      <w:sz w:val="18"/>
      <w:szCs w:val="18"/>
      <w:shd w:val="clear" w:color="auto" w:fill="FFFFFF"/>
    </w:rPr>
  </w:style>
  <w:style w:type="character" w:customStyle="1" w:styleId="Bodytext2">
    <w:name w:val="Body text (2)_"/>
    <w:basedOn w:val="DefaultParagraphFont"/>
    <w:rPr>
      <w:rFonts w:ascii="Arial" w:eastAsia="Arial" w:hAnsi="Arial" w:cs="Arial"/>
      <w:b w:val="0"/>
      <w:bCs w:val="0"/>
      <w:i w:val="0"/>
      <w:iCs w:val="0"/>
      <w:smallCaps w:val="0"/>
      <w:strike w:val="0"/>
      <w:sz w:val="22"/>
      <w:szCs w:val="22"/>
      <w:u w:val="none"/>
    </w:rPr>
  </w:style>
  <w:style w:type="character" w:customStyle="1" w:styleId="Bodytext20">
    <w:name w:val="Body text (2)"/>
    <w:basedOn w:val="Bodytext2"/>
    <w:rPr>
      <w:rFonts w:ascii="Arial" w:eastAsia="Arial" w:hAnsi="Arial" w:cs="Arial"/>
      <w:b w:val="0"/>
      <w:bCs w:val="0"/>
      <w:i w:val="0"/>
      <w:iCs w:val="0"/>
      <w:smallCaps w:val="0"/>
      <w:strike w:val="0"/>
      <w:color w:val="808080"/>
      <w:spacing w:val="0"/>
      <w:w w:val="100"/>
      <w:position w:val="0"/>
      <w:sz w:val="22"/>
      <w:szCs w:val="22"/>
      <w:u w:val="none"/>
      <w:lang w:val="fi-FI" w:eastAsia="fi-FI" w:bidi="fi-FI"/>
    </w:rPr>
  </w:style>
  <w:style w:type="character" w:customStyle="1" w:styleId="Bodytext4Exact">
    <w:name w:val="Body text (4) Exact"/>
    <w:basedOn w:val="DefaultParagraphFont"/>
    <w:rPr>
      <w:rFonts w:ascii="Arial" w:eastAsia="Arial" w:hAnsi="Arial" w:cs="Arial"/>
      <w:b w:val="0"/>
      <w:bCs w:val="0"/>
      <w:i w:val="0"/>
      <w:iCs w:val="0"/>
      <w:smallCaps w:val="0"/>
      <w:strike w:val="0"/>
      <w:sz w:val="18"/>
      <w:szCs w:val="18"/>
      <w:u w:val="none"/>
    </w:rPr>
  </w:style>
  <w:style w:type="character" w:customStyle="1" w:styleId="Tablecaption">
    <w:name w:val="Table caption_"/>
    <w:basedOn w:val="DefaultParagraphFont"/>
    <w:link w:val="Tablecaption0"/>
    <w:rPr>
      <w:rFonts w:ascii="Arial" w:eastAsia="Arial" w:hAnsi="Arial" w:cs="Arial"/>
      <w:sz w:val="18"/>
      <w:szCs w:val="18"/>
      <w:shd w:val="clear" w:color="auto" w:fill="FFFFFF"/>
    </w:rPr>
  </w:style>
  <w:style w:type="character" w:customStyle="1" w:styleId="Bodytext29pt">
    <w:name w:val="Body text (2) + 9 pt"/>
    <w:basedOn w:val="Bodytext2"/>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TablecaptionExact">
    <w:name w:val="Table caption Exact"/>
    <w:basedOn w:val="DefaultParagraphFont"/>
    <w:rPr>
      <w:rFonts w:ascii="Arial" w:eastAsia="Arial" w:hAnsi="Arial" w:cs="Arial"/>
      <w:b w:val="0"/>
      <w:bCs w:val="0"/>
      <w:i w:val="0"/>
      <w:iCs w:val="0"/>
      <w:smallCaps w:val="0"/>
      <w:strike w:val="0"/>
      <w:sz w:val="18"/>
      <w:szCs w:val="18"/>
      <w:u w:val="none"/>
    </w:rPr>
  </w:style>
  <w:style w:type="paragraph" w:customStyle="1" w:styleId="Bodytext40">
    <w:name w:val="Body text (4)"/>
    <w:basedOn w:val="Normal"/>
    <w:link w:val="Bodytext4"/>
    <w:pPr>
      <w:widowControl w:val="0"/>
      <w:shd w:val="clear" w:color="auto" w:fill="FFFFFF"/>
      <w:spacing w:after="260" w:line="221" w:lineRule="exact"/>
      <w:ind w:hanging="880"/>
      <w:jc w:val="left"/>
    </w:pPr>
    <w:rPr>
      <w:rFonts w:ascii="Arial" w:eastAsia="Arial" w:hAnsi="Arial" w:cs="Arial"/>
      <w:sz w:val="18"/>
      <w:szCs w:val="18"/>
      <w:lang w:val="en-US"/>
    </w:rPr>
  </w:style>
  <w:style w:type="paragraph" w:customStyle="1" w:styleId="Tablecaption0">
    <w:name w:val="Table caption"/>
    <w:basedOn w:val="Normal"/>
    <w:link w:val="Tablecaption"/>
    <w:pPr>
      <w:widowControl w:val="0"/>
      <w:shd w:val="clear" w:color="auto" w:fill="FFFFFF"/>
      <w:spacing w:after="0" w:line="192" w:lineRule="exact"/>
      <w:ind w:hanging="320"/>
      <w:jc w:val="left"/>
    </w:pPr>
    <w:rPr>
      <w:rFonts w:ascii="Arial" w:eastAsia="Arial" w:hAnsi="Arial" w:cs="Arial"/>
      <w:sz w:val="18"/>
      <w:szCs w:val="18"/>
      <w:lang w:val="en-US"/>
    </w:rPr>
  </w:style>
  <w:style w:type="table" w:customStyle="1" w:styleId="Deloitte1">
    <w:name w:val="Deloitte1"/>
    <w:basedOn w:val="TableNormal"/>
    <w:next w:val="TableGrid"/>
    <w:uiPriority w:val="39"/>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uiPriority w:val="99"/>
    <w:rPr>
      <w:b/>
      <w:i/>
      <w:color w:val="FF0000"/>
    </w:rPr>
  </w:style>
  <w:style w:type="paragraph" w:customStyle="1" w:styleId="Bodytext3">
    <w:name w:val="Body text (3)"/>
    <w:basedOn w:val="Normal"/>
    <w:qFormat/>
    <w:pPr>
      <w:keepNext/>
      <w:widowControl w:val="0"/>
      <w:shd w:val="clear" w:color="auto" w:fill="FFFFFF"/>
      <w:spacing w:after="380" w:line="283" w:lineRule="exact"/>
      <w:jc w:val="right"/>
    </w:pPr>
    <w:rPr>
      <w:rFonts w:ascii="Arial" w:eastAsia="Arial" w:hAnsi="Arial" w:cs="Arial"/>
      <w:b/>
      <w:bCs/>
      <w:color w:val="000000"/>
      <w:sz w:val="21"/>
      <w:szCs w:val="21"/>
      <w:lang w:val="de-DE" w:eastAsia="de-DE" w:bidi="de-DE"/>
    </w:rPr>
  </w:style>
  <w:style w:type="paragraph" w:customStyle="1" w:styleId="JRCAbbreviations">
    <w:name w:val="JRC_Abbreviations"/>
    <w:basedOn w:val="Normal"/>
    <w:qFormat/>
    <w:pPr>
      <w:tabs>
        <w:tab w:val="left" w:pos="851"/>
      </w:tabs>
      <w:spacing w:before="120"/>
      <w:ind w:left="851" w:hanging="851"/>
    </w:pPr>
    <w:rPr>
      <w:rFonts w:ascii="Verdana" w:eastAsia="Calibri" w:hAnsi="Verdana"/>
      <w:sz w:val="20"/>
      <w:szCs w:val="22"/>
    </w:rPr>
  </w:style>
  <w:style w:type="paragraph" w:customStyle="1" w:styleId="JRCCoversubtitle">
    <w:name w:val="JRC_Cover_subtitle"/>
    <w:basedOn w:val="Normal"/>
    <w:qFormat/>
    <w:pPr>
      <w:spacing w:before="120" w:line="400" w:lineRule="exact"/>
      <w:ind w:left="5103"/>
      <w:jc w:val="left"/>
    </w:pPr>
    <w:rPr>
      <w:rFonts w:ascii="Verdana" w:eastAsia="Calibri" w:hAnsi="Verdana"/>
      <w:i/>
      <w:color w:val="646464"/>
      <w:sz w:val="32"/>
      <w:szCs w:val="32"/>
    </w:rPr>
  </w:style>
  <w:style w:type="paragraph" w:customStyle="1" w:styleId="JRCCovertitle">
    <w:name w:val="JRC_Cover_title"/>
    <w:basedOn w:val="Normal"/>
    <w:qFormat/>
    <w:pPr>
      <w:spacing w:before="600" w:after="600" w:line="640" w:lineRule="exact"/>
      <w:ind w:left="-567"/>
      <w:jc w:val="left"/>
    </w:pPr>
    <w:rPr>
      <w:rFonts w:ascii="Verdana" w:eastAsia="Calibri" w:hAnsi="Verdana"/>
      <w:noProof/>
      <w:sz w:val="56"/>
      <w:szCs w:val="56"/>
      <w:lang w:eastAsia="en-GB"/>
    </w:rPr>
  </w:style>
  <w:style w:type="paragraph" w:customStyle="1" w:styleId="JRCEquation">
    <w:name w:val="JRC_Equation"/>
    <w:basedOn w:val="Normal"/>
    <w:next w:val="Normal"/>
    <w:qFormat/>
    <w:pPr>
      <w:spacing w:before="360" w:after="360"/>
      <w:jc w:val="center"/>
    </w:pPr>
    <w:rPr>
      <w:rFonts w:ascii="Verdana" w:eastAsia="Calibri" w:hAnsi="Verdana"/>
      <w:sz w:val="20"/>
      <w:szCs w:val="22"/>
    </w:rPr>
  </w:style>
  <w:style w:type="paragraph" w:customStyle="1" w:styleId="JRCFigurecaption">
    <w:name w:val="JRC_Figure_caption"/>
    <w:basedOn w:val="Normal"/>
    <w:next w:val="JRCText"/>
    <w:qFormat/>
    <w:pPr>
      <w:spacing w:before="360"/>
      <w:jc w:val="center"/>
    </w:pPr>
    <w:rPr>
      <w:rFonts w:ascii="Verdana" w:eastAsia="Calibri" w:hAnsi="Verdana"/>
      <w:sz w:val="18"/>
      <w:szCs w:val="22"/>
    </w:rPr>
  </w:style>
  <w:style w:type="paragraph" w:customStyle="1" w:styleId="JRCLevel-1Fronttitle">
    <w:name w:val="JRC_Level-1_Front_title"/>
    <w:basedOn w:val="Normal"/>
    <w:next w:val="Normal"/>
    <w:link w:val="JRCLevel-1FronttitleChar"/>
    <w:autoRedefine/>
    <w:qFormat/>
    <w:pPr>
      <w:keepNext/>
      <w:pageBreakBefore/>
      <w:jc w:val="left"/>
    </w:pPr>
    <w:rPr>
      <w:rFonts w:ascii="Verdana" w:eastAsia="Times New Roman" w:hAnsi="Verdana"/>
      <w:b/>
      <w:szCs w:val="22"/>
      <w:lang w:eastAsia="en-GB"/>
    </w:rPr>
  </w:style>
  <w:style w:type="character" w:customStyle="1" w:styleId="JRCLevel-1FronttitleChar">
    <w:name w:val="JRC_Level-1_Front_title Char"/>
    <w:link w:val="JRCLevel-1Fronttitle"/>
    <w:rPr>
      <w:rFonts w:ascii="Verdana" w:eastAsia="Times New Roman" w:hAnsi="Verdana" w:cs="Times New Roman"/>
      <w:b/>
      <w:sz w:val="24"/>
      <w:lang w:val="en-GB" w:eastAsia="en-GB"/>
    </w:rPr>
  </w:style>
  <w:style w:type="paragraph" w:customStyle="1" w:styleId="JRCLevel-2Backtitle">
    <w:name w:val="JRC_Level-2_Back_title"/>
    <w:basedOn w:val="Normal"/>
    <w:next w:val="JRCText"/>
    <w:link w:val="JRCLevel-2BacktitleChar"/>
    <w:qFormat/>
    <w:pPr>
      <w:keepNext/>
      <w:spacing w:before="120"/>
      <w:jc w:val="left"/>
      <w:outlineLvl w:val="1"/>
    </w:pPr>
    <w:rPr>
      <w:rFonts w:ascii="Verdana" w:eastAsia="Calibri" w:hAnsi="Verdana"/>
      <w:b/>
      <w:sz w:val="20"/>
      <w:szCs w:val="22"/>
    </w:rPr>
  </w:style>
  <w:style w:type="character" w:customStyle="1" w:styleId="JRCLevel-2BacktitleChar">
    <w:name w:val="JRC_Level-2_Back_title Char"/>
    <w:link w:val="JRCLevel-2Backtitle"/>
    <w:rPr>
      <w:rFonts w:ascii="Verdana" w:eastAsia="Calibri" w:hAnsi="Verdana" w:cs="Times New Roman"/>
      <w:b/>
      <w:sz w:val="20"/>
      <w:lang w:val="en-GB"/>
    </w:rPr>
  </w:style>
  <w:style w:type="paragraph" w:customStyle="1" w:styleId="JRCLevel-2Frontsmalltitle">
    <w:name w:val="JRC_Level-2_Front_small_title"/>
    <w:basedOn w:val="Normal"/>
    <w:next w:val="JRCText"/>
    <w:autoRedefine/>
    <w:qFormat/>
    <w:pPr>
      <w:keepNext/>
      <w:spacing w:before="240"/>
      <w:jc w:val="left"/>
    </w:pPr>
    <w:rPr>
      <w:rFonts w:ascii="Verdana" w:eastAsia="Calibri" w:hAnsi="Verdana"/>
      <w:b/>
      <w:i/>
      <w:sz w:val="20"/>
      <w:szCs w:val="22"/>
    </w:rPr>
  </w:style>
  <w:style w:type="paragraph" w:customStyle="1" w:styleId="JRCTabletitle">
    <w:name w:val="JRC_Table_title"/>
    <w:basedOn w:val="Normal"/>
    <w:autoRedefine/>
    <w:qFormat/>
    <w:pPr>
      <w:keepNext/>
      <w:spacing w:before="240"/>
      <w:jc w:val="left"/>
    </w:pPr>
    <w:rPr>
      <w:rFonts w:ascii="Verdana" w:eastAsia="Calibri" w:hAnsi="Verdana"/>
      <w:color w:val="000000"/>
      <w:sz w:val="18"/>
      <w:szCs w:val="22"/>
    </w:rPr>
  </w:style>
  <w:style w:type="paragraph" w:styleId="TableofFigures">
    <w:name w:val="table of figures"/>
    <w:basedOn w:val="Normal"/>
    <w:next w:val="Normal"/>
    <w:uiPriority w:val="99"/>
    <w:unhideWhenUsed/>
    <w:pPr>
      <w:spacing w:before="120"/>
      <w:jc w:val="left"/>
    </w:pPr>
    <w:rPr>
      <w:rFonts w:ascii="Verdana" w:eastAsia="Calibri" w:hAnsi="Verdana"/>
      <w:sz w:val="20"/>
      <w:szCs w:val="22"/>
    </w:rPr>
  </w:style>
  <w:style w:type="paragraph" w:customStyle="1" w:styleId="JRCText">
    <w:name w:val="JRC_Text"/>
    <w:basedOn w:val="Normal"/>
    <w:qFormat/>
    <w:pPr>
      <w:spacing w:before="120"/>
    </w:pPr>
    <w:rPr>
      <w:rFonts w:ascii="Verdana" w:eastAsia="Calibri" w:hAnsi="Verdana"/>
      <w:sz w:val="20"/>
      <w:szCs w:val="22"/>
    </w:rPr>
  </w:style>
  <w:style w:type="paragraph" w:customStyle="1" w:styleId="JRCTextbulletedlist1">
    <w:name w:val="JRC_Text_bulleted_list1"/>
    <w:basedOn w:val="Normal"/>
    <w:qFormat/>
    <w:pPr>
      <w:numPr>
        <w:numId w:val="24"/>
      </w:numPr>
      <w:spacing w:before="120"/>
    </w:pPr>
    <w:rPr>
      <w:rFonts w:ascii="Verdana" w:eastAsia="Times New Roman" w:hAnsi="Verdana"/>
      <w:sz w:val="20"/>
      <w:szCs w:val="22"/>
      <w:lang w:eastAsia="en-GB"/>
    </w:rPr>
  </w:style>
  <w:style w:type="paragraph" w:styleId="TOC4">
    <w:name w:val="toc 4"/>
    <w:basedOn w:val="Normal"/>
    <w:next w:val="Normal"/>
    <w:autoRedefine/>
    <w:uiPriority w:val="39"/>
    <w:unhideWhenUsed/>
    <w:pPr>
      <w:tabs>
        <w:tab w:val="left" w:pos="1701"/>
        <w:tab w:val="right" w:leader="dot" w:pos="9016"/>
      </w:tabs>
      <w:spacing w:before="120" w:after="100"/>
      <w:ind w:left="851"/>
      <w:jc w:val="left"/>
    </w:pPr>
    <w:rPr>
      <w:rFonts w:ascii="Verdana" w:eastAsia="Calibri" w:hAnsi="Verdana"/>
      <w:noProof/>
      <w:sz w:val="20"/>
      <w:szCs w:val="22"/>
    </w:rPr>
  </w:style>
  <w:style w:type="paragraph" w:styleId="TOC5">
    <w:name w:val="toc 5"/>
    <w:basedOn w:val="Normal"/>
    <w:next w:val="Normal"/>
    <w:autoRedefine/>
    <w:uiPriority w:val="39"/>
    <w:unhideWhenUsed/>
    <w:pPr>
      <w:tabs>
        <w:tab w:val="left" w:pos="2268"/>
        <w:tab w:val="right" w:leader="dot" w:pos="9016"/>
      </w:tabs>
      <w:spacing w:before="120" w:after="100"/>
      <w:ind w:left="1134"/>
      <w:jc w:val="left"/>
    </w:pPr>
    <w:rPr>
      <w:rFonts w:ascii="Verdana" w:eastAsia="Calibri" w:hAnsi="Verdana"/>
      <w:noProof/>
      <w:sz w:val="20"/>
      <w:szCs w:val="22"/>
    </w:rPr>
  </w:style>
  <w:style w:type="paragraph" w:customStyle="1" w:styleId="JRCLevel-2title">
    <w:name w:val="JRC_Level-2_title"/>
    <w:basedOn w:val="Heading2"/>
    <w:next w:val="JRCText"/>
    <w:qFormat/>
    <w:pPr>
      <w:numPr>
        <w:ilvl w:val="1"/>
        <w:numId w:val="25"/>
      </w:numPr>
      <w:spacing w:before="240"/>
    </w:pPr>
    <w:rPr>
      <w:rFonts w:ascii="Verdana" w:eastAsia="Times New Roman" w:hAnsi="Verdana"/>
      <w:iCs/>
      <w:color w:val="auto"/>
      <w:sz w:val="24"/>
    </w:rPr>
  </w:style>
  <w:style w:type="paragraph" w:customStyle="1" w:styleId="JRCLevel-1title">
    <w:name w:val="JRC_Level-1_title"/>
    <w:basedOn w:val="Heading1"/>
    <w:next w:val="JRCText"/>
    <w:qFormat/>
    <w:pPr>
      <w:keepLines w:val="0"/>
      <w:pageBreakBefore/>
      <w:numPr>
        <w:numId w:val="25"/>
      </w:numPr>
      <w:spacing w:before="0" w:after="120"/>
      <w:jc w:val="left"/>
    </w:pPr>
    <w:rPr>
      <w:rFonts w:ascii="Verdana" w:eastAsia="Calibri" w:hAnsi="Verdana"/>
      <w:bCs w:val="0"/>
      <w:color w:val="auto"/>
      <w:sz w:val="26"/>
      <w:szCs w:val="24"/>
    </w:rPr>
  </w:style>
  <w:style w:type="paragraph" w:customStyle="1" w:styleId="JRCTextbulletedlist2">
    <w:name w:val="JRC_Text_bulleted_list2"/>
    <w:basedOn w:val="Normal"/>
    <w:autoRedefine/>
    <w:qFormat/>
    <w:pPr>
      <w:numPr>
        <w:numId w:val="28"/>
      </w:numPr>
      <w:spacing w:before="120"/>
    </w:pPr>
    <w:rPr>
      <w:rFonts w:ascii="Verdana" w:eastAsia="Times New Roman" w:hAnsi="Verdana"/>
      <w:sz w:val="20"/>
      <w:szCs w:val="22"/>
      <w:lang w:eastAsia="en-GB"/>
    </w:rPr>
  </w:style>
  <w:style w:type="paragraph" w:customStyle="1" w:styleId="JRCLevel-4title">
    <w:name w:val="JRC_Level-4_title"/>
    <w:basedOn w:val="Normal"/>
    <w:next w:val="JRCText"/>
    <w:qFormat/>
    <w:pPr>
      <w:keepNext/>
      <w:numPr>
        <w:ilvl w:val="3"/>
        <w:numId w:val="25"/>
      </w:numPr>
      <w:spacing w:before="240"/>
      <w:jc w:val="left"/>
    </w:pPr>
    <w:rPr>
      <w:rFonts w:ascii="Verdana" w:eastAsia="Times New Roman" w:hAnsi="Verdana"/>
      <w:b/>
      <w:i/>
      <w:sz w:val="20"/>
      <w:szCs w:val="22"/>
      <w:lang w:eastAsia="en-GB"/>
    </w:rPr>
  </w:style>
  <w:style w:type="paragraph" w:customStyle="1" w:styleId="JRCLevel-3title">
    <w:name w:val="JRC_Level-3_title"/>
    <w:basedOn w:val="Heading3"/>
    <w:next w:val="JRCText"/>
    <w:qFormat/>
    <w:pPr>
      <w:numPr>
        <w:ilvl w:val="2"/>
        <w:numId w:val="25"/>
      </w:numPr>
      <w:spacing w:before="240"/>
    </w:pPr>
    <w:rPr>
      <w:rFonts w:ascii="Verdana" w:eastAsia="Times New Roman" w:hAnsi="Verdana" w:cs="Times New Roman"/>
      <w:color w:val="auto"/>
    </w:rPr>
  </w:style>
  <w:style w:type="paragraph" w:customStyle="1" w:styleId="JRCLevel-5title">
    <w:name w:val="JRC_Level-5_title"/>
    <w:basedOn w:val="Normal"/>
    <w:next w:val="JRCText"/>
    <w:qFormat/>
    <w:pPr>
      <w:keepNext/>
      <w:numPr>
        <w:ilvl w:val="4"/>
        <w:numId w:val="25"/>
      </w:numPr>
      <w:spacing w:before="200" w:after="0"/>
      <w:jc w:val="left"/>
      <w:outlineLvl w:val="4"/>
    </w:pPr>
    <w:rPr>
      <w:rFonts w:ascii="Verdana" w:eastAsia="Times New Roman" w:hAnsi="Verdana"/>
      <w:sz w:val="20"/>
      <w:szCs w:val="22"/>
      <w:lang w:eastAsia="en-GB"/>
    </w:rPr>
  </w:style>
  <w:style w:type="paragraph" w:customStyle="1" w:styleId="JRCLevel-1Backtitle">
    <w:name w:val="JRC_Level-1_Back_title"/>
    <w:basedOn w:val="Normal"/>
    <w:next w:val="JRCText"/>
    <w:qFormat/>
    <w:pPr>
      <w:keepNext/>
      <w:pageBreakBefore/>
      <w:jc w:val="left"/>
      <w:outlineLvl w:val="0"/>
    </w:pPr>
    <w:rPr>
      <w:rFonts w:ascii="Verdana" w:eastAsia="Times New Roman" w:hAnsi="Verdana"/>
      <w:b/>
      <w:szCs w:val="22"/>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pPr>
    <w:rPr>
      <w:rFonts w:ascii="Verdana" w:eastAsia="Times New Roman" w:hAnsi="Verdana"/>
      <w:sz w:val="18"/>
      <w:szCs w:val="22"/>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pPr>
    <w:rPr>
      <w:rFonts w:ascii="Verdana" w:eastAsia="Times New Roman" w:hAnsi="Verdana"/>
      <w:sz w:val="20"/>
      <w:szCs w:val="22"/>
      <w:lang w:eastAsia="en-GB"/>
    </w:rPr>
  </w:style>
  <w:style w:type="paragraph" w:customStyle="1" w:styleId="JRCBoxbulletlist">
    <w:name w:val="JRC_Box_bullet_list"/>
    <w:basedOn w:val="Normal"/>
    <w:qFormat/>
    <w:pPr>
      <w:numPr>
        <w:numId w:val="26"/>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pPr>
    <w:rPr>
      <w:rFonts w:ascii="Verdana" w:eastAsia="Times New Roman" w:hAnsi="Verdana"/>
      <w:sz w:val="20"/>
      <w:szCs w:val="22"/>
      <w:lang w:eastAsia="en-GB"/>
    </w:rPr>
  </w:style>
  <w:style w:type="paragraph" w:customStyle="1" w:styleId="JRCTextnumberedlist1">
    <w:name w:val="JRC_Text_numbered_list1"/>
    <w:basedOn w:val="Normal"/>
    <w:autoRedefine/>
    <w:qFormat/>
    <w:pPr>
      <w:numPr>
        <w:numId w:val="27"/>
      </w:numPr>
      <w:spacing w:before="120"/>
    </w:pPr>
    <w:rPr>
      <w:rFonts w:ascii="Verdana" w:eastAsia="Times New Roman" w:hAnsi="Verdana"/>
      <w:sz w:val="20"/>
      <w:szCs w:val="22"/>
      <w:lang w:eastAsia="en-GB"/>
    </w:rPr>
  </w:style>
  <w:style w:type="paragraph" w:customStyle="1" w:styleId="JRCCoverauthor">
    <w:name w:val="JRC_Cover_author"/>
    <w:basedOn w:val="Normal"/>
    <w:qFormat/>
    <w:pPr>
      <w:spacing w:before="120"/>
      <w:jc w:val="left"/>
    </w:pPr>
    <w:rPr>
      <w:rFonts w:ascii="Verdana" w:eastAsia="Times New Roman" w:hAnsi="Verdana"/>
      <w:sz w:val="20"/>
      <w:szCs w:val="22"/>
      <w:lang w:eastAsia="en-GB"/>
    </w:rPr>
  </w:style>
  <w:style w:type="paragraph" w:customStyle="1" w:styleId="JRCCoveryear">
    <w:name w:val="JRC_Cover_year"/>
    <w:basedOn w:val="Normal"/>
    <w:pPr>
      <w:spacing w:after="0"/>
      <w:jc w:val="left"/>
    </w:pPr>
    <w:rPr>
      <w:rFonts w:ascii="Verdana" w:eastAsia="Times New Roman" w:hAnsi="Verdana"/>
      <w:sz w:val="20"/>
      <w:szCs w:val="22"/>
      <w:lang w:eastAsia="en-GB"/>
    </w:rPr>
  </w:style>
  <w:style w:type="paragraph" w:customStyle="1" w:styleId="JRCCoverclass">
    <w:name w:val="JRC_Cover_class"/>
    <w:basedOn w:val="Normal"/>
    <w:next w:val="JRCCoveryear"/>
    <w:pPr>
      <w:spacing w:before="120"/>
    </w:pPr>
    <w:rPr>
      <w:rFonts w:ascii="Verdana" w:eastAsia="Times New Roman" w:hAnsi="Verdana"/>
      <w:color w:val="FF0000"/>
      <w:sz w:val="20"/>
      <w:szCs w:val="22"/>
      <w:lang w:eastAsia="en-GB"/>
    </w:rPr>
  </w:style>
  <w:style w:type="paragraph" w:customStyle="1" w:styleId="JRCCoverEUR">
    <w:name w:val="JRC_Cover_EUR"/>
    <w:basedOn w:val="Normal"/>
    <w:pPr>
      <w:spacing w:after="0"/>
      <w:jc w:val="right"/>
    </w:pPr>
    <w:rPr>
      <w:rFonts w:ascii="Verdana" w:eastAsia="Times New Roman" w:hAnsi="Verdana"/>
      <w:sz w:val="18"/>
      <w:szCs w:val="22"/>
      <w:lang w:eastAsia="en-GB"/>
    </w:rPr>
  </w:style>
  <w:style w:type="paragraph" w:customStyle="1" w:styleId="JRCCovertext">
    <w:name w:val="JRC_Cover_text"/>
    <w:basedOn w:val="Normal"/>
    <w:qFormat/>
    <w:pPr>
      <w:widowControl w:val="0"/>
      <w:spacing w:after="0" w:line="200" w:lineRule="exact"/>
      <w:jc w:val="left"/>
    </w:pPr>
    <w:rPr>
      <w:rFonts w:ascii="Verdana" w:eastAsia="Times New Roman" w:hAnsi="Verdana"/>
      <w:sz w:val="16"/>
      <w:szCs w:val="14"/>
      <w:lang w:eastAsia="en-GB"/>
    </w:rPr>
  </w:style>
  <w:style w:type="paragraph" w:customStyle="1" w:styleId="JRCTablesource">
    <w:name w:val="JRC_Table_source"/>
    <w:basedOn w:val="Normal"/>
    <w:next w:val="JRCText"/>
    <w:qFormat/>
    <w:rPr>
      <w:rFonts w:ascii="Verdana" w:eastAsia="Times New Roman" w:hAnsi="Verdana"/>
      <w:sz w:val="16"/>
      <w:szCs w:val="22"/>
      <w:lang w:eastAsia="en-GB"/>
    </w:rPr>
  </w:style>
  <w:style w:type="paragraph" w:customStyle="1" w:styleId="JRCFiguresource">
    <w:name w:val="JRC_Figure_source"/>
    <w:basedOn w:val="Normal"/>
    <w:next w:val="JRCText"/>
    <w:qFormat/>
    <w:pPr>
      <w:spacing w:after="360"/>
      <w:jc w:val="center"/>
    </w:pPr>
    <w:rPr>
      <w:rFonts w:ascii="Verdana" w:eastAsia="Times New Roman" w:hAnsi="Verdana"/>
      <w:sz w:val="16"/>
      <w:szCs w:val="22"/>
      <w:lang w:eastAsia="en-GB"/>
    </w:rPr>
  </w:style>
  <w:style w:type="paragraph" w:customStyle="1" w:styleId="JRCTablenote">
    <w:name w:val="JRC_Table_note"/>
    <w:basedOn w:val="Normal"/>
    <w:qFormat/>
    <w:pPr>
      <w:ind w:left="357" w:hanging="357"/>
      <w:contextualSpacing/>
    </w:pPr>
    <w:rPr>
      <w:rFonts w:ascii="Verdana" w:eastAsia="Times New Roman" w:hAnsi="Verdana"/>
      <w:sz w:val="16"/>
      <w:szCs w:val="22"/>
      <w:lang w:eastAsia="en-GB"/>
    </w:rPr>
  </w:style>
  <w:style w:type="paragraph" w:customStyle="1" w:styleId="JRCTextnumberedlist2">
    <w:name w:val="JRC_Text_numbered_list2"/>
    <w:basedOn w:val="Normal"/>
    <w:qFormat/>
    <w:pPr>
      <w:numPr>
        <w:ilvl w:val="1"/>
        <w:numId w:val="27"/>
      </w:numPr>
      <w:spacing w:before="120"/>
    </w:pPr>
    <w:rPr>
      <w:rFonts w:ascii="Verdana" w:eastAsia="Times New Roman" w:hAnsi="Verdana"/>
      <w:sz w:val="20"/>
      <w:szCs w:val="22"/>
      <w:lang w:eastAsia="en-GB"/>
    </w:rPr>
  </w:style>
  <w:style w:type="character" w:styleId="PlaceholderText">
    <w:name w:val="Placeholder Text"/>
    <w:basedOn w:val="DefaultParagraphFont"/>
    <w:uiPriority w:val="99"/>
    <w:semiHidden/>
    <w:rPr>
      <w:color w:val="808080"/>
    </w:rPr>
  </w:style>
  <w:style w:type="paragraph" w:styleId="Caption">
    <w:name w:val="caption"/>
    <w:basedOn w:val="Normal"/>
    <w:next w:val="Normal"/>
    <w:uiPriority w:val="35"/>
    <w:unhideWhenUsed/>
    <w:qFormat/>
    <w:pPr>
      <w:spacing w:after="200"/>
    </w:pPr>
    <w:rPr>
      <w:rFonts w:ascii="Verdana" w:eastAsia="Times New Roman" w:hAnsi="Verdana"/>
      <w:b/>
      <w:bCs/>
      <w:color w:val="4F81BD" w:themeColor="accent1"/>
      <w:sz w:val="18"/>
      <w:szCs w:val="18"/>
      <w:lang w:eastAsia="en-GB"/>
    </w:rPr>
  </w:style>
  <w:style w:type="paragraph" w:styleId="TOC6">
    <w:name w:val="toc 6"/>
    <w:basedOn w:val="Normal"/>
    <w:next w:val="Normal"/>
    <w:autoRedefine/>
    <w:uiPriority w:val="39"/>
    <w:unhideWhenUsed/>
    <w:pPr>
      <w:spacing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spacing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spacing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pPr>
      <w:spacing w:after="100" w:line="276" w:lineRule="auto"/>
      <w:ind w:left="1760"/>
      <w:jc w:val="left"/>
    </w:pPr>
    <w:rPr>
      <w:rFonts w:asciiTheme="minorHAnsi" w:eastAsiaTheme="minorEastAsia" w:hAnsiTheme="minorHAnsi" w:cstheme="minorBidi"/>
      <w:sz w:val="22"/>
      <w:szCs w:val="22"/>
      <w:lang w:eastAsia="en-GB"/>
    </w:rPr>
  </w:style>
  <w:style w:type="table" w:customStyle="1" w:styleId="TableGrid6">
    <w:name w:val="Table Grid6"/>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pPr>
      <w:numPr>
        <w:numId w:val="37"/>
      </w:numPr>
      <w:spacing w:after="240"/>
    </w:pPr>
    <w:rPr>
      <w:rFonts w:eastAsia="Times New Roman"/>
      <w:szCs w:val="20"/>
    </w:rPr>
  </w:style>
  <w:style w:type="paragraph" w:customStyle="1" w:styleId="ListNumberLevel2">
    <w:name w:val="List Number (Level 2)"/>
    <w:basedOn w:val="Normal"/>
    <w:pPr>
      <w:numPr>
        <w:ilvl w:val="1"/>
        <w:numId w:val="37"/>
      </w:numPr>
      <w:spacing w:after="240"/>
    </w:pPr>
    <w:rPr>
      <w:rFonts w:eastAsia="Times New Roman"/>
      <w:szCs w:val="20"/>
    </w:rPr>
  </w:style>
  <w:style w:type="paragraph" w:customStyle="1" w:styleId="ListNumberLevel3">
    <w:name w:val="List Number (Level 3)"/>
    <w:basedOn w:val="Normal"/>
    <w:pPr>
      <w:numPr>
        <w:ilvl w:val="2"/>
        <w:numId w:val="37"/>
      </w:numPr>
      <w:spacing w:after="240"/>
    </w:pPr>
    <w:rPr>
      <w:rFonts w:eastAsia="Times New Roman"/>
      <w:szCs w:val="20"/>
    </w:rPr>
  </w:style>
  <w:style w:type="paragraph" w:customStyle="1" w:styleId="ListNumberLevel4">
    <w:name w:val="List Number (Level 4)"/>
    <w:basedOn w:val="Normal"/>
    <w:pPr>
      <w:numPr>
        <w:ilvl w:val="3"/>
        <w:numId w:val="37"/>
      </w:numPr>
      <w:spacing w:after="240"/>
    </w:pPr>
    <w:rPr>
      <w:rFonts w:eastAsia="Times New Roman"/>
      <w:szCs w:val="20"/>
    </w:rPr>
  </w:style>
  <w:style w:type="paragraph" w:customStyle="1" w:styleId="Text1">
    <w:name w:val="Text 1"/>
    <w:basedOn w:val="Normal"/>
    <w:pPr>
      <w:spacing w:before="120"/>
      <w:ind w:left="850"/>
    </w:pPr>
    <w:rPr>
      <w:szCs w:val="22"/>
    </w:rPr>
  </w:style>
  <w:style w:type="paragraph" w:customStyle="1" w:styleId="Point1letter">
    <w:name w:val="Point 1 (letter)"/>
    <w:basedOn w:val="Normal"/>
    <w:pPr>
      <w:tabs>
        <w:tab w:val="num" w:pos="1417"/>
      </w:tabs>
      <w:spacing w:before="120"/>
      <w:ind w:left="1417" w:hanging="567"/>
    </w:pPr>
    <w:rPr>
      <w:szCs w:val="22"/>
      <w:lang w:val="en-GB"/>
    </w:rPr>
  </w:style>
  <w:style w:type="paragraph" w:customStyle="1" w:styleId="Considrant">
    <w:name w:val="Considérant"/>
    <w:basedOn w:val="Normal"/>
    <w:pPr>
      <w:tabs>
        <w:tab w:val="num" w:pos="709"/>
      </w:tabs>
      <w:spacing w:before="120"/>
      <w:ind w:left="709" w:hanging="709"/>
    </w:pPr>
    <w:rPr>
      <w:szCs w:val="22"/>
      <w:lang w:val="en-GB"/>
    </w:rPr>
  </w:style>
  <w:style w:type="character" w:customStyle="1" w:styleId="BODYChar">
    <w:name w:val="BODY Char"/>
    <w:link w:val="BODY"/>
    <w:locked/>
    <w:rPr>
      <w:rFonts w:ascii="Verdana" w:hAnsi="Verdana"/>
    </w:rPr>
  </w:style>
  <w:style w:type="paragraph" w:customStyle="1" w:styleId="BODY">
    <w:name w:val="BODY"/>
    <w:basedOn w:val="Normal"/>
    <w:link w:val="BODYChar"/>
    <w:autoRedefine/>
    <w:qFormat/>
    <w:pPr>
      <w:spacing w:before="120" w:line="360" w:lineRule="auto"/>
    </w:pPr>
    <w:rPr>
      <w:rFonts w:ascii="Verdana" w:hAnsi="Verdana"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562">
      <w:bodyDiv w:val="1"/>
      <w:marLeft w:val="0"/>
      <w:marRight w:val="0"/>
      <w:marTop w:val="0"/>
      <w:marBottom w:val="0"/>
      <w:divBdr>
        <w:top w:val="none" w:sz="0" w:space="0" w:color="auto"/>
        <w:left w:val="none" w:sz="0" w:space="0" w:color="auto"/>
        <w:bottom w:val="none" w:sz="0" w:space="0" w:color="auto"/>
        <w:right w:val="none" w:sz="0" w:space="0" w:color="auto"/>
      </w:divBdr>
    </w:div>
    <w:div w:id="7097002">
      <w:bodyDiv w:val="1"/>
      <w:marLeft w:val="0"/>
      <w:marRight w:val="0"/>
      <w:marTop w:val="0"/>
      <w:marBottom w:val="0"/>
      <w:divBdr>
        <w:top w:val="none" w:sz="0" w:space="0" w:color="auto"/>
        <w:left w:val="none" w:sz="0" w:space="0" w:color="auto"/>
        <w:bottom w:val="none" w:sz="0" w:space="0" w:color="auto"/>
        <w:right w:val="none" w:sz="0" w:space="0" w:color="auto"/>
      </w:divBdr>
    </w:div>
    <w:div w:id="11149213">
      <w:bodyDiv w:val="1"/>
      <w:marLeft w:val="0"/>
      <w:marRight w:val="0"/>
      <w:marTop w:val="0"/>
      <w:marBottom w:val="0"/>
      <w:divBdr>
        <w:top w:val="none" w:sz="0" w:space="0" w:color="auto"/>
        <w:left w:val="none" w:sz="0" w:space="0" w:color="auto"/>
        <w:bottom w:val="none" w:sz="0" w:space="0" w:color="auto"/>
        <w:right w:val="none" w:sz="0" w:space="0" w:color="auto"/>
      </w:divBdr>
    </w:div>
    <w:div w:id="46034104">
      <w:bodyDiv w:val="1"/>
      <w:marLeft w:val="0"/>
      <w:marRight w:val="0"/>
      <w:marTop w:val="0"/>
      <w:marBottom w:val="0"/>
      <w:divBdr>
        <w:top w:val="none" w:sz="0" w:space="0" w:color="auto"/>
        <w:left w:val="none" w:sz="0" w:space="0" w:color="auto"/>
        <w:bottom w:val="none" w:sz="0" w:space="0" w:color="auto"/>
        <w:right w:val="none" w:sz="0" w:space="0" w:color="auto"/>
      </w:divBdr>
    </w:div>
    <w:div w:id="58526810">
      <w:bodyDiv w:val="1"/>
      <w:marLeft w:val="0"/>
      <w:marRight w:val="0"/>
      <w:marTop w:val="0"/>
      <w:marBottom w:val="0"/>
      <w:divBdr>
        <w:top w:val="none" w:sz="0" w:space="0" w:color="auto"/>
        <w:left w:val="none" w:sz="0" w:space="0" w:color="auto"/>
        <w:bottom w:val="none" w:sz="0" w:space="0" w:color="auto"/>
        <w:right w:val="none" w:sz="0" w:space="0" w:color="auto"/>
      </w:divBdr>
    </w:div>
    <w:div w:id="83188929">
      <w:bodyDiv w:val="1"/>
      <w:marLeft w:val="0"/>
      <w:marRight w:val="0"/>
      <w:marTop w:val="0"/>
      <w:marBottom w:val="0"/>
      <w:divBdr>
        <w:top w:val="none" w:sz="0" w:space="0" w:color="auto"/>
        <w:left w:val="none" w:sz="0" w:space="0" w:color="auto"/>
        <w:bottom w:val="none" w:sz="0" w:space="0" w:color="auto"/>
        <w:right w:val="none" w:sz="0" w:space="0" w:color="auto"/>
      </w:divBdr>
    </w:div>
    <w:div w:id="84112417">
      <w:bodyDiv w:val="1"/>
      <w:marLeft w:val="0"/>
      <w:marRight w:val="0"/>
      <w:marTop w:val="0"/>
      <w:marBottom w:val="0"/>
      <w:divBdr>
        <w:top w:val="none" w:sz="0" w:space="0" w:color="auto"/>
        <w:left w:val="none" w:sz="0" w:space="0" w:color="auto"/>
        <w:bottom w:val="none" w:sz="0" w:space="0" w:color="auto"/>
        <w:right w:val="none" w:sz="0" w:space="0" w:color="auto"/>
      </w:divBdr>
    </w:div>
    <w:div w:id="101995585">
      <w:bodyDiv w:val="1"/>
      <w:marLeft w:val="0"/>
      <w:marRight w:val="0"/>
      <w:marTop w:val="0"/>
      <w:marBottom w:val="0"/>
      <w:divBdr>
        <w:top w:val="none" w:sz="0" w:space="0" w:color="auto"/>
        <w:left w:val="none" w:sz="0" w:space="0" w:color="auto"/>
        <w:bottom w:val="none" w:sz="0" w:space="0" w:color="auto"/>
        <w:right w:val="none" w:sz="0" w:space="0" w:color="auto"/>
      </w:divBdr>
    </w:div>
    <w:div w:id="107546555">
      <w:bodyDiv w:val="1"/>
      <w:marLeft w:val="0"/>
      <w:marRight w:val="0"/>
      <w:marTop w:val="0"/>
      <w:marBottom w:val="0"/>
      <w:divBdr>
        <w:top w:val="none" w:sz="0" w:space="0" w:color="auto"/>
        <w:left w:val="none" w:sz="0" w:space="0" w:color="auto"/>
        <w:bottom w:val="none" w:sz="0" w:space="0" w:color="auto"/>
        <w:right w:val="none" w:sz="0" w:space="0" w:color="auto"/>
      </w:divBdr>
    </w:div>
    <w:div w:id="118497198">
      <w:bodyDiv w:val="1"/>
      <w:marLeft w:val="0"/>
      <w:marRight w:val="0"/>
      <w:marTop w:val="0"/>
      <w:marBottom w:val="0"/>
      <w:divBdr>
        <w:top w:val="none" w:sz="0" w:space="0" w:color="auto"/>
        <w:left w:val="none" w:sz="0" w:space="0" w:color="auto"/>
        <w:bottom w:val="none" w:sz="0" w:space="0" w:color="auto"/>
        <w:right w:val="none" w:sz="0" w:space="0" w:color="auto"/>
      </w:divBdr>
    </w:div>
    <w:div w:id="121045489">
      <w:bodyDiv w:val="1"/>
      <w:marLeft w:val="0"/>
      <w:marRight w:val="0"/>
      <w:marTop w:val="0"/>
      <w:marBottom w:val="0"/>
      <w:divBdr>
        <w:top w:val="none" w:sz="0" w:space="0" w:color="auto"/>
        <w:left w:val="none" w:sz="0" w:space="0" w:color="auto"/>
        <w:bottom w:val="none" w:sz="0" w:space="0" w:color="auto"/>
        <w:right w:val="none" w:sz="0" w:space="0" w:color="auto"/>
      </w:divBdr>
    </w:div>
    <w:div w:id="131942696">
      <w:bodyDiv w:val="1"/>
      <w:marLeft w:val="0"/>
      <w:marRight w:val="0"/>
      <w:marTop w:val="0"/>
      <w:marBottom w:val="0"/>
      <w:divBdr>
        <w:top w:val="none" w:sz="0" w:space="0" w:color="auto"/>
        <w:left w:val="none" w:sz="0" w:space="0" w:color="auto"/>
        <w:bottom w:val="none" w:sz="0" w:space="0" w:color="auto"/>
        <w:right w:val="none" w:sz="0" w:space="0" w:color="auto"/>
      </w:divBdr>
    </w:div>
    <w:div w:id="134417134">
      <w:bodyDiv w:val="1"/>
      <w:marLeft w:val="0"/>
      <w:marRight w:val="0"/>
      <w:marTop w:val="0"/>
      <w:marBottom w:val="0"/>
      <w:divBdr>
        <w:top w:val="none" w:sz="0" w:space="0" w:color="auto"/>
        <w:left w:val="none" w:sz="0" w:space="0" w:color="auto"/>
        <w:bottom w:val="none" w:sz="0" w:space="0" w:color="auto"/>
        <w:right w:val="none" w:sz="0" w:space="0" w:color="auto"/>
      </w:divBdr>
    </w:div>
    <w:div w:id="135074160">
      <w:bodyDiv w:val="1"/>
      <w:marLeft w:val="0"/>
      <w:marRight w:val="0"/>
      <w:marTop w:val="0"/>
      <w:marBottom w:val="0"/>
      <w:divBdr>
        <w:top w:val="none" w:sz="0" w:space="0" w:color="auto"/>
        <w:left w:val="none" w:sz="0" w:space="0" w:color="auto"/>
        <w:bottom w:val="none" w:sz="0" w:space="0" w:color="auto"/>
        <w:right w:val="none" w:sz="0" w:space="0" w:color="auto"/>
      </w:divBdr>
    </w:div>
    <w:div w:id="137843352">
      <w:bodyDiv w:val="1"/>
      <w:marLeft w:val="0"/>
      <w:marRight w:val="0"/>
      <w:marTop w:val="0"/>
      <w:marBottom w:val="0"/>
      <w:divBdr>
        <w:top w:val="none" w:sz="0" w:space="0" w:color="auto"/>
        <w:left w:val="none" w:sz="0" w:space="0" w:color="auto"/>
        <w:bottom w:val="none" w:sz="0" w:space="0" w:color="auto"/>
        <w:right w:val="none" w:sz="0" w:space="0" w:color="auto"/>
      </w:divBdr>
    </w:div>
    <w:div w:id="143860418">
      <w:bodyDiv w:val="1"/>
      <w:marLeft w:val="0"/>
      <w:marRight w:val="0"/>
      <w:marTop w:val="0"/>
      <w:marBottom w:val="0"/>
      <w:divBdr>
        <w:top w:val="none" w:sz="0" w:space="0" w:color="auto"/>
        <w:left w:val="none" w:sz="0" w:space="0" w:color="auto"/>
        <w:bottom w:val="none" w:sz="0" w:space="0" w:color="auto"/>
        <w:right w:val="none" w:sz="0" w:space="0" w:color="auto"/>
      </w:divBdr>
    </w:div>
    <w:div w:id="161747436">
      <w:bodyDiv w:val="1"/>
      <w:marLeft w:val="0"/>
      <w:marRight w:val="0"/>
      <w:marTop w:val="0"/>
      <w:marBottom w:val="0"/>
      <w:divBdr>
        <w:top w:val="none" w:sz="0" w:space="0" w:color="auto"/>
        <w:left w:val="none" w:sz="0" w:space="0" w:color="auto"/>
        <w:bottom w:val="none" w:sz="0" w:space="0" w:color="auto"/>
        <w:right w:val="none" w:sz="0" w:space="0" w:color="auto"/>
      </w:divBdr>
    </w:div>
    <w:div w:id="177013803">
      <w:bodyDiv w:val="1"/>
      <w:marLeft w:val="0"/>
      <w:marRight w:val="0"/>
      <w:marTop w:val="0"/>
      <w:marBottom w:val="0"/>
      <w:divBdr>
        <w:top w:val="none" w:sz="0" w:space="0" w:color="auto"/>
        <w:left w:val="none" w:sz="0" w:space="0" w:color="auto"/>
        <w:bottom w:val="none" w:sz="0" w:space="0" w:color="auto"/>
        <w:right w:val="none" w:sz="0" w:space="0" w:color="auto"/>
      </w:divBdr>
    </w:div>
    <w:div w:id="178201473">
      <w:bodyDiv w:val="1"/>
      <w:marLeft w:val="0"/>
      <w:marRight w:val="0"/>
      <w:marTop w:val="0"/>
      <w:marBottom w:val="0"/>
      <w:divBdr>
        <w:top w:val="none" w:sz="0" w:space="0" w:color="auto"/>
        <w:left w:val="none" w:sz="0" w:space="0" w:color="auto"/>
        <w:bottom w:val="none" w:sz="0" w:space="0" w:color="auto"/>
        <w:right w:val="none" w:sz="0" w:space="0" w:color="auto"/>
      </w:divBdr>
    </w:div>
    <w:div w:id="188418892">
      <w:bodyDiv w:val="1"/>
      <w:marLeft w:val="0"/>
      <w:marRight w:val="0"/>
      <w:marTop w:val="0"/>
      <w:marBottom w:val="0"/>
      <w:divBdr>
        <w:top w:val="none" w:sz="0" w:space="0" w:color="auto"/>
        <w:left w:val="none" w:sz="0" w:space="0" w:color="auto"/>
        <w:bottom w:val="none" w:sz="0" w:space="0" w:color="auto"/>
        <w:right w:val="none" w:sz="0" w:space="0" w:color="auto"/>
      </w:divBdr>
    </w:div>
    <w:div w:id="213926888">
      <w:bodyDiv w:val="1"/>
      <w:marLeft w:val="0"/>
      <w:marRight w:val="0"/>
      <w:marTop w:val="0"/>
      <w:marBottom w:val="0"/>
      <w:divBdr>
        <w:top w:val="none" w:sz="0" w:space="0" w:color="auto"/>
        <w:left w:val="none" w:sz="0" w:space="0" w:color="auto"/>
        <w:bottom w:val="none" w:sz="0" w:space="0" w:color="auto"/>
        <w:right w:val="none" w:sz="0" w:space="0" w:color="auto"/>
      </w:divBdr>
    </w:div>
    <w:div w:id="219905372">
      <w:bodyDiv w:val="1"/>
      <w:marLeft w:val="0"/>
      <w:marRight w:val="0"/>
      <w:marTop w:val="0"/>
      <w:marBottom w:val="0"/>
      <w:divBdr>
        <w:top w:val="none" w:sz="0" w:space="0" w:color="auto"/>
        <w:left w:val="none" w:sz="0" w:space="0" w:color="auto"/>
        <w:bottom w:val="none" w:sz="0" w:space="0" w:color="auto"/>
        <w:right w:val="none" w:sz="0" w:space="0" w:color="auto"/>
      </w:divBdr>
      <w:divsChild>
        <w:div w:id="1663584992">
          <w:marLeft w:val="1080"/>
          <w:marRight w:val="0"/>
          <w:marTop w:val="120"/>
          <w:marBottom w:val="120"/>
          <w:divBdr>
            <w:top w:val="none" w:sz="0" w:space="0" w:color="auto"/>
            <w:left w:val="none" w:sz="0" w:space="0" w:color="auto"/>
            <w:bottom w:val="none" w:sz="0" w:space="0" w:color="auto"/>
            <w:right w:val="none" w:sz="0" w:space="0" w:color="auto"/>
          </w:divBdr>
        </w:div>
      </w:divsChild>
    </w:div>
    <w:div w:id="221789605">
      <w:bodyDiv w:val="1"/>
      <w:marLeft w:val="0"/>
      <w:marRight w:val="0"/>
      <w:marTop w:val="0"/>
      <w:marBottom w:val="0"/>
      <w:divBdr>
        <w:top w:val="none" w:sz="0" w:space="0" w:color="auto"/>
        <w:left w:val="none" w:sz="0" w:space="0" w:color="auto"/>
        <w:bottom w:val="none" w:sz="0" w:space="0" w:color="auto"/>
        <w:right w:val="none" w:sz="0" w:space="0" w:color="auto"/>
      </w:divBdr>
    </w:div>
    <w:div w:id="225579190">
      <w:bodyDiv w:val="1"/>
      <w:marLeft w:val="0"/>
      <w:marRight w:val="0"/>
      <w:marTop w:val="0"/>
      <w:marBottom w:val="0"/>
      <w:divBdr>
        <w:top w:val="none" w:sz="0" w:space="0" w:color="auto"/>
        <w:left w:val="none" w:sz="0" w:space="0" w:color="auto"/>
        <w:bottom w:val="none" w:sz="0" w:space="0" w:color="auto"/>
        <w:right w:val="none" w:sz="0" w:space="0" w:color="auto"/>
      </w:divBdr>
    </w:div>
    <w:div w:id="227955873">
      <w:bodyDiv w:val="1"/>
      <w:marLeft w:val="0"/>
      <w:marRight w:val="0"/>
      <w:marTop w:val="0"/>
      <w:marBottom w:val="0"/>
      <w:divBdr>
        <w:top w:val="none" w:sz="0" w:space="0" w:color="auto"/>
        <w:left w:val="none" w:sz="0" w:space="0" w:color="auto"/>
        <w:bottom w:val="none" w:sz="0" w:space="0" w:color="auto"/>
        <w:right w:val="none" w:sz="0" w:space="0" w:color="auto"/>
      </w:divBdr>
    </w:div>
    <w:div w:id="237785733">
      <w:bodyDiv w:val="1"/>
      <w:marLeft w:val="0"/>
      <w:marRight w:val="0"/>
      <w:marTop w:val="0"/>
      <w:marBottom w:val="0"/>
      <w:divBdr>
        <w:top w:val="none" w:sz="0" w:space="0" w:color="auto"/>
        <w:left w:val="none" w:sz="0" w:space="0" w:color="auto"/>
        <w:bottom w:val="none" w:sz="0" w:space="0" w:color="auto"/>
        <w:right w:val="none" w:sz="0" w:space="0" w:color="auto"/>
      </w:divBdr>
    </w:div>
    <w:div w:id="245497862">
      <w:bodyDiv w:val="1"/>
      <w:marLeft w:val="0"/>
      <w:marRight w:val="0"/>
      <w:marTop w:val="0"/>
      <w:marBottom w:val="0"/>
      <w:divBdr>
        <w:top w:val="none" w:sz="0" w:space="0" w:color="auto"/>
        <w:left w:val="none" w:sz="0" w:space="0" w:color="auto"/>
        <w:bottom w:val="none" w:sz="0" w:space="0" w:color="auto"/>
        <w:right w:val="none" w:sz="0" w:space="0" w:color="auto"/>
      </w:divBdr>
    </w:div>
    <w:div w:id="252476908">
      <w:bodyDiv w:val="1"/>
      <w:marLeft w:val="0"/>
      <w:marRight w:val="0"/>
      <w:marTop w:val="0"/>
      <w:marBottom w:val="0"/>
      <w:divBdr>
        <w:top w:val="none" w:sz="0" w:space="0" w:color="auto"/>
        <w:left w:val="none" w:sz="0" w:space="0" w:color="auto"/>
        <w:bottom w:val="none" w:sz="0" w:space="0" w:color="auto"/>
        <w:right w:val="none" w:sz="0" w:space="0" w:color="auto"/>
      </w:divBdr>
    </w:div>
    <w:div w:id="253245178">
      <w:bodyDiv w:val="1"/>
      <w:marLeft w:val="0"/>
      <w:marRight w:val="0"/>
      <w:marTop w:val="0"/>
      <w:marBottom w:val="0"/>
      <w:divBdr>
        <w:top w:val="none" w:sz="0" w:space="0" w:color="auto"/>
        <w:left w:val="none" w:sz="0" w:space="0" w:color="auto"/>
        <w:bottom w:val="none" w:sz="0" w:space="0" w:color="auto"/>
        <w:right w:val="none" w:sz="0" w:space="0" w:color="auto"/>
      </w:divBdr>
    </w:div>
    <w:div w:id="254704246">
      <w:bodyDiv w:val="1"/>
      <w:marLeft w:val="0"/>
      <w:marRight w:val="0"/>
      <w:marTop w:val="0"/>
      <w:marBottom w:val="0"/>
      <w:divBdr>
        <w:top w:val="none" w:sz="0" w:space="0" w:color="auto"/>
        <w:left w:val="none" w:sz="0" w:space="0" w:color="auto"/>
        <w:bottom w:val="none" w:sz="0" w:space="0" w:color="auto"/>
        <w:right w:val="none" w:sz="0" w:space="0" w:color="auto"/>
      </w:divBdr>
    </w:div>
    <w:div w:id="268050504">
      <w:bodyDiv w:val="1"/>
      <w:marLeft w:val="0"/>
      <w:marRight w:val="0"/>
      <w:marTop w:val="0"/>
      <w:marBottom w:val="0"/>
      <w:divBdr>
        <w:top w:val="none" w:sz="0" w:space="0" w:color="auto"/>
        <w:left w:val="none" w:sz="0" w:space="0" w:color="auto"/>
        <w:bottom w:val="none" w:sz="0" w:space="0" w:color="auto"/>
        <w:right w:val="none" w:sz="0" w:space="0" w:color="auto"/>
      </w:divBdr>
    </w:div>
    <w:div w:id="271670250">
      <w:bodyDiv w:val="1"/>
      <w:marLeft w:val="0"/>
      <w:marRight w:val="0"/>
      <w:marTop w:val="0"/>
      <w:marBottom w:val="0"/>
      <w:divBdr>
        <w:top w:val="none" w:sz="0" w:space="0" w:color="auto"/>
        <w:left w:val="none" w:sz="0" w:space="0" w:color="auto"/>
        <w:bottom w:val="none" w:sz="0" w:space="0" w:color="auto"/>
        <w:right w:val="none" w:sz="0" w:space="0" w:color="auto"/>
      </w:divBdr>
    </w:div>
    <w:div w:id="272833172">
      <w:bodyDiv w:val="1"/>
      <w:marLeft w:val="0"/>
      <w:marRight w:val="0"/>
      <w:marTop w:val="0"/>
      <w:marBottom w:val="0"/>
      <w:divBdr>
        <w:top w:val="none" w:sz="0" w:space="0" w:color="auto"/>
        <w:left w:val="none" w:sz="0" w:space="0" w:color="auto"/>
        <w:bottom w:val="none" w:sz="0" w:space="0" w:color="auto"/>
        <w:right w:val="none" w:sz="0" w:space="0" w:color="auto"/>
      </w:divBdr>
    </w:div>
    <w:div w:id="275452268">
      <w:bodyDiv w:val="1"/>
      <w:marLeft w:val="0"/>
      <w:marRight w:val="0"/>
      <w:marTop w:val="0"/>
      <w:marBottom w:val="0"/>
      <w:divBdr>
        <w:top w:val="none" w:sz="0" w:space="0" w:color="auto"/>
        <w:left w:val="none" w:sz="0" w:space="0" w:color="auto"/>
        <w:bottom w:val="none" w:sz="0" w:space="0" w:color="auto"/>
        <w:right w:val="none" w:sz="0" w:space="0" w:color="auto"/>
      </w:divBdr>
    </w:div>
    <w:div w:id="277683286">
      <w:bodyDiv w:val="1"/>
      <w:marLeft w:val="0"/>
      <w:marRight w:val="0"/>
      <w:marTop w:val="0"/>
      <w:marBottom w:val="0"/>
      <w:divBdr>
        <w:top w:val="none" w:sz="0" w:space="0" w:color="auto"/>
        <w:left w:val="none" w:sz="0" w:space="0" w:color="auto"/>
        <w:bottom w:val="none" w:sz="0" w:space="0" w:color="auto"/>
        <w:right w:val="none" w:sz="0" w:space="0" w:color="auto"/>
      </w:divBdr>
    </w:div>
    <w:div w:id="283536928">
      <w:bodyDiv w:val="1"/>
      <w:marLeft w:val="0"/>
      <w:marRight w:val="0"/>
      <w:marTop w:val="0"/>
      <w:marBottom w:val="0"/>
      <w:divBdr>
        <w:top w:val="none" w:sz="0" w:space="0" w:color="auto"/>
        <w:left w:val="none" w:sz="0" w:space="0" w:color="auto"/>
        <w:bottom w:val="none" w:sz="0" w:space="0" w:color="auto"/>
        <w:right w:val="none" w:sz="0" w:space="0" w:color="auto"/>
      </w:divBdr>
    </w:div>
    <w:div w:id="296688665">
      <w:bodyDiv w:val="1"/>
      <w:marLeft w:val="0"/>
      <w:marRight w:val="0"/>
      <w:marTop w:val="0"/>
      <w:marBottom w:val="0"/>
      <w:divBdr>
        <w:top w:val="none" w:sz="0" w:space="0" w:color="auto"/>
        <w:left w:val="none" w:sz="0" w:space="0" w:color="auto"/>
        <w:bottom w:val="none" w:sz="0" w:space="0" w:color="auto"/>
        <w:right w:val="none" w:sz="0" w:space="0" w:color="auto"/>
      </w:divBdr>
    </w:div>
    <w:div w:id="301811251">
      <w:bodyDiv w:val="1"/>
      <w:marLeft w:val="0"/>
      <w:marRight w:val="0"/>
      <w:marTop w:val="0"/>
      <w:marBottom w:val="0"/>
      <w:divBdr>
        <w:top w:val="none" w:sz="0" w:space="0" w:color="auto"/>
        <w:left w:val="none" w:sz="0" w:space="0" w:color="auto"/>
        <w:bottom w:val="none" w:sz="0" w:space="0" w:color="auto"/>
        <w:right w:val="none" w:sz="0" w:space="0" w:color="auto"/>
      </w:divBdr>
    </w:div>
    <w:div w:id="310982001">
      <w:bodyDiv w:val="1"/>
      <w:marLeft w:val="0"/>
      <w:marRight w:val="0"/>
      <w:marTop w:val="0"/>
      <w:marBottom w:val="0"/>
      <w:divBdr>
        <w:top w:val="none" w:sz="0" w:space="0" w:color="auto"/>
        <w:left w:val="none" w:sz="0" w:space="0" w:color="auto"/>
        <w:bottom w:val="none" w:sz="0" w:space="0" w:color="auto"/>
        <w:right w:val="none" w:sz="0" w:space="0" w:color="auto"/>
      </w:divBdr>
    </w:div>
    <w:div w:id="338507320">
      <w:bodyDiv w:val="1"/>
      <w:marLeft w:val="0"/>
      <w:marRight w:val="0"/>
      <w:marTop w:val="0"/>
      <w:marBottom w:val="0"/>
      <w:divBdr>
        <w:top w:val="none" w:sz="0" w:space="0" w:color="auto"/>
        <w:left w:val="none" w:sz="0" w:space="0" w:color="auto"/>
        <w:bottom w:val="none" w:sz="0" w:space="0" w:color="auto"/>
        <w:right w:val="none" w:sz="0" w:space="0" w:color="auto"/>
      </w:divBdr>
    </w:div>
    <w:div w:id="341472820">
      <w:bodyDiv w:val="1"/>
      <w:marLeft w:val="0"/>
      <w:marRight w:val="0"/>
      <w:marTop w:val="0"/>
      <w:marBottom w:val="0"/>
      <w:divBdr>
        <w:top w:val="none" w:sz="0" w:space="0" w:color="auto"/>
        <w:left w:val="none" w:sz="0" w:space="0" w:color="auto"/>
        <w:bottom w:val="none" w:sz="0" w:space="0" w:color="auto"/>
        <w:right w:val="none" w:sz="0" w:space="0" w:color="auto"/>
      </w:divBdr>
    </w:div>
    <w:div w:id="341709973">
      <w:bodyDiv w:val="1"/>
      <w:marLeft w:val="0"/>
      <w:marRight w:val="0"/>
      <w:marTop w:val="0"/>
      <w:marBottom w:val="0"/>
      <w:divBdr>
        <w:top w:val="none" w:sz="0" w:space="0" w:color="auto"/>
        <w:left w:val="none" w:sz="0" w:space="0" w:color="auto"/>
        <w:bottom w:val="none" w:sz="0" w:space="0" w:color="auto"/>
        <w:right w:val="none" w:sz="0" w:space="0" w:color="auto"/>
      </w:divBdr>
    </w:div>
    <w:div w:id="354691279">
      <w:bodyDiv w:val="1"/>
      <w:marLeft w:val="0"/>
      <w:marRight w:val="0"/>
      <w:marTop w:val="0"/>
      <w:marBottom w:val="0"/>
      <w:divBdr>
        <w:top w:val="none" w:sz="0" w:space="0" w:color="auto"/>
        <w:left w:val="none" w:sz="0" w:space="0" w:color="auto"/>
        <w:bottom w:val="none" w:sz="0" w:space="0" w:color="auto"/>
        <w:right w:val="none" w:sz="0" w:space="0" w:color="auto"/>
      </w:divBdr>
    </w:div>
    <w:div w:id="361631465">
      <w:bodyDiv w:val="1"/>
      <w:marLeft w:val="0"/>
      <w:marRight w:val="0"/>
      <w:marTop w:val="0"/>
      <w:marBottom w:val="0"/>
      <w:divBdr>
        <w:top w:val="none" w:sz="0" w:space="0" w:color="auto"/>
        <w:left w:val="none" w:sz="0" w:space="0" w:color="auto"/>
        <w:bottom w:val="none" w:sz="0" w:space="0" w:color="auto"/>
        <w:right w:val="none" w:sz="0" w:space="0" w:color="auto"/>
      </w:divBdr>
      <w:divsChild>
        <w:div w:id="900671902">
          <w:marLeft w:val="0"/>
          <w:marRight w:val="0"/>
          <w:marTop w:val="0"/>
          <w:marBottom w:val="0"/>
          <w:divBdr>
            <w:top w:val="none" w:sz="0" w:space="0" w:color="auto"/>
            <w:left w:val="none" w:sz="0" w:space="0" w:color="auto"/>
            <w:bottom w:val="none" w:sz="0" w:space="0" w:color="auto"/>
            <w:right w:val="none" w:sz="0" w:space="0" w:color="auto"/>
          </w:divBdr>
          <w:divsChild>
            <w:div w:id="1126701583">
              <w:marLeft w:val="0"/>
              <w:marRight w:val="0"/>
              <w:marTop w:val="0"/>
              <w:marBottom w:val="0"/>
              <w:divBdr>
                <w:top w:val="none" w:sz="0" w:space="0" w:color="auto"/>
                <w:left w:val="none" w:sz="0" w:space="0" w:color="auto"/>
                <w:bottom w:val="none" w:sz="0" w:space="0" w:color="auto"/>
                <w:right w:val="none" w:sz="0" w:space="0" w:color="auto"/>
              </w:divBdr>
              <w:divsChild>
                <w:div w:id="1496799620">
                  <w:marLeft w:val="0"/>
                  <w:marRight w:val="0"/>
                  <w:marTop w:val="0"/>
                  <w:marBottom w:val="0"/>
                  <w:divBdr>
                    <w:top w:val="none" w:sz="0" w:space="0" w:color="auto"/>
                    <w:left w:val="none" w:sz="0" w:space="0" w:color="auto"/>
                    <w:bottom w:val="none" w:sz="0" w:space="0" w:color="auto"/>
                    <w:right w:val="none" w:sz="0" w:space="0" w:color="auto"/>
                  </w:divBdr>
                  <w:divsChild>
                    <w:div w:id="1384216356">
                      <w:marLeft w:val="0"/>
                      <w:marRight w:val="0"/>
                      <w:marTop w:val="0"/>
                      <w:marBottom w:val="0"/>
                      <w:divBdr>
                        <w:top w:val="none" w:sz="0" w:space="0" w:color="auto"/>
                        <w:left w:val="none" w:sz="0" w:space="0" w:color="auto"/>
                        <w:bottom w:val="none" w:sz="0" w:space="0" w:color="auto"/>
                        <w:right w:val="none" w:sz="0" w:space="0" w:color="auto"/>
                      </w:divBdr>
                      <w:divsChild>
                        <w:div w:id="832839244">
                          <w:marLeft w:val="0"/>
                          <w:marRight w:val="0"/>
                          <w:marTop w:val="0"/>
                          <w:marBottom w:val="0"/>
                          <w:divBdr>
                            <w:top w:val="none" w:sz="0" w:space="0" w:color="auto"/>
                            <w:left w:val="none" w:sz="0" w:space="0" w:color="auto"/>
                            <w:bottom w:val="none" w:sz="0" w:space="0" w:color="auto"/>
                            <w:right w:val="none" w:sz="0" w:space="0" w:color="auto"/>
                          </w:divBdr>
                          <w:divsChild>
                            <w:div w:id="19269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006003">
      <w:bodyDiv w:val="1"/>
      <w:marLeft w:val="0"/>
      <w:marRight w:val="0"/>
      <w:marTop w:val="0"/>
      <w:marBottom w:val="0"/>
      <w:divBdr>
        <w:top w:val="none" w:sz="0" w:space="0" w:color="auto"/>
        <w:left w:val="none" w:sz="0" w:space="0" w:color="auto"/>
        <w:bottom w:val="none" w:sz="0" w:space="0" w:color="auto"/>
        <w:right w:val="none" w:sz="0" w:space="0" w:color="auto"/>
      </w:divBdr>
    </w:div>
    <w:div w:id="379210015">
      <w:bodyDiv w:val="1"/>
      <w:marLeft w:val="0"/>
      <w:marRight w:val="0"/>
      <w:marTop w:val="0"/>
      <w:marBottom w:val="0"/>
      <w:divBdr>
        <w:top w:val="none" w:sz="0" w:space="0" w:color="auto"/>
        <w:left w:val="none" w:sz="0" w:space="0" w:color="auto"/>
        <w:bottom w:val="none" w:sz="0" w:space="0" w:color="auto"/>
        <w:right w:val="none" w:sz="0" w:space="0" w:color="auto"/>
      </w:divBdr>
    </w:div>
    <w:div w:id="381369545">
      <w:bodyDiv w:val="1"/>
      <w:marLeft w:val="0"/>
      <w:marRight w:val="0"/>
      <w:marTop w:val="0"/>
      <w:marBottom w:val="0"/>
      <w:divBdr>
        <w:top w:val="none" w:sz="0" w:space="0" w:color="auto"/>
        <w:left w:val="none" w:sz="0" w:space="0" w:color="auto"/>
        <w:bottom w:val="none" w:sz="0" w:space="0" w:color="auto"/>
        <w:right w:val="none" w:sz="0" w:space="0" w:color="auto"/>
      </w:divBdr>
    </w:div>
    <w:div w:id="390933011">
      <w:bodyDiv w:val="1"/>
      <w:marLeft w:val="0"/>
      <w:marRight w:val="0"/>
      <w:marTop w:val="0"/>
      <w:marBottom w:val="0"/>
      <w:divBdr>
        <w:top w:val="none" w:sz="0" w:space="0" w:color="auto"/>
        <w:left w:val="none" w:sz="0" w:space="0" w:color="auto"/>
        <w:bottom w:val="none" w:sz="0" w:space="0" w:color="auto"/>
        <w:right w:val="none" w:sz="0" w:space="0" w:color="auto"/>
      </w:divBdr>
    </w:div>
    <w:div w:id="391736294">
      <w:bodyDiv w:val="1"/>
      <w:marLeft w:val="0"/>
      <w:marRight w:val="0"/>
      <w:marTop w:val="0"/>
      <w:marBottom w:val="0"/>
      <w:divBdr>
        <w:top w:val="none" w:sz="0" w:space="0" w:color="auto"/>
        <w:left w:val="none" w:sz="0" w:space="0" w:color="auto"/>
        <w:bottom w:val="none" w:sz="0" w:space="0" w:color="auto"/>
        <w:right w:val="none" w:sz="0" w:space="0" w:color="auto"/>
      </w:divBdr>
    </w:div>
    <w:div w:id="398987040">
      <w:bodyDiv w:val="1"/>
      <w:marLeft w:val="0"/>
      <w:marRight w:val="0"/>
      <w:marTop w:val="0"/>
      <w:marBottom w:val="0"/>
      <w:divBdr>
        <w:top w:val="none" w:sz="0" w:space="0" w:color="auto"/>
        <w:left w:val="none" w:sz="0" w:space="0" w:color="auto"/>
        <w:bottom w:val="none" w:sz="0" w:space="0" w:color="auto"/>
        <w:right w:val="none" w:sz="0" w:space="0" w:color="auto"/>
      </w:divBdr>
    </w:div>
    <w:div w:id="402684235">
      <w:bodyDiv w:val="1"/>
      <w:marLeft w:val="0"/>
      <w:marRight w:val="0"/>
      <w:marTop w:val="0"/>
      <w:marBottom w:val="0"/>
      <w:divBdr>
        <w:top w:val="none" w:sz="0" w:space="0" w:color="auto"/>
        <w:left w:val="none" w:sz="0" w:space="0" w:color="auto"/>
        <w:bottom w:val="none" w:sz="0" w:space="0" w:color="auto"/>
        <w:right w:val="none" w:sz="0" w:space="0" w:color="auto"/>
      </w:divBdr>
    </w:div>
    <w:div w:id="405492662">
      <w:bodyDiv w:val="1"/>
      <w:marLeft w:val="0"/>
      <w:marRight w:val="0"/>
      <w:marTop w:val="0"/>
      <w:marBottom w:val="0"/>
      <w:divBdr>
        <w:top w:val="none" w:sz="0" w:space="0" w:color="auto"/>
        <w:left w:val="none" w:sz="0" w:space="0" w:color="auto"/>
        <w:bottom w:val="none" w:sz="0" w:space="0" w:color="auto"/>
        <w:right w:val="none" w:sz="0" w:space="0" w:color="auto"/>
      </w:divBdr>
    </w:div>
    <w:div w:id="406801397">
      <w:bodyDiv w:val="1"/>
      <w:marLeft w:val="0"/>
      <w:marRight w:val="0"/>
      <w:marTop w:val="0"/>
      <w:marBottom w:val="0"/>
      <w:divBdr>
        <w:top w:val="none" w:sz="0" w:space="0" w:color="auto"/>
        <w:left w:val="none" w:sz="0" w:space="0" w:color="auto"/>
        <w:bottom w:val="none" w:sz="0" w:space="0" w:color="auto"/>
        <w:right w:val="none" w:sz="0" w:space="0" w:color="auto"/>
      </w:divBdr>
    </w:div>
    <w:div w:id="428546916">
      <w:bodyDiv w:val="1"/>
      <w:marLeft w:val="0"/>
      <w:marRight w:val="0"/>
      <w:marTop w:val="0"/>
      <w:marBottom w:val="0"/>
      <w:divBdr>
        <w:top w:val="none" w:sz="0" w:space="0" w:color="auto"/>
        <w:left w:val="none" w:sz="0" w:space="0" w:color="auto"/>
        <w:bottom w:val="none" w:sz="0" w:space="0" w:color="auto"/>
        <w:right w:val="none" w:sz="0" w:space="0" w:color="auto"/>
      </w:divBdr>
    </w:div>
    <w:div w:id="442266619">
      <w:bodyDiv w:val="1"/>
      <w:marLeft w:val="0"/>
      <w:marRight w:val="0"/>
      <w:marTop w:val="0"/>
      <w:marBottom w:val="0"/>
      <w:divBdr>
        <w:top w:val="none" w:sz="0" w:space="0" w:color="auto"/>
        <w:left w:val="none" w:sz="0" w:space="0" w:color="auto"/>
        <w:bottom w:val="none" w:sz="0" w:space="0" w:color="auto"/>
        <w:right w:val="none" w:sz="0" w:space="0" w:color="auto"/>
      </w:divBdr>
    </w:div>
    <w:div w:id="448820065">
      <w:bodyDiv w:val="1"/>
      <w:marLeft w:val="0"/>
      <w:marRight w:val="0"/>
      <w:marTop w:val="0"/>
      <w:marBottom w:val="0"/>
      <w:divBdr>
        <w:top w:val="none" w:sz="0" w:space="0" w:color="auto"/>
        <w:left w:val="none" w:sz="0" w:space="0" w:color="auto"/>
        <w:bottom w:val="none" w:sz="0" w:space="0" w:color="auto"/>
        <w:right w:val="none" w:sz="0" w:space="0" w:color="auto"/>
      </w:divBdr>
    </w:div>
    <w:div w:id="448821815">
      <w:bodyDiv w:val="1"/>
      <w:marLeft w:val="0"/>
      <w:marRight w:val="0"/>
      <w:marTop w:val="0"/>
      <w:marBottom w:val="0"/>
      <w:divBdr>
        <w:top w:val="none" w:sz="0" w:space="0" w:color="auto"/>
        <w:left w:val="none" w:sz="0" w:space="0" w:color="auto"/>
        <w:bottom w:val="none" w:sz="0" w:space="0" w:color="auto"/>
        <w:right w:val="none" w:sz="0" w:space="0" w:color="auto"/>
      </w:divBdr>
    </w:div>
    <w:div w:id="468324194">
      <w:bodyDiv w:val="1"/>
      <w:marLeft w:val="0"/>
      <w:marRight w:val="0"/>
      <w:marTop w:val="0"/>
      <w:marBottom w:val="0"/>
      <w:divBdr>
        <w:top w:val="none" w:sz="0" w:space="0" w:color="auto"/>
        <w:left w:val="none" w:sz="0" w:space="0" w:color="auto"/>
        <w:bottom w:val="none" w:sz="0" w:space="0" w:color="auto"/>
        <w:right w:val="none" w:sz="0" w:space="0" w:color="auto"/>
      </w:divBdr>
    </w:div>
    <w:div w:id="469514733">
      <w:bodyDiv w:val="1"/>
      <w:marLeft w:val="0"/>
      <w:marRight w:val="0"/>
      <w:marTop w:val="0"/>
      <w:marBottom w:val="0"/>
      <w:divBdr>
        <w:top w:val="none" w:sz="0" w:space="0" w:color="auto"/>
        <w:left w:val="none" w:sz="0" w:space="0" w:color="auto"/>
        <w:bottom w:val="none" w:sz="0" w:space="0" w:color="auto"/>
        <w:right w:val="none" w:sz="0" w:space="0" w:color="auto"/>
      </w:divBdr>
    </w:div>
    <w:div w:id="470945717">
      <w:bodyDiv w:val="1"/>
      <w:marLeft w:val="0"/>
      <w:marRight w:val="0"/>
      <w:marTop w:val="0"/>
      <w:marBottom w:val="0"/>
      <w:divBdr>
        <w:top w:val="none" w:sz="0" w:space="0" w:color="auto"/>
        <w:left w:val="none" w:sz="0" w:space="0" w:color="auto"/>
        <w:bottom w:val="none" w:sz="0" w:space="0" w:color="auto"/>
        <w:right w:val="none" w:sz="0" w:space="0" w:color="auto"/>
      </w:divBdr>
      <w:divsChild>
        <w:div w:id="585458448">
          <w:marLeft w:val="274"/>
          <w:marRight w:val="0"/>
          <w:marTop w:val="0"/>
          <w:marBottom w:val="0"/>
          <w:divBdr>
            <w:top w:val="none" w:sz="0" w:space="0" w:color="auto"/>
            <w:left w:val="none" w:sz="0" w:space="0" w:color="auto"/>
            <w:bottom w:val="none" w:sz="0" w:space="0" w:color="auto"/>
            <w:right w:val="none" w:sz="0" w:space="0" w:color="auto"/>
          </w:divBdr>
        </w:div>
        <w:div w:id="1345668858">
          <w:marLeft w:val="274"/>
          <w:marRight w:val="0"/>
          <w:marTop w:val="0"/>
          <w:marBottom w:val="0"/>
          <w:divBdr>
            <w:top w:val="none" w:sz="0" w:space="0" w:color="auto"/>
            <w:left w:val="none" w:sz="0" w:space="0" w:color="auto"/>
            <w:bottom w:val="none" w:sz="0" w:space="0" w:color="auto"/>
            <w:right w:val="none" w:sz="0" w:space="0" w:color="auto"/>
          </w:divBdr>
        </w:div>
        <w:div w:id="1356611913">
          <w:marLeft w:val="274"/>
          <w:marRight w:val="0"/>
          <w:marTop w:val="0"/>
          <w:marBottom w:val="0"/>
          <w:divBdr>
            <w:top w:val="none" w:sz="0" w:space="0" w:color="auto"/>
            <w:left w:val="none" w:sz="0" w:space="0" w:color="auto"/>
            <w:bottom w:val="none" w:sz="0" w:space="0" w:color="auto"/>
            <w:right w:val="none" w:sz="0" w:space="0" w:color="auto"/>
          </w:divBdr>
        </w:div>
      </w:divsChild>
    </w:div>
    <w:div w:id="480586711">
      <w:bodyDiv w:val="1"/>
      <w:marLeft w:val="0"/>
      <w:marRight w:val="0"/>
      <w:marTop w:val="0"/>
      <w:marBottom w:val="0"/>
      <w:divBdr>
        <w:top w:val="none" w:sz="0" w:space="0" w:color="auto"/>
        <w:left w:val="none" w:sz="0" w:space="0" w:color="auto"/>
        <w:bottom w:val="none" w:sz="0" w:space="0" w:color="auto"/>
        <w:right w:val="none" w:sz="0" w:space="0" w:color="auto"/>
      </w:divBdr>
    </w:div>
    <w:div w:id="481428594">
      <w:bodyDiv w:val="1"/>
      <w:marLeft w:val="0"/>
      <w:marRight w:val="0"/>
      <w:marTop w:val="0"/>
      <w:marBottom w:val="0"/>
      <w:divBdr>
        <w:top w:val="none" w:sz="0" w:space="0" w:color="auto"/>
        <w:left w:val="none" w:sz="0" w:space="0" w:color="auto"/>
        <w:bottom w:val="none" w:sz="0" w:space="0" w:color="auto"/>
        <w:right w:val="none" w:sz="0" w:space="0" w:color="auto"/>
      </w:divBdr>
      <w:divsChild>
        <w:div w:id="292953261">
          <w:marLeft w:val="0"/>
          <w:marRight w:val="0"/>
          <w:marTop w:val="0"/>
          <w:marBottom w:val="0"/>
          <w:divBdr>
            <w:top w:val="none" w:sz="0" w:space="0" w:color="auto"/>
            <w:left w:val="none" w:sz="0" w:space="0" w:color="auto"/>
            <w:bottom w:val="none" w:sz="0" w:space="0" w:color="auto"/>
            <w:right w:val="none" w:sz="0" w:space="0" w:color="auto"/>
          </w:divBdr>
          <w:divsChild>
            <w:div w:id="118189571">
              <w:marLeft w:val="0"/>
              <w:marRight w:val="0"/>
              <w:marTop w:val="0"/>
              <w:marBottom w:val="0"/>
              <w:divBdr>
                <w:top w:val="none" w:sz="0" w:space="0" w:color="auto"/>
                <w:left w:val="none" w:sz="0" w:space="0" w:color="auto"/>
                <w:bottom w:val="none" w:sz="0" w:space="0" w:color="auto"/>
                <w:right w:val="none" w:sz="0" w:space="0" w:color="auto"/>
              </w:divBdr>
              <w:divsChild>
                <w:div w:id="1780367304">
                  <w:marLeft w:val="0"/>
                  <w:marRight w:val="0"/>
                  <w:marTop w:val="0"/>
                  <w:marBottom w:val="0"/>
                  <w:divBdr>
                    <w:top w:val="none" w:sz="0" w:space="0" w:color="auto"/>
                    <w:left w:val="none" w:sz="0" w:space="0" w:color="auto"/>
                    <w:bottom w:val="none" w:sz="0" w:space="0" w:color="auto"/>
                    <w:right w:val="none" w:sz="0" w:space="0" w:color="auto"/>
                  </w:divBdr>
                  <w:divsChild>
                    <w:div w:id="25303441">
                      <w:marLeft w:val="1"/>
                      <w:marRight w:val="1"/>
                      <w:marTop w:val="0"/>
                      <w:marBottom w:val="0"/>
                      <w:divBdr>
                        <w:top w:val="none" w:sz="0" w:space="0" w:color="auto"/>
                        <w:left w:val="none" w:sz="0" w:space="0" w:color="auto"/>
                        <w:bottom w:val="none" w:sz="0" w:space="0" w:color="auto"/>
                        <w:right w:val="none" w:sz="0" w:space="0" w:color="auto"/>
                      </w:divBdr>
                      <w:divsChild>
                        <w:div w:id="1108621122">
                          <w:marLeft w:val="0"/>
                          <w:marRight w:val="0"/>
                          <w:marTop w:val="0"/>
                          <w:marBottom w:val="0"/>
                          <w:divBdr>
                            <w:top w:val="none" w:sz="0" w:space="0" w:color="auto"/>
                            <w:left w:val="none" w:sz="0" w:space="0" w:color="auto"/>
                            <w:bottom w:val="none" w:sz="0" w:space="0" w:color="auto"/>
                            <w:right w:val="none" w:sz="0" w:space="0" w:color="auto"/>
                          </w:divBdr>
                          <w:divsChild>
                            <w:div w:id="876939987">
                              <w:marLeft w:val="0"/>
                              <w:marRight w:val="0"/>
                              <w:marTop w:val="0"/>
                              <w:marBottom w:val="360"/>
                              <w:divBdr>
                                <w:top w:val="none" w:sz="0" w:space="0" w:color="auto"/>
                                <w:left w:val="none" w:sz="0" w:space="0" w:color="auto"/>
                                <w:bottom w:val="none" w:sz="0" w:space="0" w:color="auto"/>
                                <w:right w:val="none" w:sz="0" w:space="0" w:color="auto"/>
                              </w:divBdr>
                              <w:divsChild>
                                <w:div w:id="96297238">
                                  <w:marLeft w:val="0"/>
                                  <w:marRight w:val="0"/>
                                  <w:marTop w:val="0"/>
                                  <w:marBottom w:val="0"/>
                                  <w:divBdr>
                                    <w:top w:val="none" w:sz="0" w:space="0" w:color="auto"/>
                                    <w:left w:val="none" w:sz="0" w:space="0" w:color="auto"/>
                                    <w:bottom w:val="none" w:sz="0" w:space="0" w:color="auto"/>
                                    <w:right w:val="none" w:sz="0" w:space="0" w:color="auto"/>
                                  </w:divBdr>
                                  <w:divsChild>
                                    <w:div w:id="1032730718">
                                      <w:marLeft w:val="0"/>
                                      <w:marRight w:val="0"/>
                                      <w:marTop w:val="0"/>
                                      <w:marBottom w:val="0"/>
                                      <w:divBdr>
                                        <w:top w:val="none" w:sz="0" w:space="0" w:color="auto"/>
                                        <w:left w:val="none" w:sz="0" w:space="0" w:color="auto"/>
                                        <w:bottom w:val="none" w:sz="0" w:space="0" w:color="auto"/>
                                        <w:right w:val="none" w:sz="0" w:space="0" w:color="auto"/>
                                      </w:divBdr>
                                      <w:divsChild>
                                        <w:div w:id="1568611778">
                                          <w:marLeft w:val="0"/>
                                          <w:marRight w:val="0"/>
                                          <w:marTop w:val="0"/>
                                          <w:marBottom w:val="0"/>
                                          <w:divBdr>
                                            <w:top w:val="none" w:sz="0" w:space="0" w:color="auto"/>
                                            <w:left w:val="none" w:sz="0" w:space="0" w:color="auto"/>
                                            <w:bottom w:val="none" w:sz="0" w:space="0" w:color="auto"/>
                                            <w:right w:val="none" w:sz="0" w:space="0" w:color="auto"/>
                                          </w:divBdr>
                                          <w:divsChild>
                                            <w:div w:id="75633244">
                                              <w:marLeft w:val="0"/>
                                              <w:marRight w:val="0"/>
                                              <w:marTop w:val="0"/>
                                              <w:marBottom w:val="0"/>
                                              <w:divBdr>
                                                <w:top w:val="none" w:sz="0" w:space="0" w:color="auto"/>
                                                <w:left w:val="none" w:sz="0" w:space="0" w:color="auto"/>
                                                <w:bottom w:val="none" w:sz="0" w:space="0" w:color="auto"/>
                                                <w:right w:val="none" w:sz="0" w:space="0" w:color="auto"/>
                                              </w:divBdr>
                                              <w:divsChild>
                                                <w:div w:id="1029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7093572">
      <w:bodyDiv w:val="1"/>
      <w:marLeft w:val="0"/>
      <w:marRight w:val="0"/>
      <w:marTop w:val="0"/>
      <w:marBottom w:val="0"/>
      <w:divBdr>
        <w:top w:val="none" w:sz="0" w:space="0" w:color="auto"/>
        <w:left w:val="none" w:sz="0" w:space="0" w:color="auto"/>
        <w:bottom w:val="none" w:sz="0" w:space="0" w:color="auto"/>
        <w:right w:val="none" w:sz="0" w:space="0" w:color="auto"/>
      </w:divBdr>
      <w:divsChild>
        <w:div w:id="1805392368">
          <w:marLeft w:val="547"/>
          <w:marRight w:val="0"/>
          <w:marTop w:val="106"/>
          <w:marBottom w:val="0"/>
          <w:divBdr>
            <w:top w:val="none" w:sz="0" w:space="0" w:color="auto"/>
            <w:left w:val="none" w:sz="0" w:space="0" w:color="auto"/>
            <w:bottom w:val="none" w:sz="0" w:space="0" w:color="auto"/>
            <w:right w:val="none" w:sz="0" w:space="0" w:color="auto"/>
          </w:divBdr>
        </w:div>
      </w:divsChild>
    </w:div>
    <w:div w:id="501238341">
      <w:bodyDiv w:val="1"/>
      <w:marLeft w:val="0"/>
      <w:marRight w:val="0"/>
      <w:marTop w:val="0"/>
      <w:marBottom w:val="0"/>
      <w:divBdr>
        <w:top w:val="none" w:sz="0" w:space="0" w:color="auto"/>
        <w:left w:val="none" w:sz="0" w:space="0" w:color="auto"/>
        <w:bottom w:val="none" w:sz="0" w:space="0" w:color="auto"/>
        <w:right w:val="none" w:sz="0" w:space="0" w:color="auto"/>
      </w:divBdr>
    </w:div>
    <w:div w:id="510140722">
      <w:bodyDiv w:val="1"/>
      <w:marLeft w:val="0"/>
      <w:marRight w:val="0"/>
      <w:marTop w:val="0"/>
      <w:marBottom w:val="0"/>
      <w:divBdr>
        <w:top w:val="none" w:sz="0" w:space="0" w:color="auto"/>
        <w:left w:val="none" w:sz="0" w:space="0" w:color="auto"/>
        <w:bottom w:val="none" w:sz="0" w:space="0" w:color="auto"/>
        <w:right w:val="none" w:sz="0" w:space="0" w:color="auto"/>
      </w:divBdr>
    </w:div>
    <w:div w:id="510685031">
      <w:bodyDiv w:val="1"/>
      <w:marLeft w:val="0"/>
      <w:marRight w:val="0"/>
      <w:marTop w:val="0"/>
      <w:marBottom w:val="0"/>
      <w:divBdr>
        <w:top w:val="none" w:sz="0" w:space="0" w:color="auto"/>
        <w:left w:val="none" w:sz="0" w:space="0" w:color="auto"/>
        <w:bottom w:val="none" w:sz="0" w:space="0" w:color="auto"/>
        <w:right w:val="none" w:sz="0" w:space="0" w:color="auto"/>
      </w:divBdr>
    </w:div>
    <w:div w:id="513082127">
      <w:bodyDiv w:val="1"/>
      <w:marLeft w:val="0"/>
      <w:marRight w:val="0"/>
      <w:marTop w:val="0"/>
      <w:marBottom w:val="0"/>
      <w:divBdr>
        <w:top w:val="none" w:sz="0" w:space="0" w:color="auto"/>
        <w:left w:val="none" w:sz="0" w:space="0" w:color="auto"/>
        <w:bottom w:val="none" w:sz="0" w:space="0" w:color="auto"/>
        <w:right w:val="none" w:sz="0" w:space="0" w:color="auto"/>
      </w:divBdr>
    </w:div>
    <w:div w:id="520434822">
      <w:bodyDiv w:val="1"/>
      <w:marLeft w:val="0"/>
      <w:marRight w:val="0"/>
      <w:marTop w:val="0"/>
      <w:marBottom w:val="0"/>
      <w:divBdr>
        <w:top w:val="none" w:sz="0" w:space="0" w:color="auto"/>
        <w:left w:val="none" w:sz="0" w:space="0" w:color="auto"/>
        <w:bottom w:val="none" w:sz="0" w:space="0" w:color="auto"/>
        <w:right w:val="none" w:sz="0" w:space="0" w:color="auto"/>
      </w:divBdr>
    </w:div>
    <w:div w:id="520509445">
      <w:bodyDiv w:val="1"/>
      <w:marLeft w:val="0"/>
      <w:marRight w:val="0"/>
      <w:marTop w:val="0"/>
      <w:marBottom w:val="0"/>
      <w:divBdr>
        <w:top w:val="none" w:sz="0" w:space="0" w:color="auto"/>
        <w:left w:val="none" w:sz="0" w:space="0" w:color="auto"/>
        <w:bottom w:val="none" w:sz="0" w:space="0" w:color="auto"/>
        <w:right w:val="none" w:sz="0" w:space="0" w:color="auto"/>
      </w:divBdr>
    </w:div>
    <w:div w:id="521748895">
      <w:bodyDiv w:val="1"/>
      <w:marLeft w:val="0"/>
      <w:marRight w:val="0"/>
      <w:marTop w:val="0"/>
      <w:marBottom w:val="0"/>
      <w:divBdr>
        <w:top w:val="none" w:sz="0" w:space="0" w:color="auto"/>
        <w:left w:val="none" w:sz="0" w:space="0" w:color="auto"/>
        <w:bottom w:val="none" w:sz="0" w:space="0" w:color="auto"/>
        <w:right w:val="none" w:sz="0" w:space="0" w:color="auto"/>
      </w:divBdr>
    </w:div>
    <w:div w:id="521865223">
      <w:bodyDiv w:val="1"/>
      <w:marLeft w:val="0"/>
      <w:marRight w:val="0"/>
      <w:marTop w:val="0"/>
      <w:marBottom w:val="0"/>
      <w:divBdr>
        <w:top w:val="none" w:sz="0" w:space="0" w:color="auto"/>
        <w:left w:val="none" w:sz="0" w:space="0" w:color="auto"/>
        <w:bottom w:val="none" w:sz="0" w:space="0" w:color="auto"/>
        <w:right w:val="none" w:sz="0" w:space="0" w:color="auto"/>
      </w:divBdr>
    </w:div>
    <w:div w:id="531191020">
      <w:bodyDiv w:val="1"/>
      <w:marLeft w:val="0"/>
      <w:marRight w:val="0"/>
      <w:marTop w:val="0"/>
      <w:marBottom w:val="0"/>
      <w:divBdr>
        <w:top w:val="none" w:sz="0" w:space="0" w:color="auto"/>
        <w:left w:val="none" w:sz="0" w:space="0" w:color="auto"/>
        <w:bottom w:val="none" w:sz="0" w:space="0" w:color="auto"/>
        <w:right w:val="none" w:sz="0" w:space="0" w:color="auto"/>
      </w:divBdr>
    </w:div>
    <w:div w:id="533812524">
      <w:bodyDiv w:val="1"/>
      <w:marLeft w:val="0"/>
      <w:marRight w:val="0"/>
      <w:marTop w:val="0"/>
      <w:marBottom w:val="0"/>
      <w:divBdr>
        <w:top w:val="none" w:sz="0" w:space="0" w:color="auto"/>
        <w:left w:val="none" w:sz="0" w:space="0" w:color="auto"/>
        <w:bottom w:val="none" w:sz="0" w:space="0" w:color="auto"/>
        <w:right w:val="none" w:sz="0" w:space="0" w:color="auto"/>
      </w:divBdr>
    </w:div>
    <w:div w:id="537281185">
      <w:bodyDiv w:val="1"/>
      <w:marLeft w:val="0"/>
      <w:marRight w:val="0"/>
      <w:marTop w:val="0"/>
      <w:marBottom w:val="0"/>
      <w:divBdr>
        <w:top w:val="none" w:sz="0" w:space="0" w:color="auto"/>
        <w:left w:val="none" w:sz="0" w:space="0" w:color="auto"/>
        <w:bottom w:val="none" w:sz="0" w:space="0" w:color="auto"/>
        <w:right w:val="none" w:sz="0" w:space="0" w:color="auto"/>
      </w:divBdr>
    </w:div>
    <w:div w:id="539173865">
      <w:bodyDiv w:val="1"/>
      <w:marLeft w:val="0"/>
      <w:marRight w:val="0"/>
      <w:marTop w:val="0"/>
      <w:marBottom w:val="0"/>
      <w:divBdr>
        <w:top w:val="none" w:sz="0" w:space="0" w:color="auto"/>
        <w:left w:val="none" w:sz="0" w:space="0" w:color="auto"/>
        <w:bottom w:val="none" w:sz="0" w:space="0" w:color="auto"/>
        <w:right w:val="none" w:sz="0" w:space="0" w:color="auto"/>
      </w:divBdr>
    </w:div>
    <w:div w:id="542669352">
      <w:bodyDiv w:val="1"/>
      <w:marLeft w:val="0"/>
      <w:marRight w:val="0"/>
      <w:marTop w:val="0"/>
      <w:marBottom w:val="0"/>
      <w:divBdr>
        <w:top w:val="none" w:sz="0" w:space="0" w:color="auto"/>
        <w:left w:val="none" w:sz="0" w:space="0" w:color="auto"/>
        <w:bottom w:val="none" w:sz="0" w:space="0" w:color="auto"/>
        <w:right w:val="none" w:sz="0" w:space="0" w:color="auto"/>
      </w:divBdr>
    </w:div>
    <w:div w:id="547230663">
      <w:bodyDiv w:val="1"/>
      <w:marLeft w:val="0"/>
      <w:marRight w:val="0"/>
      <w:marTop w:val="0"/>
      <w:marBottom w:val="0"/>
      <w:divBdr>
        <w:top w:val="none" w:sz="0" w:space="0" w:color="auto"/>
        <w:left w:val="none" w:sz="0" w:space="0" w:color="auto"/>
        <w:bottom w:val="none" w:sz="0" w:space="0" w:color="auto"/>
        <w:right w:val="none" w:sz="0" w:space="0" w:color="auto"/>
      </w:divBdr>
    </w:div>
    <w:div w:id="548300874">
      <w:bodyDiv w:val="1"/>
      <w:marLeft w:val="0"/>
      <w:marRight w:val="0"/>
      <w:marTop w:val="0"/>
      <w:marBottom w:val="0"/>
      <w:divBdr>
        <w:top w:val="none" w:sz="0" w:space="0" w:color="auto"/>
        <w:left w:val="none" w:sz="0" w:space="0" w:color="auto"/>
        <w:bottom w:val="none" w:sz="0" w:space="0" w:color="auto"/>
        <w:right w:val="none" w:sz="0" w:space="0" w:color="auto"/>
      </w:divBdr>
    </w:div>
    <w:div w:id="549800816">
      <w:bodyDiv w:val="1"/>
      <w:marLeft w:val="0"/>
      <w:marRight w:val="0"/>
      <w:marTop w:val="0"/>
      <w:marBottom w:val="0"/>
      <w:divBdr>
        <w:top w:val="none" w:sz="0" w:space="0" w:color="auto"/>
        <w:left w:val="none" w:sz="0" w:space="0" w:color="auto"/>
        <w:bottom w:val="none" w:sz="0" w:space="0" w:color="auto"/>
        <w:right w:val="none" w:sz="0" w:space="0" w:color="auto"/>
      </w:divBdr>
    </w:div>
    <w:div w:id="550312927">
      <w:bodyDiv w:val="1"/>
      <w:marLeft w:val="0"/>
      <w:marRight w:val="0"/>
      <w:marTop w:val="0"/>
      <w:marBottom w:val="0"/>
      <w:divBdr>
        <w:top w:val="none" w:sz="0" w:space="0" w:color="auto"/>
        <w:left w:val="none" w:sz="0" w:space="0" w:color="auto"/>
        <w:bottom w:val="none" w:sz="0" w:space="0" w:color="auto"/>
        <w:right w:val="none" w:sz="0" w:space="0" w:color="auto"/>
      </w:divBdr>
      <w:divsChild>
        <w:div w:id="492916245">
          <w:marLeft w:val="0"/>
          <w:marRight w:val="0"/>
          <w:marTop w:val="0"/>
          <w:marBottom w:val="0"/>
          <w:divBdr>
            <w:top w:val="none" w:sz="0" w:space="0" w:color="auto"/>
            <w:left w:val="none" w:sz="0" w:space="0" w:color="auto"/>
            <w:bottom w:val="none" w:sz="0" w:space="0" w:color="auto"/>
            <w:right w:val="none" w:sz="0" w:space="0" w:color="auto"/>
          </w:divBdr>
          <w:divsChild>
            <w:div w:id="1276331841">
              <w:marLeft w:val="0"/>
              <w:marRight w:val="0"/>
              <w:marTop w:val="0"/>
              <w:marBottom w:val="0"/>
              <w:divBdr>
                <w:top w:val="none" w:sz="0" w:space="0" w:color="auto"/>
                <w:left w:val="none" w:sz="0" w:space="0" w:color="auto"/>
                <w:bottom w:val="none" w:sz="0" w:space="0" w:color="auto"/>
                <w:right w:val="none" w:sz="0" w:space="0" w:color="auto"/>
              </w:divBdr>
              <w:divsChild>
                <w:div w:id="1270165189">
                  <w:marLeft w:val="0"/>
                  <w:marRight w:val="0"/>
                  <w:marTop w:val="0"/>
                  <w:marBottom w:val="0"/>
                  <w:divBdr>
                    <w:top w:val="none" w:sz="0" w:space="0" w:color="auto"/>
                    <w:left w:val="none" w:sz="0" w:space="0" w:color="auto"/>
                    <w:bottom w:val="none" w:sz="0" w:space="0" w:color="auto"/>
                    <w:right w:val="none" w:sz="0" w:space="0" w:color="auto"/>
                  </w:divBdr>
                  <w:divsChild>
                    <w:div w:id="1930121190">
                      <w:marLeft w:val="1"/>
                      <w:marRight w:val="1"/>
                      <w:marTop w:val="0"/>
                      <w:marBottom w:val="0"/>
                      <w:divBdr>
                        <w:top w:val="none" w:sz="0" w:space="0" w:color="auto"/>
                        <w:left w:val="none" w:sz="0" w:space="0" w:color="auto"/>
                        <w:bottom w:val="none" w:sz="0" w:space="0" w:color="auto"/>
                        <w:right w:val="none" w:sz="0" w:space="0" w:color="auto"/>
                      </w:divBdr>
                      <w:divsChild>
                        <w:div w:id="1892382644">
                          <w:marLeft w:val="0"/>
                          <w:marRight w:val="0"/>
                          <w:marTop w:val="0"/>
                          <w:marBottom w:val="0"/>
                          <w:divBdr>
                            <w:top w:val="none" w:sz="0" w:space="0" w:color="auto"/>
                            <w:left w:val="none" w:sz="0" w:space="0" w:color="auto"/>
                            <w:bottom w:val="none" w:sz="0" w:space="0" w:color="auto"/>
                            <w:right w:val="none" w:sz="0" w:space="0" w:color="auto"/>
                          </w:divBdr>
                          <w:divsChild>
                            <w:div w:id="184448418">
                              <w:marLeft w:val="0"/>
                              <w:marRight w:val="0"/>
                              <w:marTop w:val="0"/>
                              <w:marBottom w:val="0"/>
                              <w:divBdr>
                                <w:top w:val="none" w:sz="0" w:space="0" w:color="auto"/>
                                <w:left w:val="none" w:sz="0" w:space="0" w:color="auto"/>
                                <w:bottom w:val="none" w:sz="0" w:space="0" w:color="auto"/>
                                <w:right w:val="none" w:sz="0" w:space="0" w:color="auto"/>
                              </w:divBdr>
                              <w:divsChild>
                                <w:div w:id="771049360">
                                  <w:marLeft w:val="0"/>
                                  <w:marRight w:val="0"/>
                                  <w:marTop w:val="0"/>
                                  <w:marBottom w:val="360"/>
                                  <w:divBdr>
                                    <w:top w:val="none" w:sz="0" w:space="0" w:color="auto"/>
                                    <w:left w:val="none" w:sz="0" w:space="0" w:color="auto"/>
                                    <w:bottom w:val="none" w:sz="0" w:space="0" w:color="auto"/>
                                    <w:right w:val="none" w:sz="0" w:space="0" w:color="auto"/>
                                  </w:divBdr>
                                  <w:divsChild>
                                    <w:div w:id="1597707397">
                                      <w:marLeft w:val="0"/>
                                      <w:marRight w:val="0"/>
                                      <w:marTop w:val="0"/>
                                      <w:marBottom w:val="0"/>
                                      <w:divBdr>
                                        <w:top w:val="none" w:sz="0" w:space="0" w:color="auto"/>
                                        <w:left w:val="none" w:sz="0" w:space="0" w:color="auto"/>
                                        <w:bottom w:val="none" w:sz="0" w:space="0" w:color="auto"/>
                                        <w:right w:val="none" w:sz="0" w:space="0" w:color="auto"/>
                                      </w:divBdr>
                                      <w:divsChild>
                                        <w:div w:id="780107304">
                                          <w:marLeft w:val="0"/>
                                          <w:marRight w:val="0"/>
                                          <w:marTop w:val="0"/>
                                          <w:marBottom w:val="0"/>
                                          <w:divBdr>
                                            <w:top w:val="none" w:sz="0" w:space="0" w:color="auto"/>
                                            <w:left w:val="none" w:sz="0" w:space="0" w:color="auto"/>
                                            <w:bottom w:val="none" w:sz="0" w:space="0" w:color="auto"/>
                                            <w:right w:val="none" w:sz="0" w:space="0" w:color="auto"/>
                                          </w:divBdr>
                                          <w:divsChild>
                                            <w:div w:id="852916854">
                                              <w:marLeft w:val="0"/>
                                              <w:marRight w:val="0"/>
                                              <w:marTop w:val="0"/>
                                              <w:marBottom w:val="0"/>
                                              <w:divBdr>
                                                <w:top w:val="none" w:sz="0" w:space="0" w:color="auto"/>
                                                <w:left w:val="none" w:sz="0" w:space="0" w:color="auto"/>
                                                <w:bottom w:val="none" w:sz="0" w:space="0" w:color="auto"/>
                                                <w:right w:val="none" w:sz="0" w:space="0" w:color="auto"/>
                                              </w:divBdr>
                                            </w:div>
                                            <w:div w:id="13258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2742288">
      <w:bodyDiv w:val="1"/>
      <w:marLeft w:val="0"/>
      <w:marRight w:val="0"/>
      <w:marTop w:val="0"/>
      <w:marBottom w:val="0"/>
      <w:divBdr>
        <w:top w:val="none" w:sz="0" w:space="0" w:color="auto"/>
        <w:left w:val="none" w:sz="0" w:space="0" w:color="auto"/>
        <w:bottom w:val="none" w:sz="0" w:space="0" w:color="auto"/>
        <w:right w:val="none" w:sz="0" w:space="0" w:color="auto"/>
      </w:divBdr>
    </w:div>
    <w:div w:id="561985642">
      <w:bodyDiv w:val="1"/>
      <w:marLeft w:val="0"/>
      <w:marRight w:val="0"/>
      <w:marTop w:val="0"/>
      <w:marBottom w:val="0"/>
      <w:divBdr>
        <w:top w:val="none" w:sz="0" w:space="0" w:color="auto"/>
        <w:left w:val="none" w:sz="0" w:space="0" w:color="auto"/>
        <w:bottom w:val="none" w:sz="0" w:space="0" w:color="auto"/>
        <w:right w:val="none" w:sz="0" w:space="0" w:color="auto"/>
      </w:divBdr>
    </w:div>
    <w:div w:id="566456686">
      <w:bodyDiv w:val="1"/>
      <w:marLeft w:val="0"/>
      <w:marRight w:val="0"/>
      <w:marTop w:val="0"/>
      <w:marBottom w:val="0"/>
      <w:divBdr>
        <w:top w:val="none" w:sz="0" w:space="0" w:color="auto"/>
        <w:left w:val="none" w:sz="0" w:space="0" w:color="auto"/>
        <w:bottom w:val="none" w:sz="0" w:space="0" w:color="auto"/>
        <w:right w:val="none" w:sz="0" w:space="0" w:color="auto"/>
      </w:divBdr>
      <w:divsChild>
        <w:div w:id="66925008">
          <w:marLeft w:val="1080"/>
          <w:marRight w:val="0"/>
          <w:marTop w:val="120"/>
          <w:marBottom w:val="120"/>
          <w:divBdr>
            <w:top w:val="none" w:sz="0" w:space="0" w:color="auto"/>
            <w:left w:val="none" w:sz="0" w:space="0" w:color="auto"/>
            <w:bottom w:val="none" w:sz="0" w:space="0" w:color="auto"/>
            <w:right w:val="none" w:sz="0" w:space="0" w:color="auto"/>
          </w:divBdr>
        </w:div>
      </w:divsChild>
    </w:div>
    <w:div w:id="569343103">
      <w:bodyDiv w:val="1"/>
      <w:marLeft w:val="0"/>
      <w:marRight w:val="0"/>
      <w:marTop w:val="0"/>
      <w:marBottom w:val="0"/>
      <w:divBdr>
        <w:top w:val="none" w:sz="0" w:space="0" w:color="auto"/>
        <w:left w:val="none" w:sz="0" w:space="0" w:color="auto"/>
        <w:bottom w:val="none" w:sz="0" w:space="0" w:color="auto"/>
        <w:right w:val="none" w:sz="0" w:space="0" w:color="auto"/>
      </w:divBdr>
    </w:div>
    <w:div w:id="569996434">
      <w:bodyDiv w:val="1"/>
      <w:marLeft w:val="0"/>
      <w:marRight w:val="0"/>
      <w:marTop w:val="0"/>
      <w:marBottom w:val="0"/>
      <w:divBdr>
        <w:top w:val="none" w:sz="0" w:space="0" w:color="auto"/>
        <w:left w:val="none" w:sz="0" w:space="0" w:color="auto"/>
        <w:bottom w:val="none" w:sz="0" w:space="0" w:color="auto"/>
        <w:right w:val="none" w:sz="0" w:space="0" w:color="auto"/>
      </w:divBdr>
    </w:div>
    <w:div w:id="579563791">
      <w:bodyDiv w:val="1"/>
      <w:marLeft w:val="0"/>
      <w:marRight w:val="0"/>
      <w:marTop w:val="0"/>
      <w:marBottom w:val="0"/>
      <w:divBdr>
        <w:top w:val="none" w:sz="0" w:space="0" w:color="auto"/>
        <w:left w:val="none" w:sz="0" w:space="0" w:color="auto"/>
        <w:bottom w:val="none" w:sz="0" w:space="0" w:color="auto"/>
        <w:right w:val="none" w:sz="0" w:space="0" w:color="auto"/>
      </w:divBdr>
      <w:divsChild>
        <w:div w:id="302393684">
          <w:marLeft w:val="547"/>
          <w:marRight w:val="0"/>
          <w:marTop w:val="106"/>
          <w:marBottom w:val="120"/>
          <w:divBdr>
            <w:top w:val="none" w:sz="0" w:space="0" w:color="auto"/>
            <w:left w:val="none" w:sz="0" w:space="0" w:color="auto"/>
            <w:bottom w:val="none" w:sz="0" w:space="0" w:color="auto"/>
            <w:right w:val="none" w:sz="0" w:space="0" w:color="auto"/>
          </w:divBdr>
        </w:div>
      </w:divsChild>
    </w:div>
    <w:div w:id="584731729">
      <w:bodyDiv w:val="1"/>
      <w:marLeft w:val="0"/>
      <w:marRight w:val="0"/>
      <w:marTop w:val="0"/>
      <w:marBottom w:val="0"/>
      <w:divBdr>
        <w:top w:val="none" w:sz="0" w:space="0" w:color="auto"/>
        <w:left w:val="none" w:sz="0" w:space="0" w:color="auto"/>
        <w:bottom w:val="none" w:sz="0" w:space="0" w:color="auto"/>
        <w:right w:val="none" w:sz="0" w:space="0" w:color="auto"/>
      </w:divBdr>
    </w:div>
    <w:div w:id="591663371">
      <w:bodyDiv w:val="1"/>
      <w:marLeft w:val="0"/>
      <w:marRight w:val="0"/>
      <w:marTop w:val="0"/>
      <w:marBottom w:val="0"/>
      <w:divBdr>
        <w:top w:val="none" w:sz="0" w:space="0" w:color="auto"/>
        <w:left w:val="none" w:sz="0" w:space="0" w:color="auto"/>
        <w:bottom w:val="none" w:sz="0" w:space="0" w:color="auto"/>
        <w:right w:val="none" w:sz="0" w:space="0" w:color="auto"/>
      </w:divBdr>
    </w:div>
    <w:div w:id="604113987">
      <w:bodyDiv w:val="1"/>
      <w:marLeft w:val="0"/>
      <w:marRight w:val="0"/>
      <w:marTop w:val="0"/>
      <w:marBottom w:val="0"/>
      <w:divBdr>
        <w:top w:val="none" w:sz="0" w:space="0" w:color="auto"/>
        <w:left w:val="none" w:sz="0" w:space="0" w:color="auto"/>
        <w:bottom w:val="none" w:sz="0" w:space="0" w:color="auto"/>
        <w:right w:val="none" w:sz="0" w:space="0" w:color="auto"/>
      </w:divBdr>
      <w:divsChild>
        <w:div w:id="673650797">
          <w:marLeft w:val="547"/>
          <w:marRight w:val="0"/>
          <w:marTop w:val="120"/>
          <w:marBottom w:val="120"/>
          <w:divBdr>
            <w:top w:val="none" w:sz="0" w:space="0" w:color="auto"/>
            <w:left w:val="none" w:sz="0" w:space="0" w:color="auto"/>
            <w:bottom w:val="none" w:sz="0" w:space="0" w:color="auto"/>
            <w:right w:val="none" w:sz="0" w:space="0" w:color="auto"/>
          </w:divBdr>
        </w:div>
      </w:divsChild>
    </w:div>
    <w:div w:id="611325684">
      <w:bodyDiv w:val="1"/>
      <w:marLeft w:val="0"/>
      <w:marRight w:val="0"/>
      <w:marTop w:val="0"/>
      <w:marBottom w:val="0"/>
      <w:divBdr>
        <w:top w:val="none" w:sz="0" w:space="0" w:color="auto"/>
        <w:left w:val="none" w:sz="0" w:space="0" w:color="auto"/>
        <w:bottom w:val="none" w:sz="0" w:space="0" w:color="auto"/>
        <w:right w:val="none" w:sz="0" w:space="0" w:color="auto"/>
      </w:divBdr>
    </w:div>
    <w:div w:id="612203062">
      <w:bodyDiv w:val="1"/>
      <w:marLeft w:val="0"/>
      <w:marRight w:val="0"/>
      <w:marTop w:val="0"/>
      <w:marBottom w:val="0"/>
      <w:divBdr>
        <w:top w:val="none" w:sz="0" w:space="0" w:color="auto"/>
        <w:left w:val="none" w:sz="0" w:space="0" w:color="auto"/>
        <w:bottom w:val="none" w:sz="0" w:space="0" w:color="auto"/>
        <w:right w:val="none" w:sz="0" w:space="0" w:color="auto"/>
      </w:divBdr>
      <w:divsChild>
        <w:div w:id="122356701">
          <w:marLeft w:val="547"/>
          <w:marRight w:val="0"/>
          <w:marTop w:val="106"/>
          <w:marBottom w:val="0"/>
          <w:divBdr>
            <w:top w:val="none" w:sz="0" w:space="0" w:color="auto"/>
            <w:left w:val="none" w:sz="0" w:space="0" w:color="auto"/>
            <w:bottom w:val="none" w:sz="0" w:space="0" w:color="auto"/>
            <w:right w:val="none" w:sz="0" w:space="0" w:color="auto"/>
          </w:divBdr>
        </w:div>
        <w:div w:id="120153310">
          <w:marLeft w:val="1166"/>
          <w:marRight w:val="0"/>
          <w:marTop w:val="86"/>
          <w:marBottom w:val="0"/>
          <w:divBdr>
            <w:top w:val="none" w:sz="0" w:space="0" w:color="auto"/>
            <w:left w:val="none" w:sz="0" w:space="0" w:color="auto"/>
            <w:bottom w:val="none" w:sz="0" w:space="0" w:color="auto"/>
            <w:right w:val="none" w:sz="0" w:space="0" w:color="auto"/>
          </w:divBdr>
        </w:div>
        <w:div w:id="1919439842">
          <w:marLeft w:val="1166"/>
          <w:marRight w:val="0"/>
          <w:marTop w:val="86"/>
          <w:marBottom w:val="0"/>
          <w:divBdr>
            <w:top w:val="none" w:sz="0" w:space="0" w:color="auto"/>
            <w:left w:val="none" w:sz="0" w:space="0" w:color="auto"/>
            <w:bottom w:val="none" w:sz="0" w:space="0" w:color="auto"/>
            <w:right w:val="none" w:sz="0" w:space="0" w:color="auto"/>
          </w:divBdr>
        </w:div>
        <w:div w:id="1287813002">
          <w:marLeft w:val="1166"/>
          <w:marRight w:val="0"/>
          <w:marTop w:val="86"/>
          <w:marBottom w:val="0"/>
          <w:divBdr>
            <w:top w:val="none" w:sz="0" w:space="0" w:color="auto"/>
            <w:left w:val="none" w:sz="0" w:space="0" w:color="auto"/>
            <w:bottom w:val="none" w:sz="0" w:space="0" w:color="auto"/>
            <w:right w:val="none" w:sz="0" w:space="0" w:color="auto"/>
          </w:divBdr>
        </w:div>
      </w:divsChild>
    </w:div>
    <w:div w:id="627585462">
      <w:bodyDiv w:val="1"/>
      <w:marLeft w:val="0"/>
      <w:marRight w:val="0"/>
      <w:marTop w:val="0"/>
      <w:marBottom w:val="0"/>
      <w:divBdr>
        <w:top w:val="none" w:sz="0" w:space="0" w:color="auto"/>
        <w:left w:val="none" w:sz="0" w:space="0" w:color="auto"/>
        <w:bottom w:val="none" w:sz="0" w:space="0" w:color="auto"/>
        <w:right w:val="none" w:sz="0" w:space="0" w:color="auto"/>
      </w:divBdr>
    </w:div>
    <w:div w:id="631011345">
      <w:bodyDiv w:val="1"/>
      <w:marLeft w:val="0"/>
      <w:marRight w:val="0"/>
      <w:marTop w:val="0"/>
      <w:marBottom w:val="0"/>
      <w:divBdr>
        <w:top w:val="none" w:sz="0" w:space="0" w:color="auto"/>
        <w:left w:val="none" w:sz="0" w:space="0" w:color="auto"/>
        <w:bottom w:val="none" w:sz="0" w:space="0" w:color="auto"/>
        <w:right w:val="none" w:sz="0" w:space="0" w:color="auto"/>
      </w:divBdr>
    </w:div>
    <w:div w:id="635522908">
      <w:bodyDiv w:val="1"/>
      <w:marLeft w:val="0"/>
      <w:marRight w:val="0"/>
      <w:marTop w:val="0"/>
      <w:marBottom w:val="0"/>
      <w:divBdr>
        <w:top w:val="none" w:sz="0" w:space="0" w:color="auto"/>
        <w:left w:val="none" w:sz="0" w:space="0" w:color="auto"/>
        <w:bottom w:val="none" w:sz="0" w:space="0" w:color="auto"/>
        <w:right w:val="none" w:sz="0" w:space="0" w:color="auto"/>
      </w:divBdr>
      <w:divsChild>
        <w:div w:id="113407595">
          <w:marLeft w:val="547"/>
          <w:marRight w:val="0"/>
          <w:marTop w:val="0"/>
          <w:marBottom w:val="0"/>
          <w:divBdr>
            <w:top w:val="none" w:sz="0" w:space="0" w:color="auto"/>
            <w:left w:val="none" w:sz="0" w:space="0" w:color="auto"/>
            <w:bottom w:val="none" w:sz="0" w:space="0" w:color="auto"/>
            <w:right w:val="none" w:sz="0" w:space="0" w:color="auto"/>
          </w:divBdr>
        </w:div>
        <w:div w:id="1356662641">
          <w:marLeft w:val="547"/>
          <w:marRight w:val="0"/>
          <w:marTop w:val="0"/>
          <w:marBottom w:val="0"/>
          <w:divBdr>
            <w:top w:val="none" w:sz="0" w:space="0" w:color="auto"/>
            <w:left w:val="none" w:sz="0" w:space="0" w:color="auto"/>
            <w:bottom w:val="none" w:sz="0" w:space="0" w:color="auto"/>
            <w:right w:val="none" w:sz="0" w:space="0" w:color="auto"/>
          </w:divBdr>
        </w:div>
        <w:div w:id="1703628196">
          <w:marLeft w:val="547"/>
          <w:marRight w:val="0"/>
          <w:marTop w:val="0"/>
          <w:marBottom w:val="0"/>
          <w:divBdr>
            <w:top w:val="none" w:sz="0" w:space="0" w:color="auto"/>
            <w:left w:val="none" w:sz="0" w:space="0" w:color="auto"/>
            <w:bottom w:val="none" w:sz="0" w:space="0" w:color="auto"/>
            <w:right w:val="none" w:sz="0" w:space="0" w:color="auto"/>
          </w:divBdr>
        </w:div>
        <w:div w:id="2026006968">
          <w:marLeft w:val="547"/>
          <w:marRight w:val="0"/>
          <w:marTop w:val="0"/>
          <w:marBottom w:val="0"/>
          <w:divBdr>
            <w:top w:val="none" w:sz="0" w:space="0" w:color="auto"/>
            <w:left w:val="none" w:sz="0" w:space="0" w:color="auto"/>
            <w:bottom w:val="none" w:sz="0" w:space="0" w:color="auto"/>
            <w:right w:val="none" w:sz="0" w:space="0" w:color="auto"/>
          </w:divBdr>
        </w:div>
      </w:divsChild>
    </w:div>
    <w:div w:id="636449717">
      <w:bodyDiv w:val="1"/>
      <w:marLeft w:val="0"/>
      <w:marRight w:val="0"/>
      <w:marTop w:val="0"/>
      <w:marBottom w:val="0"/>
      <w:divBdr>
        <w:top w:val="none" w:sz="0" w:space="0" w:color="auto"/>
        <w:left w:val="none" w:sz="0" w:space="0" w:color="auto"/>
        <w:bottom w:val="none" w:sz="0" w:space="0" w:color="auto"/>
        <w:right w:val="none" w:sz="0" w:space="0" w:color="auto"/>
      </w:divBdr>
    </w:div>
    <w:div w:id="641547166">
      <w:bodyDiv w:val="1"/>
      <w:marLeft w:val="0"/>
      <w:marRight w:val="0"/>
      <w:marTop w:val="0"/>
      <w:marBottom w:val="0"/>
      <w:divBdr>
        <w:top w:val="none" w:sz="0" w:space="0" w:color="auto"/>
        <w:left w:val="none" w:sz="0" w:space="0" w:color="auto"/>
        <w:bottom w:val="none" w:sz="0" w:space="0" w:color="auto"/>
        <w:right w:val="none" w:sz="0" w:space="0" w:color="auto"/>
      </w:divBdr>
    </w:div>
    <w:div w:id="642193952">
      <w:bodyDiv w:val="1"/>
      <w:marLeft w:val="0"/>
      <w:marRight w:val="0"/>
      <w:marTop w:val="0"/>
      <w:marBottom w:val="0"/>
      <w:divBdr>
        <w:top w:val="none" w:sz="0" w:space="0" w:color="auto"/>
        <w:left w:val="none" w:sz="0" w:space="0" w:color="auto"/>
        <w:bottom w:val="none" w:sz="0" w:space="0" w:color="auto"/>
        <w:right w:val="none" w:sz="0" w:space="0" w:color="auto"/>
      </w:divBdr>
      <w:divsChild>
        <w:div w:id="853417603">
          <w:marLeft w:val="0"/>
          <w:marRight w:val="0"/>
          <w:marTop w:val="0"/>
          <w:marBottom w:val="0"/>
          <w:divBdr>
            <w:top w:val="none" w:sz="0" w:space="0" w:color="auto"/>
            <w:left w:val="none" w:sz="0" w:space="0" w:color="auto"/>
            <w:bottom w:val="none" w:sz="0" w:space="0" w:color="auto"/>
            <w:right w:val="none" w:sz="0" w:space="0" w:color="auto"/>
          </w:divBdr>
          <w:divsChild>
            <w:div w:id="300498523">
              <w:marLeft w:val="0"/>
              <w:marRight w:val="0"/>
              <w:marTop w:val="0"/>
              <w:marBottom w:val="0"/>
              <w:divBdr>
                <w:top w:val="none" w:sz="0" w:space="0" w:color="auto"/>
                <w:left w:val="none" w:sz="0" w:space="0" w:color="auto"/>
                <w:bottom w:val="none" w:sz="0" w:space="0" w:color="auto"/>
                <w:right w:val="none" w:sz="0" w:space="0" w:color="auto"/>
              </w:divBdr>
              <w:divsChild>
                <w:div w:id="932199619">
                  <w:marLeft w:val="0"/>
                  <w:marRight w:val="0"/>
                  <w:marTop w:val="0"/>
                  <w:marBottom w:val="0"/>
                  <w:divBdr>
                    <w:top w:val="none" w:sz="0" w:space="0" w:color="auto"/>
                    <w:left w:val="none" w:sz="0" w:space="0" w:color="auto"/>
                    <w:bottom w:val="none" w:sz="0" w:space="0" w:color="auto"/>
                    <w:right w:val="none" w:sz="0" w:space="0" w:color="auto"/>
                  </w:divBdr>
                  <w:divsChild>
                    <w:div w:id="487551145">
                      <w:marLeft w:val="1"/>
                      <w:marRight w:val="1"/>
                      <w:marTop w:val="0"/>
                      <w:marBottom w:val="0"/>
                      <w:divBdr>
                        <w:top w:val="none" w:sz="0" w:space="0" w:color="auto"/>
                        <w:left w:val="none" w:sz="0" w:space="0" w:color="auto"/>
                        <w:bottom w:val="none" w:sz="0" w:space="0" w:color="auto"/>
                        <w:right w:val="none" w:sz="0" w:space="0" w:color="auto"/>
                      </w:divBdr>
                      <w:divsChild>
                        <w:div w:id="2091190627">
                          <w:marLeft w:val="0"/>
                          <w:marRight w:val="0"/>
                          <w:marTop w:val="0"/>
                          <w:marBottom w:val="0"/>
                          <w:divBdr>
                            <w:top w:val="none" w:sz="0" w:space="0" w:color="auto"/>
                            <w:left w:val="none" w:sz="0" w:space="0" w:color="auto"/>
                            <w:bottom w:val="none" w:sz="0" w:space="0" w:color="auto"/>
                            <w:right w:val="none" w:sz="0" w:space="0" w:color="auto"/>
                          </w:divBdr>
                          <w:divsChild>
                            <w:div w:id="508954114">
                              <w:marLeft w:val="0"/>
                              <w:marRight w:val="0"/>
                              <w:marTop w:val="0"/>
                              <w:marBottom w:val="360"/>
                              <w:divBdr>
                                <w:top w:val="none" w:sz="0" w:space="0" w:color="auto"/>
                                <w:left w:val="none" w:sz="0" w:space="0" w:color="auto"/>
                                <w:bottom w:val="none" w:sz="0" w:space="0" w:color="auto"/>
                                <w:right w:val="none" w:sz="0" w:space="0" w:color="auto"/>
                              </w:divBdr>
                              <w:divsChild>
                                <w:div w:id="495924088">
                                  <w:marLeft w:val="0"/>
                                  <w:marRight w:val="0"/>
                                  <w:marTop w:val="0"/>
                                  <w:marBottom w:val="0"/>
                                  <w:divBdr>
                                    <w:top w:val="none" w:sz="0" w:space="0" w:color="auto"/>
                                    <w:left w:val="none" w:sz="0" w:space="0" w:color="auto"/>
                                    <w:bottom w:val="none" w:sz="0" w:space="0" w:color="auto"/>
                                    <w:right w:val="none" w:sz="0" w:space="0" w:color="auto"/>
                                  </w:divBdr>
                                  <w:divsChild>
                                    <w:div w:id="2121870470">
                                      <w:marLeft w:val="0"/>
                                      <w:marRight w:val="0"/>
                                      <w:marTop w:val="0"/>
                                      <w:marBottom w:val="0"/>
                                      <w:divBdr>
                                        <w:top w:val="none" w:sz="0" w:space="0" w:color="auto"/>
                                        <w:left w:val="none" w:sz="0" w:space="0" w:color="auto"/>
                                        <w:bottom w:val="none" w:sz="0" w:space="0" w:color="auto"/>
                                        <w:right w:val="none" w:sz="0" w:space="0" w:color="auto"/>
                                      </w:divBdr>
                                      <w:divsChild>
                                        <w:div w:id="1615941297">
                                          <w:marLeft w:val="0"/>
                                          <w:marRight w:val="0"/>
                                          <w:marTop w:val="0"/>
                                          <w:marBottom w:val="0"/>
                                          <w:divBdr>
                                            <w:top w:val="none" w:sz="0" w:space="0" w:color="auto"/>
                                            <w:left w:val="none" w:sz="0" w:space="0" w:color="auto"/>
                                            <w:bottom w:val="none" w:sz="0" w:space="0" w:color="auto"/>
                                            <w:right w:val="none" w:sz="0" w:space="0" w:color="auto"/>
                                          </w:divBdr>
                                          <w:divsChild>
                                            <w:div w:id="126166852">
                                              <w:marLeft w:val="0"/>
                                              <w:marRight w:val="0"/>
                                              <w:marTop w:val="0"/>
                                              <w:marBottom w:val="0"/>
                                              <w:divBdr>
                                                <w:top w:val="none" w:sz="0" w:space="0" w:color="auto"/>
                                                <w:left w:val="none" w:sz="0" w:space="0" w:color="auto"/>
                                                <w:bottom w:val="none" w:sz="0" w:space="0" w:color="auto"/>
                                                <w:right w:val="none" w:sz="0" w:space="0" w:color="auto"/>
                                              </w:divBdr>
                                              <w:divsChild>
                                                <w:div w:id="690885383">
                                                  <w:marLeft w:val="0"/>
                                                  <w:marRight w:val="0"/>
                                                  <w:marTop w:val="0"/>
                                                  <w:marBottom w:val="0"/>
                                                  <w:divBdr>
                                                    <w:top w:val="none" w:sz="0" w:space="0" w:color="auto"/>
                                                    <w:left w:val="none" w:sz="0" w:space="0" w:color="auto"/>
                                                    <w:bottom w:val="none" w:sz="0" w:space="0" w:color="auto"/>
                                                    <w:right w:val="none" w:sz="0" w:space="0" w:color="auto"/>
                                                  </w:divBdr>
                                                  <w:divsChild>
                                                    <w:div w:id="43236482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sChild>
            </w:div>
          </w:divsChild>
        </w:div>
      </w:divsChild>
    </w:div>
    <w:div w:id="642932553">
      <w:bodyDiv w:val="1"/>
      <w:marLeft w:val="0"/>
      <w:marRight w:val="0"/>
      <w:marTop w:val="0"/>
      <w:marBottom w:val="0"/>
      <w:divBdr>
        <w:top w:val="none" w:sz="0" w:space="0" w:color="auto"/>
        <w:left w:val="none" w:sz="0" w:space="0" w:color="auto"/>
        <w:bottom w:val="none" w:sz="0" w:space="0" w:color="auto"/>
        <w:right w:val="none" w:sz="0" w:space="0" w:color="auto"/>
      </w:divBdr>
    </w:div>
    <w:div w:id="654261805">
      <w:bodyDiv w:val="1"/>
      <w:marLeft w:val="0"/>
      <w:marRight w:val="0"/>
      <w:marTop w:val="0"/>
      <w:marBottom w:val="0"/>
      <w:divBdr>
        <w:top w:val="none" w:sz="0" w:space="0" w:color="auto"/>
        <w:left w:val="none" w:sz="0" w:space="0" w:color="auto"/>
        <w:bottom w:val="none" w:sz="0" w:space="0" w:color="auto"/>
        <w:right w:val="none" w:sz="0" w:space="0" w:color="auto"/>
      </w:divBdr>
    </w:div>
    <w:div w:id="663777663">
      <w:bodyDiv w:val="1"/>
      <w:marLeft w:val="0"/>
      <w:marRight w:val="0"/>
      <w:marTop w:val="0"/>
      <w:marBottom w:val="0"/>
      <w:divBdr>
        <w:top w:val="none" w:sz="0" w:space="0" w:color="auto"/>
        <w:left w:val="none" w:sz="0" w:space="0" w:color="auto"/>
        <w:bottom w:val="none" w:sz="0" w:space="0" w:color="auto"/>
        <w:right w:val="none" w:sz="0" w:space="0" w:color="auto"/>
      </w:divBdr>
      <w:divsChild>
        <w:div w:id="1850556955">
          <w:marLeft w:val="0"/>
          <w:marRight w:val="0"/>
          <w:marTop w:val="0"/>
          <w:marBottom w:val="0"/>
          <w:divBdr>
            <w:top w:val="none" w:sz="0" w:space="0" w:color="auto"/>
            <w:left w:val="none" w:sz="0" w:space="0" w:color="auto"/>
            <w:bottom w:val="none" w:sz="0" w:space="0" w:color="auto"/>
            <w:right w:val="none" w:sz="0" w:space="0" w:color="auto"/>
          </w:divBdr>
        </w:div>
      </w:divsChild>
    </w:div>
    <w:div w:id="681931980">
      <w:bodyDiv w:val="1"/>
      <w:marLeft w:val="0"/>
      <w:marRight w:val="0"/>
      <w:marTop w:val="0"/>
      <w:marBottom w:val="0"/>
      <w:divBdr>
        <w:top w:val="none" w:sz="0" w:space="0" w:color="auto"/>
        <w:left w:val="none" w:sz="0" w:space="0" w:color="auto"/>
        <w:bottom w:val="none" w:sz="0" w:space="0" w:color="auto"/>
        <w:right w:val="none" w:sz="0" w:space="0" w:color="auto"/>
      </w:divBdr>
    </w:div>
    <w:div w:id="693073520">
      <w:bodyDiv w:val="1"/>
      <w:marLeft w:val="0"/>
      <w:marRight w:val="0"/>
      <w:marTop w:val="0"/>
      <w:marBottom w:val="0"/>
      <w:divBdr>
        <w:top w:val="none" w:sz="0" w:space="0" w:color="auto"/>
        <w:left w:val="none" w:sz="0" w:space="0" w:color="auto"/>
        <w:bottom w:val="none" w:sz="0" w:space="0" w:color="auto"/>
        <w:right w:val="none" w:sz="0" w:space="0" w:color="auto"/>
      </w:divBdr>
    </w:div>
    <w:div w:id="699432909">
      <w:bodyDiv w:val="1"/>
      <w:marLeft w:val="0"/>
      <w:marRight w:val="0"/>
      <w:marTop w:val="0"/>
      <w:marBottom w:val="0"/>
      <w:divBdr>
        <w:top w:val="none" w:sz="0" w:space="0" w:color="auto"/>
        <w:left w:val="none" w:sz="0" w:space="0" w:color="auto"/>
        <w:bottom w:val="none" w:sz="0" w:space="0" w:color="auto"/>
        <w:right w:val="none" w:sz="0" w:space="0" w:color="auto"/>
      </w:divBdr>
    </w:div>
    <w:div w:id="700327226">
      <w:bodyDiv w:val="1"/>
      <w:marLeft w:val="0"/>
      <w:marRight w:val="0"/>
      <w:marTop w:val="0"/>
      <w:marBottom w:val="0"/>
      <w:divBdr>
        <w:top w:val="none" w:sz="0" w:space="0" w:color="auto"/>
        <w:left w:val="none" w:sz="0" w:space="0" w:color="auto"/>
        <w:bottom w:val="none" w:sz="0" w:space="0" w:color="auto"/>
        <w:right w:val="none" w:sz="0" w:space="0" w:color="auto"/>
      </w:divBdr>
    </w:div>
    <w:div w:id="707993327">
      <w:bodyDiv w:val="1"/>
      <w:marLeft w:val="0"/>
      <w:marRight w:val="0"/>
      <w:marTop w:val="0"/>
      <w:marBottom w:val="0"/>
      <w:divBdr>
        <w:top w:val="none" w:sz="0" w:space="0" w:color="auto"/>
        <w:left w:val="none" w:sz="0" w:space="0" w:color="auto"/>
        <w:bottom w:val="none" w:sz="0" w:space="0" w:color="auto"/>
        <w:right w:val="none" w:sz="0" w:space="0" w:color="auto"/>
      </w:divBdr>
    </w:div>
    <w:div w:id="714700266">
      <w:bodyDiv w:val="1"/>
      <w:marLeft w:val="0"/>
      <w:marRight w:val="0"/>
      <w:marTop w:val="0"/>
      <w:marBottom w:val="0"/>
      <w:divBdr>
        <w:top w:val="none" w:sz="0" w:space="0" w:color="auto"/>
        <w:left w:val="none" w:sz="0" w:space="0" w:color="auto"/>
        <w:bottom w:val="none" w:sz="0" w:space="0" w:color="auto"/>
        <w:right w:val="none" w:sz="0" w:space="0" w:color="auto"/>
      </w:divBdr>
    </w:div>
    <w:div w:id="716902124">
      <w:bodyDiv w:val="1"/>
      <w:marLeft w:val="0"/>
      <w:marRight w:val="0"/>
      <w:marTop w:val="0"/>
      <w:marBottom w:val="0"/>
      <w:divBdr>
        <w:top w:val="none" w:sz="0" w:space="0" w:color="auto"/>
        <w:left w:val="none" w:sz="0" w:space="0" w:color="auto"/>
        <w:bottom w:val="none" w:sz="0" w:space="0" w:color="auto"/>
        <w:right w:val="none" w:sz="0" w:space="0" w:color="auto"/>
      </w:divBdr>
    </w:div>
    <w:div w:id="717558782">
      <w:bodyDiv w:val="1"/>
      <w:marLeft w:val="0"/>
      <w:marRight w:val="0"/>
      <w:marTop w:val="0"/>
      <w:marBottom w:val="0"/>
      <w:divBdr>
        <w:top w:val="none" w:sz="0" w:space="0" w:color="auto"/>
        <w:left w:val="none" w:sz="0" w:space="0" w:color="auto"/>
        <w:bottom w:val="none" w:sz="0" w:space="0" w:color="auto"/>
        <w:right w:val="none" w:sz="0" w:space="0" w:color="auto"/>
      </w:divBdr>
    </w:div>
    <w:div w:id="724062789">
      <w:bodyDiv w:val="1"/>
      <w:marLeft w:val="0"/>
      <w:marRight w:val="0"/>
      <w:marTop w:val="0"/>
      <w:marBottom w:val="0"/>
      <w:divBdr>
        <w:top w:val="none" w:sz="0" w:space="0" w:color="auto"/>
        <w:left w:val="none" w:sz="0" w:space="0" w:color="auto"/>
        <w:bottom w:val="none" w:sz="0" w:space="0" w:color="auto"/>
        <w:right w:val="none" w:sz="0" w:space="0" w:color="auto"/>
      </w:divBdr>
    </w:div>
    <w:div w:id="724916219">
      <w:bodyDiv w:val="1"/>
      <w:marLeft w:val="0"/>
      <w:marRight w:val="0"/>
      <w:marTop w:val="0"/>
      <w:marBottom w:val="0"/>
      <w:divBdr>
        <w:top w:val="none" w:sz="0" w:space="0" w:color="auto"/>
        <w:left w:val="none" w:sz="0" w:space="0" w:color="auto"/>
        <w:bottom w:val="none" w:sz="0" w:space="0" w:color="auto"/>
        <w:right w:val="none" w:sz="0" w:space="0" w:color="auto"/>
      </w:divBdr>
    </w:div>
    <w:div w:id="727650367">
      <w:bodyDiv w:val="1"/>
      <w:marLeft w:val="0"/>
      <w:marRight w:val="0"/>
      <w:marTop w:val="0"/>
      <w:marBottom w:val="0"/>
      <w:divBdr>
        <w:top w:val="none" w:sz="0" w:space="0" w:color="auto"/>
        <w:left w:val="none" w:sz="0" w:space="0" w:color="auto"/>
        <w:bottom w:val="none" w:sz="0" w:space="0" w:color="auto"/>
        <w:right w:val="none" w:sz="0" w:space="0" w:color="auto"/>
      </w:divBdr>
    </w:div>
    <w:div w:id="731195858">
      <w:bodyDiv w:val="1"/>
      <w:marLeft w:val="0"/>
      <w:marRight w:val="0"/>
      <w:marTop w:val="0"/>
      <w:marBottom w:val="0"/>
      <w:divBdr>
        <w:top w:val="none" w:sz="0" w:space="0" w:color="auto"/>
        <w:left w:val="none" w:sz="0" w:space="0" w:color="auto"/>
        <w:bottom w:val="none" w:sz="0" w:space="0" w:color="auto"/>
        <w:right w:val="none" w:sz="0" w:space="0" w:color="auto"/>
      </w:divBdr>
      <w:divsChild>
        <w:div w:id="1659189106">
          <w:marLeft w:val="0"/>
          <w:marRight w:val="0"/>
          <w:marTop w:val="0"/>
          <w:marBottom w:val="0"/>
          <w:divBdr>
            <w:top w:val="none" w:sz="0" w:space="0" w:color="auto"/>
            <w:left w:val="none" w:sz="0" w:space="0" w:color="auto"/>
            <w:bottom w:val="none" w:sz="0" w:space="0" w:color="auto"/>
            <w:right w:val="none" w:sz="0" w:space="0" w:color="auto"/>
          </w:divBdr>
          <w:divsChild>
            <w:div w:id="1314262420">
              <w:marLeft w:val="0"/>
              <w:marRight w:val="0"/>
              <w:marTop w:val="0"/>
              <w:marBottom w:val="0"/>
              <w:divBdr>
                <w:top w:val="none" w:sz="0" w:space="0" w:color="auto"/>
                <w:left w:val="none" w:sz="0" w:space="0" w:color="auto"/>
                <w:bottom w:val="none" w:sz="0" w:space="0" w:color="auto"/>
                <w:right w:val="none" w:sz="0" w:space="0" w:color="auto"/>
              </w:divBdr>
              <w:divsChild>
                <w:div w:id="946808503">
                  <w:marLeft w:val="0"/>
                  <w:marRight w:val="0"/>
                  <w:marTop w:val="0"/>
                  <w:marBottom w:val="0"/>
                  <w:divBdr>
                    <w:top w:val="none" w:sz="0" w:space="0" w:color="auto"/>
                    <w:left w:val="none" w:sz="0" w:space="0" w:color="auto"/>
                    <w:bottom w:val="none" w:sz="0" w:space="0" w:color="auto"/>
                    <w:right w:val="none" w:sz="0" w:space="0" w:color="auto"/>
                  </w:divBdr>
                  <w:divsChild>
                    <w:div w:id="1359427819">
                      <w:marLeft w:val="-225"/>
                      <w:marRight w:val="-225"/>
                      <w:marTop w:val="0"/>
                      <w:marBottom w:val="0"/>
                      <w:divBdr>
                        <w:top w:val="none" w:sz="0" w:space="0" w:color="auto"/>
                        <w:left w:val="none" w:sz="0" w:space="0" w:color="auto"/>
                        <w:bottom w:val="none" w:sz="0" w:space="0" w:color="auto"/>
                        <w:right w:val="none" w:sz="0" w:space="0" w:color="auto"/>
                      </w:divBdr>
                      <w:divsChild>
                        <w:div w:id="1563632981">
                          <w:marLeft w:val="375"/>
                          <w:marRight w:val="0"/>
                          <w:marTop w:val="0"/>
                          <w:marBottom w:val="0"/>
                          <w:divBdr>
                            <w:top w:val="none" w:sz="0" w:space="0" w:color="auto"/>
                            <w:left w:val="none" w:sz="0" w:space="0" w:color="auto"/>
                            <w:bottom w:val="none" w:sz="0" w:space="0" w:color="auto"/>
                            <w:right w:val="none" w:sz="0" w:space="0" w:color="auto"/>
                          </w:divBdr>
                          <w:divsChild>
                            <w:div w:id="1011177127">
                              <w:marLeft w:val="0"/>
                              <w:marRight w:val="0"/>
                              <w:marTop w:val="0"/>
                              <w:marBottom w:val="0"/>
                              <w:divBdr>
                                <w:top w:val="none" w:sz="0" w:space="0" w:color="auto"/>
                                <w:left w:val="none" w:sz="0" w:space="0" w:color="auto"/>
                                <w:bottom w:val="none" w:sz="0" w:space="0" w:color="auto"/>
                                <w:right w:val="none" w:sz="0" w:space="0" w:color="auto"/>
                              </w:divBdr>
                              <w:divsChild>
                                <w:div w:id="850796898">
                                  <w:marLeft w:val="0"/>
                                  <w:marRight w:val="0"/>
                                  <w:marTop w:val="0"/>
                                  <w:marBottom w:val="300"/>
                                  <w:divBdr>
                                    <w:top w:val="none" w:sz="0" w:space="0" w:color="auto"/>
                                    <w:left w:val="none" w:sz="0" w:space="0" w:color="auto"/>
                                    <w:bottom w:val="none" w:sz="0" w:space="0" w:color="auto"/>
                                    <w:right w:val="none" w:sz="0" w:space="0" w:color="auto"/>
                                  </w:divBdr>
                                  <w:divsChild>
                                    <w:div w:id="1543667041">
                                      <w:marLeft w:val="0"/>
                                      <w:marRight w:val="0"/>
                                      <w:marTop w:val="0"/>
                                      <w:marBottom w:val="0"/>
                                      <w:divBdr>
                                        <w:top w:val="none" w:sz="0" w:space="0" w:color="auto"/>
                                        <w:left w:val="none" w:sz="0" w:space="0" w:color="auto"/>
                                        <w:bottom w:val="none" w:sz="0" w:space="0" w:color="auto"/>
                                        <w:right w:val="none" w:sz="0" w:space="0" w:color="auto"/>
                                      </w:divBdr>
                                      <w:divsChild>
                                        <w:div w:id="183325464">
                                          <w:marLeft w:val="0"/>
                                          <w:marRight w:val="0"/>
                                          <w:marTop w:val="0"/>
                                          <w:marBottom w:val="0"/>
                                          <w:divBdr>
                                            <w:top w:val="none" w:sz="0" w:space="0" w:color="auto"/>
                                            <w:left w:val="none" w:sz="0" w:space="0" w:color="auto"/>
                                            <w:bottom w:val="none" w:sz="0" w:space="0" w:color="auto"/>
                                            <w:right w:val="none" w:sz="0" w:space="0" w:color="auto"/>
                                          </w:divBdr>
                                          <w:divsChild>
                                            <w:div w:id="48843580">
                                              <w:marLeft w:val="0"/>
                                              <w:marRight w:val="0"/>
                                              <w:marTop w:val="0"/>
                                              <w:marBottom w:val="0"/>
                                              <w:divBdr>
                                                <w:top w:val="none" w:sz="0" w:space="0" w:color="auto"/>
                                                <w:left w:val="none" w:sz="0" w:space="0" w:color="auto"/>
                                                <w:bottom w:val="none" w:sz="0" w:space="0" w:color="auto"/>
                                                <w:right w:val="none" w:sz="0" w:space="0" w:color="auto"/>
                                              </w:divBdr>
                                              <w:divsChild>
                                                <w:div w:id="1019238780">
                                                  <w:marLeft w:val="0"/>
                                                  <w:marRight w:val="0"/>
                                                  <w:marTop w:val="0"/>
                                                  <w:marBottom w:val="0"/>
                                                  <w:divBdr>
                                                    <w:top w:val="none" w:sz="0" w:space="0" w:color="auto"/>
                                                    <w:left w:val="none" w:sz="0" w:space="0" w:color="auto"/>
                                                    <w:bottom w:val="none" w:sz="0" w:space="0" w:color="auto"/>
                                                    <w:right w:val="none" w:sz="0" w:space="0" w:color="auto"/>
                                                  </w:divBdr>
                                                  <w:divsChild>
                                                    <w:div w:id="17531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47604">
                                              <w:marLeft w:val="0"/>
                                              <w:marRight w:val="0"/>
                                              <w:marTop w:val="0"/>
                                              <w:marBottom w:val="0"/>
                                              <w:divBdr>
                                                <w:top w:val="none" w:sz="0" w:space="0" w:color="auto"/>
                                                <w:left w:val="none" w:sz="0" w:space="0" w:color="auto"/>
                                                <w:bottom w:val="none" w:sz="0" w:space="0" w:color="auto"/>
                                                <w:right w:val="none" w:sz="0" w:space="0" w:color="auto"/>
                                              </w:divBdr>
                                              <w:divsChild>
                                                <w:div w:id="18123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275691">
      <w:bodyDiv w:val="1"/>
      <w:marLeft w:val="0"/>
      <w:marRight w:val="0"/>
      <w:marTop w:val="0"/>
      <w:marBottom w:val="0"/>
      <w:divBdr>
        <w:top w:val="none" w:sz="0" w:space="0" w:color="auto"/>
        <w:left w:val="none" w:sz="0" w:space="0" w:color="auto"/>
        <w:bottom w:val="none" w:sz="0" w:space="0" w:color="auto"/>
        <w:right w:val="none" w:sz="0" w:space="0" w:color="auto"/>
      </w:divBdr>
    </w:div>
    <w:div w:id="743991732">
      <w:bodyDiv w:val="1"/>
      <w:marLeft w:val="0"/>
      <w:marRight w:val="0"/>
      <w:marTop w:val="0"/>
      <w:marBottom w:val="0"/>
      <w:divBdr>
        <w:top w:val="none" w:sz="0" w:space="0" w:color="auto"/>
        <w:left w:val="none" w:sz="0" w:space="0" w:color="auto"/>
        <w:bottom w:val="none" w:sz="0" w:space="0" w:color="auto"/>
        <w:right w:val="none" w:sz="0" w:space="0" w:color="auto"/>
      </w:divBdr>
    </w:div>
    <w:div w:id="754397459">
      <w:bodyDiv w:val="1"/>
      <w:marLeft w:val="0"/>
      <w:marRight w:val="0"/>
      <w:marTop w:val="0"/>
      <w:marBottom w:val="0"/>
      <w:divBdr>
        <w:top w:val="none" w:sz="0" w:space="0" w:color="auto"/>
        <w:left w:val="none" w:sz="0" w:space="0" w:color="auto"/>
        <w:bottom w:val="none" w:sz="0" w:space="0" w:color="auto"/>
        <w:right w:val="none" w:sz="0" w:space="0" w:color="auto"/>
      </w:divBdr>
      <w:divsChild>
        <w:div w:id="1165971970">
          <w:marLeft w:val="0"/>
          <w:marRight w:val="0"/>
          <w:marTop w:val="0"/>
          <w:marBottom w:val="0"/>
          <w:divBdr>
            <w:top w:val="none" w:sz="0" w:space="0" w:color="auto"/>
            <w:left w:val="none" w:sz="0" w:space="0" w:color="auto"/>
            <w:bottom w:val="none" w:sz="0" w:space="0" w:color="auto"/>
            <w:right w:val="none" w:sz="0" w:space="0" w:color="auto"/>
          </w:divBdr>
          <w:divsChild>
            <w:div w:id="122039524">
              <w:marLeft w:val="0"/>
              <w:marRight w:val="0"/>
              <w:marTop w:val="0"/>
              <w:marBottom w:val="0"/>
              <w:divBdr>
                <w:top w:val="none" w:sz="0" w:space="0" w:color="auto"/>
                <w:left w:val="none" w:sz="0" w:space="0" w:color="auto"/>
                <w:bottom w:val="none" w:sz="0" w:space="0" w:color="auto"/>
                <w:right w:val="none" w:sz="0" w:space="0" w:color="auto"/>
              </w:divBdr>
              <w:divsChild>
                <w:div w:id="257249236">
                  <w:marLeft w:val="0"/>
                  <w:marRight w:val="0"/>
                  <w:marTop w:val="0"/>
                  <w:marBottom w:val="0"/>
                  <w:divBdr>
                    <w:top w:val="none" w:sz="0" w:space="0" w:color="auto"/>
                    <w:left w:val="none" w:sz="0" w:space="0" w:color="auto"/>
                    <w:bottom w:val="none" w:sz="0" w:space="0" w:color="auto"/>
                    <w:right w:val="none" w:sz="0" w:space="0" w:color="auto"/>
                  </w:divBdr>
                  <w:divsChild>
                    <w:div w:id="2145613639">
                      <w:marLeft w:val="0"/>
                      <w:marRight w:val="0"/>
                      <w:marTop w:val="0"/>
                      <w:marBottom w:val="0"/>
                      <w:divBdr>
                        <w:top w:val="none" w:sz="0" w:space="0" w:color="auto"/>
                        <w:left w:val="none" w:sz="0" w:space="0" w:color="auto"/>
                        <w:bottom w:val="none" w:sz="0" w:space="0" w:color="auto"/>
                        <w:right w:val="none" w:sz="0" w:space="0" w:color="auto"/>
                      </w:divBdr>
                      <w:divsChild>
                        <w:div w:id="334308655">
                          <w:marLeft w:val="0"/>
                          <w:marRight w:val="0"/>
                          <w:marTop w:val="0"/>
                          <w:marBottom w:val="0"/>
                          <w:divBdr>
                            <w:top w:val="none" w:sz="0" w:space="0" w:color="auto"/>
                            <w:left w:val="none" w:sz="0" w:space="0" w:color="auto"/>
                            <w:bottom w:val="none" w:sz="0" w:space="0" w:color="auto"/>
                            <w:right w:val="none" w:sz="0" w:space="0" w:color="auto"/>
                          </w:divBdr>
                          <w:divsChild>
                            <w:div w:id="163321287">
                              <w:marLeft w:val="-225"/>
                              <w:marRight w:val="-225"/>
                              <w:marTop w:val="0"/>
                              <w:marBottom w:val="0"/>
                              <w:divBdr>
                                <w:top w:val="none" w:sz="0" w:space="0" w:color="auto"/>
                                <w:left w:val="none" w:sz="0" w:space="0" w:color="auto"/>
                                <w:bottom w:val="none" w:sz="0" w:space="0" w:color="auto"/>
                                <w:right w:val="none" w:sz="0" w:space="0" w:color="auto"/>
                              </w:divBdr>
                              <w:divsChild>
                                <w:div w:id="676925998">
                                  <w:marLeft w:val="0"/>
                                  <w:marRight w:val="0"/>
                                  <w:marTop w:val="0"/>
                                  <w:marBottom w:val="133"/>
                                  <w:divBdr>
                                    <w:top w:val="none" w:sz="0" w:space="0" w:color="auto"/>
                                    <w:left w:val="none" w:sz="0" w:space="0" w:color="auto"/>
                                    <w:bottom w:val="none" w:sz="0" w:space="0" w:color="auto"/>
                                    <w:right w:val="none" w:sz="0" w:space="0" w:color="auto"/>
                                  </w:divBdr>
                                  <w:divsChild>
                                    <w:div w:id="4223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596862">
      <w:bodyDiv w:val="1"/>
      <w:marLeft w:val="0"/>
      <w:marRight w:val="0"/>
      <w:marTop w:val="0"/>
      <w:marBottom w:val="0"/>
      <w:divBdr>
        <w:top w:val="none" w:sz="0" w:space="0" w:color="auto"/>
        <w:left w:val="none" w:sz="0" w:space="0" w:color="auto"/>
        <w:bottom w:val="none" w:sz="0" w:space="0" w:color="auto"/>
        <w:right w:val="none" w:sz="0" w:space="0" w:color="auto"/>
      </w:divBdr>
    </w:div>
    <w:div w:id="755133102">
      <w:bodyDiv w:val="1"/>
      <w:marLeft w:val="0"/>
      <w:marRight w:val="0"/>
      <w:marTop w:val="0"/>
      <w:marBottom w:val="0"/>
      <w:divBdr>
        <w:top w:val="none" w:sz="0" w:space="0" w:color="auto"/>
        <w:left w:val="none" w:sz="0" w:space="0" w:color="auto"/>
        <w:bottom w:val="none" w:sz="0" w:space="0" w:color="auto"/>
        <w:right w:val="none" w:sz="0" w:space="0" w:color="auto"/>
      </w:divBdr>
      <w:divsChild>
        <w:div w:id="271134948">
          <w:marLeft w:val="0"/>
          <w:marRight w:val="0"/>
          <w:marTop w:val="0"/>
          <w:marBottom w:val="0"/>
          <w:divBdr>
            <w:top w:val="none" w:sz="0" w:space="0" w:color="auto"/>
            <w:left w:val="none" w:sz="0" w:space="0" w:color="auto"/>
            <w:bottom w:val="none" w:sz="0" w:space="0" w:color="auto"/>
            <w:right w:val="none" w:sz="0" w:space="0" w:color="auto"/>
          </w:divBdr>
          <w:divsChild>
            <w:div w:id="599795155">
              <w:marLeft w:val="0"/>
              <w:marRight w:val="0"/>
              <w:marTop w:val="0"/>
              <w:marBottom w:val="0"/>
              <w:divBdr>
                <w:top w:val="none" w:sz="0" w:space="0" w:color="auto"/>
                <w:left w:val="none" w:sz="0" w:space="0" w:color="auto"/>
                <w:bottom w:val="none" w:sz="0" w:space="0" w:color="auto"/>
                <w:right w:val="none" w:sz="0" w:space="0" w:color="auto"/>
              </w:divBdr>
              <w:divsChild>
                <w:div w:id="843321576">
                  <w:marLeft w:val="0"/>
                  <w:marRight w:val="0"/>
                  <w:marTop w:val="0"/>
                  <w:marBottom w:val="0"/>
                  <w:divBdr>
                    <w:top w:val="none" w:sz="0" w:space="0" w:color="auto"/>
                    <w:left w:val="none" w:sz="0" w:space="0" w:color="auto"/>
                    <w:bottom w:val="none" w:sz="0" w:space="0" w:color="auto"/>
                    <w:right w:val="none" w:sz="0" w:space="0" w:color="auto"/>
                  </w:divBdr>
                  <w:divsChild>
                    <w:div w:id="636958471">
                      <w:marLeft w:val="1"/>
                      <w:marRight w:val="1"/>
                      <w:marTop w:val="0"/>
                      <w:marBottom w:val="0"/>
                      <w:divBdr>
                        <w:top w:val="none" w:sz="0" w:space="0" w:color="auto"/>
                        <w:left w:val="none" w:sz="0" w:space="0" w:color="auto"/>
                        <w:bottom w:val="none" w:sz="0" w:space="0" w:color="auto"/>
                        <w:right w:val="none" w:sz="0" w:space="0" w:color="auto"/>
                      </w:divBdr>
                      <w:divsChild>
                        <w:div w:id="1852717992">
                          <w:marLeft w:val="0"/>
                          <w:marRight w:val="0"/>
                          <w:marTop w:val="0"/>
                          <w:marBottom w:val="0"/>
                          <w:divBdr>
                            <w:top w:val="none" w:sz="0" w:space="0" w:color="auto"/>
                            <w:left w:val="none" w:sz="0" w:space="0" w:color="auto"/>
                            <w:bottom w:val="none" w:sz="0" w:space="0" w:color="auto"/>
                            <w:right w:val="none" w:sz="0" w:space="0" w:color="auto"/>
                          </w:divBdr>
                          <w:divsChild>
                            <w:div w:id="1194271909">
                              <w:marLeft w:val="0"/>
                              <w:marRight w:val="0"/>
                              <w:marTop w:val="0"/>
                              <w:marBottom w:val="360"/>
                              <w:divBdr>
                                <w:top w:val="none" w:sz="0" w:space="0" w:color="auto"/>
                                <w:left w:val="none" w:sz="0" w:space="0" w:color="auto"/>
                                <w:bottom w:val="none" w:sz="0" w:space="0" w:color="auto"/>
                                <w:right w:val="none" w:sz="0" w:space="0" w:color="auto"/>
                              </w:divBdr>
                              <w:divsChild>
                                <w:div w:id="1612863005">
                                  <w:marLeft w:val="0"/>
                                  <w:marRight w:val="0"/>
                                  <w:marTop w:val="0"/>
                                  <w:marBottom w:val="0"/>
                                  <w:divBdr>
                                    <w:top w:val="none" w:sz="0" w:space="0" w:color="auto"/>
                                    <w:left w:val="none" w:sz="0" w:space="0" w:color="auto"/>
                                    <w:bottom w:val="none" w:sz="0" w:space="0" w:color="auto"/>
                                    <w:right w:val="none" w:sz="0" w:space="0" w:color="auto"/>
                                  </w:divBdr>
                                  <w:divsChild>
                                    <w:div w:id="1357730120">
                                      <w:marLeft w:val="0"/>
                                      <w:marRight w:val="0"/>
                                      <w:marTop w:val="0"/>
                                      <w:marBottom w:val="0"/>
                                      <w:divBdr>
                                        <w:top w:val="none" w:sz="0" w:space="0" w:color="auto"/>
                                        <w:left w:val="none" w:sz="0" w:space="0" w:color="auto"/>
                                        <w:bottom w:val="none" w:sz="0" w:space="0" w:color="auto"/>
                                        <w:right w:val="none" w:sz="0" w:space="0" w:color="auto"/>
                                      </w:divBdr>
                                      <w:divsChild>
                                        <w:div w:id="1074357561">
                                          <w:marLeft w:val="0"/>
                                          <w:marRight w:val="0"/>
                                          <w:marTop w:val="0"/>
                                          <w:marBottom w:val="0"/>
                                          <w:divBdr>
                                            <w:top w:val="none" w:sz="0" w:space="0" w:color="auto"/>
                                            <w:left w:val="none" w:sz="0" w:space="0" w:color="auto"/>
                                            <w:bottom w:val="none" w:sz="0" w:space="0" w:color="auto"/>
                                            <w:right w:val="none" w:sz="0" w:space="0" w:color="auto"/>
                                          </w:divBdr>
                                        </w:div>
                                        <w:div w:id="14292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838161">
      <w:bodyDiv w:val="1"/>
      <w:marLeft w:val="0"/>
      <w:marRight w:val="0"/>
      <w:marTop w:val="0"/>
      <w:marBottom w:val="0"/>
      <w:divBdr>
        <w:top w:val="none" w:sz="0" w:space="0" w:color="auto"/>
        <w:left w:val="none" w:sz="0" w:space="0" w:color="auto"/>
        <w:bottom w:val="none" w:sz="0" w:space="0" w:color="auto"/>
        <w:right w:val="none" w:sz="0" w:space="0" w:color="auto"/>
      </w:divBdr>
    </w:div>
    <w:div w:id="761224222">
      <w:bodyDiv w:val="1"/>
      <w:marLeft w:val="0"/>
      <w:marRight w:val="0"/>
      <w:marTop w:val="0"/>
      <w:marBottom w:val="0"/>
      <w:divBdr>
        <w:top w:val="none" w:sz="0" w:space="0" w:color="auto"/>
        <w:left w:val="none" w:sz="0" w:space="0" w:color="auto"/>
        <w:bottom w:val="none" w:sz="0" w:space="0" w:color="auto"/>
        <w:right w:val="none" w:sz="0" w:space="0" w:color="auto"/>
      </w:divBdr>
    </w:div>
    <w:div w:id="762342219">
      <w:bodyDiv w:val="1"/>
      <w:marLeft w:val="0"/>
      <w:marRight w:val="0"/>
      <w:marTop w:val="0"/>
      <w:marBottom w:val="0"/>
      <w:divBdr>
        <w:top w:val="none" w:sz="0" w:space="0" w:color="auto"/>
        <w:left w:val="none" w:sz="0" w:space="0" w:color="auto"/>
        <w:bottom w:val="none" w:sz="0" w:space="0" w:color="auto"/>
        <w:right w:val="none" w:sz="0" w:space="0" w:color="auto"/>
      </w:divBdr>
    </w:div>
    <w:div w:id="763765338">
      <w:bodyDiv w:val="1"/>
      <w:marLeft w:val="0"/>
      <w:marRight w:val="0"/>
      <w:marTop w:val="0"/>
      <w:marBottom w:val="0"/>
      <w:divBdr>
        <w:top w:val="none" w:sz="0" w:space="0" w:color="auto"/>
        <w:left w:val="none" w:sz="0" w:space="0" w:color="auto"/>
        <w:bottom w:val="none" w:sz="0" w:space="0" w:color="auto"/>
        <w:right w:val="none" w:sz="0" w:space="0" w:color="auto"/>
      </w:divBdr>
    </w:div>
    <w:div w:id="768502495">
      <w:bodyDiv w:val="1"/>
      <w:marLeft w:val="0"/>
      <w:marRight w:val="0"/>
      <w:marTop w:val="0"/>
      <w:marBottom w:val="0"/>
      <w:divBdr>
        <w:top w:val="none" w:sz="0" w:space="0" w:color="auto"/>
        <w:left w:val="none" w:sz="0" w:space="0" w:color="auto"/>
        <w:bottom w:val="none" w:sz="0" w:space="0" w:color="auto"/>
        <w:right w:val="none" w:sz="0" w:space="0" w:color="auto"/>
      </w:divBdr>
    </w:div>
    <w:div w:id="785081512">
      <w:bodyDiv w:val="1"/>
      <w:marLeft w:val="0"/>
      <w:marRight w:val="0"/>
      <w:marTop w:val="0"/>
      <w:marBottom w:val="0"/>
      <w:divBdr>
        <w:top w:val="none" w:sz="0" w:space="0" w:color="auto"/>
        <w:left w:val="none" w:sz="0" w:space="0" w:color="auto"/>
        <w:bottom w:val="none" w:sz="0" w:space="0" w:color="auto"/>
        <w:right w:val="none" w:sz="0" w:space="0" w:color="auto"/>
      </w:divBdr>
    </w:div>
    <w:div w:id="804389380">
      <w:bodyDiv w:val="1"/>
      <w:marLeft w:val="0"/>
      <w:marRight w:val="0"/>
      <w:marTop w:val="0"/>
      <w:marBottom w:val="0"/>
      <w:divBdr>
        <w:top w:val="none" w:sz="0" w:space="0" w:color="auto"/>
        <w:left w:val="none" w:sz="0" w:space="0" w:color="auto"/>
        <w:bottom w:val="none" w:sz="0" w:space="0" w:color="auto"/>
        <w:right w:val="none" w:sz="0" w:space="0" w:color="auto"/>
      </w:divBdr>
    </w:div>
    <w:div w:id="815224067">
      <w:bodyDiv w:val="1"/>
      <w:marLeft w:val="0"/>
      <w:marRight w:val="0"/>
      <w:marTop w:val="0"/>
      <w:marBottom w:val="0"/>
      <w:divBdr>
        <w:top w:val="none" w:sz="0" w:space="0" w:color="auto"/>
        <w:left w:val="none" w:sz="0" w:space="0" w:color="auto"/>
        <w:bottom w:val="none" w:sz="0" w:space="0" w:color="auto"/>
        <w:right w:val="none" w:sz="0" w:space="0" w:color="auto"/>
      </w:divBdr>
    </w:div>
    <w:div w:id="817497726">
      <w:bodyDiv w:val="1"/>
      <w:marLeft w:val="0"/>
      <w:marRight w:val="0"/>
      <w:marTop w:val="0"/>
      <w:marBottom w:val="0"/>
      <w:divBdr>
        <w:top w:val="none" w:sz="0" w:space="0" w:color="auto"/>
        <w:left w:val="none" w:sz="0" w:space="0" w:color="auto"/>
        <w:bottom w:val="none" w:sz="0" w:space="0" w:color="auto"/>
        <w:right w:val="none" w:sz="0" w:space="0" w:color="auto"/>
      </w:divBdr>
    </w:div>
    <w:div w:id="831945781">
      <w:bodyDiv w:val="1"/>
      <w:marLeft w:val="0"/>
      <w:marRight w:val="0"/>
      <w:marTop w:val="0"/>
      <w:marBottom w:val="0"/>
      <w:divBdr>
        <w:top w:val="none" w:sz="0" w:space="0" w:color="auto"/>
        <w:left w:val="none" w:sz="0" w:space="0" w:color="auto"/>
        <w:bottom w:val="none" w:sz="0" w:space="0" w:color="auto"/>
        <w:right w:val="none" w:sz="0" w:space="0" w:color="auto"/>
      </w:divBdr>
    </w:div>
    <w:div w:id="832453051">
      <w:bodyDiv w:val="1"/>
      <w:marLeft w:val="0"/>
      <w:marRight w:val="0"/>
      <w:marTop w:val="0"/>
      <w:marBottom w:val="0"/>
      <w:divBdr>
        <w:top w:val="none" w:sz="0" w:space="0" w:color="auto"/>
        <w:left w:val="none" w:sz="0" w:space="0" w:color="auto"/>
        <w:bottom w:val="none" w:sz="0" w:space="0" w:color="auto"/>
        <w:right w:val="none" w:sz="0" w:space="0" w:color="auto"/>
      </w:divBdr>
    </w:div>
    <w:div w:id="833692174">
      <w:bodyDiv w:val="1"/>
      <w:marLeft w:val="0"/>
      <w:marRight w:val="0"/>
      <w:marTop w:val="0"/>
      <w:marBottom w:val="0"/>
      <w:divBdr>
        <w:top w:val="none" w:sz="0" w:space="0" w:color="auto"/>
        <w:left w:val="none" w:sz="0" w:space="0" w:color="auto"/>
        <w:bottom w:val="none" w:sz="0" w:space="0" w:color="auto"/>
        <w:right w:val="none" w:sz="0" w:space="0" w:color="auto"/>
      </w:divBdr>
    </w:div>
    <w:div w:id="836265084">
      <w:bodyDiv w:val="1"/>
      <w:marLeft w:val="0"/>
      <w:marRight w:val="0"/>
      <w:marTop w:val="0"/>
      <w:marBottom w:val="0"/>
      <w:divBdr>
        <w:top w:val="none" w:sz="0" w:space="0" w:color="auto"/>
        <w:left w:val="none" w:sz="0" w:space="0" w:color="auto"/>
        <w:bottom w:val="none" w:sz="0" w:space="0" w:color="auto"/>
        <w:right w:val="none" w:sz="0" w:space="0" w:color="auto"/>
      </w:divBdr>
    </w:div>
    <w:div w:id="836925060">
      <w:bodyDiv w:val="1"/>
      <w:marLeft w:val="0"/>
      <w:marRight w:val="0"/>
      <w:marTop w:val="0"/>
      <w:marBottom w:val="0"/>
      <w:divBdr>
        <w:top w:val="none" w:sz="0" w:space="0" w:color="auto"/>
        <w:left w:val="none" w:sz="0" w:space="0" w:color="auto"/>
        <w:bottom w:val="none" w:sz="0" w:space="0" w:color="auto"/>
        <w:right w:val="none" w:sz="0" w:space="0" w:color="auto"/>
      </w:divBdr>
    </w:div>
    <w:div w:id="838615211">
      <w:bodyDiv w:val="1"/>
      <w:marLeft w:val="0"/>
      <w:marRight w:val="0"/>
      <w:marTop w:val="0"/>
      <w:marBottom w:val="0"/>
      <w:divBdr>
        <w:top w:val="none" w:sz="0" w:space="0" w:color="auto"/>
        <w:left w:val="none" w:sz="0" w:space="0" w:color="auto"/>
        <w:bottom w:val="none" w:sz="0" w:space="0" w:color="auto"/>
        <w:right w:val="none" w:sz="0" w:space="0" w:color="auto"/>
      </w:divBdr>
    </w:div>
    <w:div w:id="838931294">
      <w:bodyDiv w:val="1"/>
      <w:marLeft w:val="0"/>
      <w:marRight w:val="0"/>
      <w:marTop w:val="0"/>
      <w:marBottom w:val="0"/>
      <w:divBdr>
        <w:top w:val="none" w:sz="0" w:space="0" w:color="auto"/>
        <w:left w:val="none" w:sz="0" w:space="0" w:color="auto"/>
        <w:bottom w:val="none" w:sz="0" w:space="0" w:color="auto"/>
        <w:right w:val="none" w:sz="0" w:space="0" w:color="auto"/>
      </w:divBdr>
    </w:div>
    <w:div w:id="848757688">
      <w:bodyDiv w:val="1"/>
      <w:marLeft w:val="0"/>
      <w:marRight w:val="0"/>
      <w:marTop w:val="0"/>
      <w:marBottom w:val="0"/>
      <w:divBdr>
        <w:top w:val="none" w:sz="0" w:space="0" w:color="auto"/>
        <w:left w:val="none" w:sz="0" w:space="0" w:color="auto"/>
        <w:bottom w:val="none" w:sz="0" w:space="0" w:color="auto"/>
        <w:right w:val="none" w:sz="0" w:space="0" w:color="auto"/>
      </w:divBdr>
    </w:div>
    <w:div w:id="857473591">
      <w:bodyDiv w:val="1"/>
      <w:marLeft w:val="0"/>
      <w:marRight w:val="0"/>
      <w:marTop w:val="0"/>
      <w:marBottom w:val="0"/>
      <w:divBdr>
        <w:top w:val="none" w:sz="0" w:space="0" w:color="auto"/>
        <w:left w:val="none" w:sz="0" w:space="0" w:color="auto"/>
        <w:bottom w:val="none" w:sz="0" w:space="0" w:color="auto"/>
        <w:right w:val="none" w:sz="0" w:space="0" w:color="auto"/>
      </w:divBdr>
    </w:div>
    <w:div w:id="861748053">
      <w:bodyDiv w:val="1"/>
      <w:marLeft w:val="0"/>
      <w:marRight w:val="0"/>
      <w:marTop w:val="0"/>
      <w:marBottom w:val="0"/>
      <w:divBdr>
        <w:top w:val="none" w:sz="0" w:space="0" w:color="auto"/>
        <w:left w:val="none" w:sz="0" w:space="0" w:color="auto"/>
        <w:bottom w:val="none" w:sz="0" w:space="0" w:color="auto"/>
        <w:right w:val="none" w:sz="0" w:space="0" w:color="auto"/>
      </w:divBdr>
      <w:divsChild>
        <w:div w:id="1983345416">
          <w:marLeft w:val="547"/>
          <w:marRight w:val="0"/>
          <w:marTop w:val="115"/>
          <w:marBottom w:val="120"/>
          <w:divBdr>
            <w:top w:val="none" w:sz="0" w:space="0" w:color="auto"/>
            <w:left w:val="none" w:sz="0" w:space="0" w:color="auto"/>
            <w:bottom w:val="none" w:sz="0" w:space="0" w:color="auto"/>
            <w:right w:val="none" w:sz="0" w:space="0" w:color="auto"/>
          </w:divBdr>
        </w:div>
      </w:divsChild>
    </w:div>
    <w:div w:id="865757202">
      <w:bodyDiv w:val="1"/>
      <w:marLeft w:val="0"/>
      <w:marRight w:val="0"/>
      <w:marTop w:val="0"/>
      <w:marBottom w:val="0"/>
      <w:divBdr>
        <w:top w:val="none" w:sz="0" w:space="0" w:color="auto"/>
        <w:left w:val="none" w:sz="0" w:space="0" w:color="auto"/>
        <w:bottom w:val="none" w:sz="0" w:space="0" w:color="auto"/>
        <w:right w:val="none" w:sz="0" w:space="0" w:color="auto"/>
      </w:divBdr>
    </w:div>
    <w:div w:id="879435221">
      <w:bodyDiv w:val="1"/>
      <w:marLeft w:val="0"/>
      <w:marRight w:val="0"/>
      <w:marTop w:val="0"/>
      <w:marBottom w:val="0"/>
      <w:divBdr>
        <w:top w:val="none" w:sz="0" w:space="0" w:color="auto"/>
        <w:left w:val="none" w:sz="0" w:space="0" w:color="auto"/>
        <w:bottom w:val="none" w:sz="0" w:space="0" w:color="auto"/>
        <w:right w:val="none" w:sz="0" w:space="0" w:color="auto"/>
      </w:divBdr>
    </w:div>
    <w:div w:id="887649264">
      <w:bodyDiv w:val="1"/>
      <w:marLeft w:val="0"/>
      <w:marRight w:val="0"/>
      <w:marTop w:val="0"/>
      <w:marBottom w:val="0"/>
      <w:divBdr>
        <w:top w:val="none" w:sz="0" w:space="0" w:color="auto"/>
        <w:left w:val="none" w:sz="0" w:space="0" w:color="auto"/>
        <w:bottom w:val="none" w:sz="0" w:space="0" w:color="auto"/>
        <w:right w:val="none" w:sz="0" w:space="0" w:color="auto"/>
      </w:divBdr>
    </w:div>
    <w:div w:id="904531153">
      <w:bodyDiv w:val="1"/>
      <w:marLeft w:val="0"/>
      <w:marRight w:val="0"/>
      <w:marTop w:val="0"/>
      <w:marBottom w:val="0"/>
      <w:divBdr>
        <w:top w:val="none" w:sz="0" w:space="0" w:color="auto"/>
        <w:left w:val="none" w:sz="0" w:space="0" w:color="auto"/>
        <w:bottom w:val="none" w:sz="0" w:space="0" w:color="auto"/>
        <w:right w:val="none" w:sz="0" w:space="0" w:color="auto"/>
      </w:divBdr>
    </w:div>
    <w:div w:id="908885470">
      <w:bodyDiv w:val="1"/>
      <w:marLeft w:val="0"/>
      <w:marRight w:val="0"/>
      <w:marTop w:val="0"/>
      <w:marBottom w:val="0"/>
      <w:divBdr>
        <w:top w:val="none" w:sz="0" w:space="0" w:color="auto"/>
        <w:left w:val="none" w:sz="0" w:space="0" w:color="auto"/>
        <w:bottom w:val="none" w:sz="0" w:space="0" w:color="auto"/>
        <w:right w:val="none" w:sz="0" w:space="0" w:color="auto"/>
      </w:divBdr>
    </w:div>
    <w:div w:id="924654307">
      <w:bodyDiv w:val="1"/>
      <w:marLeft w:val="0"/>
      <w:marRight w:val="0"/>
      <w:marTop w:val="0"/>
      <w:marBottom w:val="0"/>
      <w:divBdr>
        <w:top w:val="none" w:sz="0" w:space="0" w:color="auto"/>
        <w:left w:val="none" w:sz="0" w:space="0" w:color="auto"/>
        <w:bottom w:val="none" w:sz="0" w:space="0" w:color="auto"/>
        <w:right w:val="none" w:sz="0" w:space="0" w:color="auto"/>
      </w:divBdr>
    </w:div>
    <w:div w:id="927495787">
      <w:bodyDiv w:val="1"/>
      <w:marLeft w:val="0"/>
      <w:marRight w:val="0"/>
      <w:marTop w:val="0"/>
      <w:marBottom w:val="0"/>
      <w:divBdr>
        <w:top w:val="none" w:sz="0" w:space="0" w:color="auto"/>
        <w:left w:val="none" w:sz="0" w:space="0" w:color="auto"/>
        <w:bottom w:val="none" w:sz="0" w:space="0" w:color="auto"/>
        <w:right w:val="none" w:sz="0" w:space="0" w:color="auto"/>
      </w:divBdr>
    </w:div>
    <w:div w:id="929892176">
      <w:bodyDiv w:val="1"/>
      <w:marLeft w:val="0"/>
      <w:marRight w:val="0"/>
      <w:marTop w:val="0"/>
      <w:marBottom w:val="0"/>
      <w:divBdr>
        <w:top w:val="none" w:sz="0" w:space="0" w:color="auto"/>
        <w:left w:val="none" w:sz="0" w:space="0" w:color="auto"/>
        <w:bottom w:val="none" w:sz="0" w:space="0" w:color="auto"/>
        <w:right w:val="none" w:sz="0" w:space="0" w:color="auto"/>
      </w:divBdr>
    </w:div>
    <w:div w:id="933438619">
      <w:bodyDiv w:val="1"/>
      <w:marLeft w:val="0"/>
      <w:marRight w:val="0"/>
      <w:marTop w:val="0"/>
      <w:marBottom w:val="0"/>
      <w:divBdr>
        <w:top w:val="none" w:sz="0" w:space="0" w:color="auto"/>
        <w:left w:val="none" w:sz="0" w:space="0" w:color="auto"/>
        <w:bottom w:val="none" w:sz="0" w:space="0" w:color="auto"/>
        <w:right w:val="none" w:sz="0" w:space="0" w:color="auto"/>
      </w:divBdr>
    </w:div>
    <w:div w:id="954676738">
      <w:bodyDiv w:val="1"/>
      <w:marLeft w:val="0"/>
      <w:marRight w:val="0"/>
      <w:marTop w:val="0"/>
      <w:marBottom w:val="0"/>
      <w:divBdr>
        <w:top w:val="none" w:sz="0" w:space="0" w:color="auto"/>
        <w:left w:val="none" w:sz="0" w:space="0" w:color="auto"/>
        <w:bottom w:val="none" w:sz="0" w:space="0" w:color="auto"/>
        <w:right w:val="none" w:sz="0" w:space="0" w:color="auto"/>
      </w:divBdr>
    </w:div>
    <w:div w:id="956914020">
      <w:bodyDiv w:val="1"/>
      <w:marLeft w:val="0"/>
      <w:marRight w:val="0"/>
      <w:marTop w:val="0"/>
      <w:marBottom w:val="0"/>
      <w:divBdr>
        <w:top w:val="none" w:sz="0" w:space="0" w:color="auto"/>
        <w:left w:val="none" w:sz="0" w:space="0" w:color="auto"/>
        <w:bottom w:val="none" w:sz="0" w:space="0" w:color="auto"/>
        <w:right w:val="none" w:sz="0" w:space="0" w:color="auto"/>
      </w:divBdr>
    </w:div>
    <w:div w:id="970208140">
      <w:bodyDiv w:val="1"/>
      <w:marLeft w:val="0"/>
      <w:marRight w:val="0"/>
      <w:marTop w:val="0"/>
      <w:marBottom w:val="0"/>
      <w:divBdr>
        <w:top w:val="none" w:sz="0" w:space="0" w:color="auto"/>
        <w:left w:val="none" w:sz="0" w:space="0" w:color="auto"/>
        <w:bottom w:val="none" w:sz="0" w:space="0" w:color="auto"/>
        <w:right w:val="none" w:sz="0" w:space="0" w:color="auto"/>
      </w:divBdr>
    </w:div>
    <w:div w:id="980114485">
      <w:bodyDiv w:val="1"/>
      <w:marLeft w:val="0"/>
      <w:marRight w:val="0"/>
      <w:marTop w:val="0"/>
      <w:marBottom w:val="0"/>
      <w:divBdr>
        <w:top w:val="none" w:sz="0" w:space="0" w:color="auto"/>
        <w:left w:val="none" w:sz="0" w:space="0" w:color="auto"/>
        <w:bottom w:val="none" w:sz="0" w:space="0" w:color="auto"/>
        <w:right w:val="none" w:sz="0" w:space="0" w:color="auto"/>
      </w:divBdr>
    </w:div>
    <w:div w:id="985624683">
      <w:bodyDiv w:val="1"/>
      <w:marLeft w:val="0"/>
      <w:marRight w:val="0"/>
      <w:marTop w:val="0"/>
      <w:marBottom w:val="0"/>
      <w:divBdr>
        <w:top w:val="none" w:sz="0" w:space="0" w:color="auto"/>
        <w:left w:val="none" w:sz="0" w:space="0" w:color="auto"/>
        <w:bottom w:val="none" w:sz="0" w:space="0" w:color="auto"/>
        <w:right w:val="none" w:sz="0" w:space="0" w:color="auto"/>
      </w:divBdr>
    </w:div>
    <w:div w:id="986326510">
      <w:bodyDiv w:val="1"/>
      <w:marLeft w:val="0"/>
      <w:marRight w:val="0"/>
      <w:marTop w:val="0"/>
      <w:marBottom w:val="0"/>
      <w:divBdr>
        <w:top w:val="none" w:sz="0" w:space="0" w:color="auto"/>
        <w:left w:val="none" w:sz="0" w:space="0" w:color="auto"/>
        <w:bottom w:val="none" w:sz="0" w:space="0" w:color="auto"/>
        <w:right w:val="none" w:sz="0" w:space="0" w:color="auto"/>
      </w:divBdr>
    </w:div>
    <w:div w:id="988510321">
      <w:bodyDiv w:val="1"/>
      <w:marLeft w:val="0"/>
      <w:marRight w:val="0"/>
      <w:marTop w:val="0"/>
      <w:marBottom w:val="0"/>
      <w:divBdr>
        <w:top w:val="none" w:sz="0" w:space="0" w:color="auto"/>
        <w:left w:val="none" w:sz="0" w:space="0" w:color="auto"/>
        <w:bottom w:val="none" w:sz="0" w:space="0" w:color="auto"/>
        <w:right w:val="none" w:sz="0" w:space="0" w:color="auto"/>
      </w:divBdr>
    </w:div>
    <w:div w:id="1009478436">
      <w:bodyDiv w:val="1"/>
      <w:marLeft w:val="0"/>
      <w:marRight w:val="0"/>
      <w:marTop w:val="0"/>
      <w:marBottom w:val="0"/>
      <w:divBdr>
        <w:top w:val="none" w:sz="0" w:space="0" w:color="auto"/>
        <w:left w:val="none" w:sz="0" w:space="0" w:color="auto"/>
        <w:bottom w:val="none" w:sz="0" w:space="0" w:color="auto"/>
        <w:right w:val="none" w:sz="0" w:space="0" w:color="auto"/>
      </w:divBdr>
    </w:div>
    <w:div w:id="1011906419">
      <w:bodyDiv w:val="1"/>
      <w:marLeft w:val="0"/>
      <w:marRight w:val="0"/>
      <w:marTop w:val="0"/>
      <w:marBottom w:val="0"/>
      <w:divBdr>
        <w:top w:val="none" w:sz="0" w:space="0" w:color="auto"/>
        <w:left w:val="none" w:sz="0" w:space="0" w:color="auto"/>
        <w:bottom w:val="none" w:sz="0" w:space="0" w:color="auto"/>
        <w:right w:val="none" w:sz="0" w:space="0" w:color="auto"/>
      </w:divBdr>
    </w:div>
    <w:div w:id="1016075297">
      <w:bodyDiv w:val="1"/>
      <w:marLeft w:val="0"/>
      <w:marRight w:val="0"/>
      <w:marTop w:val="0"/>
      <w:marBottom w:val="0"/>
      <w:divBdr>
        <w:top w:val="none" w:sz="0" w:space="0" w:color="auto"/>
        <w:left w:val="none" w:sz="0" w:space="0" w:color="auto"/>
        <w:bottom w:val="none" w:sz="0" w:space="0" w:color="auto"/>
        <w:right w:val="none" w:sz="0" w:space="0" w:color="auto"/>
      </w:divBdr>
    </w:div>
    <w:div w:id="1024212578">
      <w:bodyDiv w:val="1"/>
      <w:marLeft w:val="0"/>
      <w:marRight w:val="0"/>
      <w:marTop w:val="0"/>
      <w:marBottom w:val="0"/>
      <w:divBdr>
        <w:top w:val="none" w:sz="0" w:space="0" w:color="auto"/>
        <w:left w:val="none" w:sz="0" w:space="0" w:color="auto"/>
        <w:bottom w:val="none" w:sz="0" w:space="0" w:color="auto"/>
        <w:right w:val="none" w:sz="0" w:space="0" w:color="auto"/>
      </w:divBdr>
    </w:div>
    <w:div w:id="1026713533">
      <w:bodyDiv w:val="1"/>
      <w:marLeft w:val="0"/>
      <w:marRight w:val="0"/>
      <w:marTop w:val="0"/>
      <w:marBottom w:val="0"/>
      <w:divBdr>
        <w:top w:val="none" w:sz="0" w:space="0" w:color="auto"/>
        <w:left w:val="none" w:sz="0" w:space="0" w:color="auto"/>
        <w:bottom w:val="none" w:sz="0" w:space="0" w:color="auto"/>
        <w:right w:val="none" w:sz="0" w:space="0" w:color="auto"/>
      </w:divBdr>
    </w:div>
    <w:div w:id="1033964300">
      <w:bodyDiv w:val="1"/>
      <w:marLeft w:val="0"/>
      <w:marRight w:val="0"/>
      <w:marTop w:val="0"/>
      <w:marBottom w:val="0"/>
      <w:divBdr>
        <w:top w:val="none" w:sz="0" w:space="0" w:color="auto"/>
        <w:left w:val="none" w:sz="0" w:space="0" w:color="auto"/>
        <w:bottom w:val="none" w:sz="0" w:space="0" w:color="auto"/>
        <w:right w:val="none" w:sz="0" w:space="0" w:color="auto"/>
      </w:divBdr>
      <w:divsChild>
        <w:div w:id="701322447">
          <w:marLeft w:val="547"/>
          <w:marRight w:val="0"/>
          <w:marTop w:val="106"/>
          <w:marBottom w:val="0"/>
          <w:divBdr>
            <w:top w:val="none" w:sz="0" w:space="0" w:color="auto"/>
            <w:left w:val="none" w:sz="0" w:space="0" w:color="auto"/>
            <w:bottom w:val="none" w:sz="0" w:space="0" w:color="auto"/>
            <w:right w:val="none" w:sz="0" w:space="0" w:color="auto"/>
          </w:divBdr>
        </w:div>
      </w:divsChild>
    </w:div>
    <w:div w:id="1038361794">
      <w:bodyDiv w:val="1"/>
      <w:marLeft w:val="0"/>
      <w:marRight w:val="0"/>
      <w:marTop w:val="0"/>
      <w:marBottom w:val="0"/>
      <w:divBdr>
        <w:top w:val="none" w:sz="0" w:space="0" w:color="auto"/>
        <w:left w:val="none" w:sz="0" w:space="0" w:color="auto"/>
        <w:bottom w:val="none" w:sz="0" w:space="0" w:color="auto"/>
        <w:right w:val="none" w:sz="0" w:space="0" w:color="auto"/>
      </w:divBdr>
    </w:div>
    <w:div w:id="1043943893">
      <w:bodyDiv w:val="1"/>
      <w:marLeft w:val="0"/>
      <w:marRight w:val="0"/>
      <w:marTop w:val="0"/>
      <w:marBottom w:val="0"/>
      <w:divBdr>
        <w:top w:val="none" w:sz="0" w:space="0" w:color="auto"/>
        <w:left w:val="none" w:sz="0" w:space="0" w:color="auto"/>
        <w:bottom w:val="none" w:sz="0" w:space="0" w:color="auto"/>
        <w:right w:val="none" w:sz="0" w:space="0" w:color="auto"/>
      </w:divBdr>
    </w:div>
    <w:div w:id="1062945814">
      <w:bodyDiv w:val="1"/>
      <w:marLeft w:val="0"/>
      <w:marRight w:val="0"/>
      <w:marTop w:val="0"/>
      <w:marBottom w:val="0"/>
      <w:divBdr>
        <w:top w:val="none" w:sz="0" w:space="0" w:color="auto"/>
        <w:left w:val="none" w:sz="0" w:space="0" w:color="auto"/>
        <w:bottom w:val="none" w:sz="0" w:space="0" w:color="auto"/>
        <w:right w:val="none" w:sz="0" w:space="0" w:color="auto"/>
      </w:divBdr>
    </w:div>
    <w:div w:id="1080061797">
      <w:bodyDiv w:val="1"/>
      <w:marLeft w:val="0"/>
      <w:marRight w:val="0"/>
      <w:marTop w:val="0"/>
      <w:marBottom w:val="0"/>
      <w:divBdr>
        <w:top w:val="none" w:sz="0" w:space="0" w:color="auto"/>
        <w:left w:val="none" w:sz="0" w:space="0" w:color="auto"/>
        <w:bottom w:val="none" w:sz="0" w:space="0" w:color="auto"/>
        <w:right w:val="none" w:sz="0" w:space="0" w:color="auto"/>
      </w:divBdr>
    </w:div>
    <w:div w:id="1080100038">
      <w:bodyDiv w:val="1"/>
      <w:marLeft w:val="0"/>
      <w:marRight w:val="0"/>
      <w:marTop w:val="0"/>
      <w:marBottom w:val="0"/>
      <w:divBdr>
        <w:top w:val="none" w:sz="0" w:space="0" w:color="auto"/>
        <w:left w:val="none" w:sz="0" w:space="0" w:color="auto"/>
        <w:bottom w:val="none" w:sz="0" w:space="0" w:color="auto"/>
        <w:right w:val="none" w:sz="0" w:space="0" w:color="auto"/>
      </w:divBdr>
    </w:div>
    <w:div w:id="1082990182">
      <w:bodyDiv w:val="1"/>
      <w:marLeft w:val="0"/>
      <w:marRight w:val="0"/>
      <w:marTop w:val="0"/>
      <w:marBottom w:val="0"/>
      <w:divBdr>
        <w:top w:val="none" w:sz="0" w:space="0" w:color="auto"/>
        <w:left w:val="none" w:sz="0" w:space="0" w:color="auto"/>
        <w:bottom w:val="none" w:sz="0" w:space="0" w:color="auto"/>
        <w:right w:val="none" w:sz="0" w:space="0" w:color="auto"/>
      </w:divBdr>
    </w:div>
    <w:div w:id="1089733995">
      <w:bodyDiv w:val="1"/>
      <w:marLeft w:val="0"/>
      <w:marRight w:val="0"/>
      <w:marTop w:val="0"/>
      <w:marBottom w:val="0"/>
      <w:divBdr>
        <w:top w:val="none" w:sz="0" w:space="0" w:color="auto"/>
        <w:left w:val="none" w:sz="0" w:space="0" w:color="auto"/>
        <w:bottom w:val="none" w:sz="0" w:space="0" w:color="auto"/>
        <w:right w:val="none" w:sz="0" w:space="0" w:color="auto"/>
      </w:divBdr>
    </w:div>
    <w:div w:id="1091438401">
      <w:bodyDiv w:val="1"/>
      <w:marLeft w:val="0"/>
      <w:marRight w:val="0"/>
      <w:marTop w:val="0"/>
      <w:marBottom w:val="0"/>
      <w:divBdr>
        <w:top w:val="none" w:sz="0" w:space="0" w:color="auto"/>
        <w:left w:val="none" w:sz="0" w:space="0" w:color="auto"/>
        <w:bottom w:val="none" w:sz="0" w:space="0" w:color="auto"/>
        <w:right w:val="none" w:sz="0" w:space="0" w:color="auto"/>
      </w:divBdr>
    </w:div>
    <w:div w:id="1091900854">
      <w:bodyDiv w:val="1"/>
      <w:marLeft w:val="0"/>
      <w:marRight w:val="0"/>
      <w:marTop w:val="0"/>
      <w:marBottom w:val="0"/>
      <w:divBdr>
        <w:top w:val="none" w:sz="0" w:space="0" w:color="auto"/>
        <w:left w:val="none" w:sz="0" w:space="0" w:color="auto"/>
        <w:bottom w:val="none" w:sz="0" w:space="0" w:color="auto"/>
        <w:right w:val="none" w:sz="0" w:space="0" w:color="auto"/>
      </w:divBdr>
    </w:div>
    <w:div w:id="1099594800">
      <w:bodyDiv w:val="1"/>
      <w:marLeft w:val="0"/>
      <w:marRight w:val="0"/>
      <w:marTop w:val="0"/>
      <w:marBottom w:val="0"/>
      <w:divBdr>
        <w:top w:val="none" w:sz="0" w:space="0" w:color="auto"/>
        <w:left w:val="none" w:sz="0" w:space="0" w:color="auto"/>
        <w:bottom w:val="none" w:sz="0" w:space="0" w:color="auto"/>
        <w:right w:val="none" w:sz="0" w:space="0" w:color="auto"/>
      </w:divBdr>
    </w:div>
    <w:div w:id="1103571277">
      <w:bodyDiv w:val="1"/>
      <w:marLeft w:val="0"/>
      <w:marRight w:val="0"/>
      <w:marTop w:val="0"/>
      <w:marBottom w:val="0"/>
      <w:divBdr>
        <w:top w:val="none" w:sz="0" w:space="0" w:color="auto"/>
        <w:left w:val="none" w:sz="0" w:space="0" w:color="auto"/>
        <w:bottom w:val="none" w:sz="0" w:space="0" w:color="auto"/>
        <w:right w:val="none" w:sz="0" w:space="0" w:color="auto"/>
      </w:divBdr>
    </w:div>
    <w:div w:id="1104422266">
      <w:bodyDiv w:val="1"/>
      <w:marLeft w:val="0"/>
      <w:marRight w:val="0"/>
      <w:marTop w:val="0"/>
      <w:marBottom w:val="0"/>
      <w:divBdr>
        <w:top w:val="none" w:sz="0" w:space="0" w:color="auto"/>
        <w:left w:val="none" w:sz="0" w:space="0" w:color="auto"/>
        <w:bottom w:val="none" w:sz="0" w:space="0" w:color="auto"/>
        <w:right w:val="none" w:sz="0" w:space="0" w:color="auto"/>
      </w:divBdr>
    </w:div>
    <w:div w:id="1106267981">
      <w:bodyDiv w:val="1"/>
      <w:marLeft w:val="0"/>
      <w:marRight w:val="0"/>
      <w:marTop w:val="0"/>
      <w:marBottom w:val="0"/>
      <w:divBdr>
        <w:top w:val="none" w:sz="0" w:space="0" w:color="auto"/>
        <w:left w:val="none" w:sz="0" w:space="0" w:color="auto"/>
        <w:bottom w:val="none" w:sz="0" w:space="0" w:color="auto"/>
        <w:right w:val="none" w:sz="0" w:space="0" w:color="auto"/>
      </w:divBdr>
    </w:div>
    <w:div w:id="1106995886">
      <w:bodyDiv w:val="1"/>
      <w:marLeft w:val="0"/>
      <w:marRight w:val="0"/>
      <w:marTop w:val="0"/>
      <w:marBottom w:val="0"/>
      <w:divBdr>
        <w:top w:val="none" w:sz="0" w:space="0" w:color="auto"/>
        <w:left w:val="none" w:sz="0" w:space="0" w:color="auto"/>
        <w:bottom w:val="none" w:sz="0" w:space="0" w:color="auto"/>
        <w:right w:val="none" w:sz="0" w:space="0" w:color="auto"/>
      </w:divBdr>
      <w:divsChild>
        <w:div w:id="1196888077">
          <w:marLeft w:val="547"/>
          <w:marRight w:val="0"/>
          <w:marTop w:val="115"/>
          <w:marBottom w:val="240"/>
          <w:divBdr>
            <w:top w:val="none" w:sz="0" w:space="0" w:color="auto"/>
            <w:left w:val="none" w:sz="0" w:space="0" w:color="auto"/>
            <w:bottom w:val="none" w:sz="0" w:space="0" w:color="auto"/>
            <w:right w:val="none" w:sz="0" w:space="0" w:color="auto"/>
          </w:divBdr>
        </w:div>
      </w:divsChild>
    </w:div>
    <w:div w:id="1108544370">
      <w:bodyDiv w:val="1"/>
      <w:marLeft w:val="0"/>
      <w:marRight w:val="0"/>
      <w:marTop w:val="0"/>
      <w:marBottom w:val="0"/>
      <w:divBdr>
        <w:top w:val="none" w:sz="0" w:space="0" w:color="auto"/>
        <w:left w:val="none" w:sz="0" w:space="0" w:color="auto"/>
        <w:bottom w:val="none" w:sz="0" w:space="0" w:color="auto"/>
        <w:right w:val="none" w:sz="0" w:space="0" w:color="auto"/>
      </w:divBdr>
      <w:divsChild>
        <w:div w:id="2071145750">
          <w:marLeft w:val="547"/>
          <w:marRight w:val="0"/>
          <w:marTop w:val="115"/>
          <w:marBottom w:val="0"/>
          <w:divBdr>
            <w:top w:val="none" w:sz="0" w:space="0" w:color="auto"/>
            <w:left w:val="none" w:sz="0" w:space="0" w:color="auto"/>
            <w:bottom w:val="none" w:sz="0" w:space="0" w:color="auto"/>
            <w:right w:val="none" w:sz="0" w:space="0" w:color="auto"/>
          </w:divBdr>
        </w:div>
      </w:divsChild>
    </w:div>
    <w:div w:id="1117914676">
      <w:bodyDiv w:val="1"/>
      <w:marLeft w:val="0"/>
      <w:marRight w:val="0"/>
      <w:marTop w:val="0"/>
      <w:marBottom w:val="0"/>
      <w:divBdr>
        <w:top w:val="none" w:sz="0" w:space="0" w:color="auto"/>
        <w:left w:val="none" w:sz="0" w:space="0" w:color="auto"/>
        <w:bottom w:val="none" w:sz="0" w:space="0" w:color="auto"/>
        <w:right w:val="none" w:sz="0" w:space="0" w:color="auto"/>
      </w:divBdr>
    </w:div>
    <w:div w:id="1118373979">
      <w:bodyDiv w:val="1"/>
      <w:marLeft w:val="0"/>
      <w:marRight w:val="0"/>
      <w:marTop w:val="0"/>
      <w:marBottom w:val="0"/>
      <w:divBdr>
        <w:top w:val="none" w:sz="0" w:space="0" w:color="auto"/>
        <w:left w:val="none" w:sz="0" w:space="0" w:color="auto"/>
        <w:bottom w:val="none" w:sz="0" w:space="0" w:color="auto"/>
        <w:right w:val="none" w:sz="0" w:space="0" w:color="auto"/>
      </w:divBdr>
    </w:div>
    <w:div w:id="1122840065">
      <w:bodyDiv w:val="1"/>
      <w:marLeft w:val="0"/>
      <w:marRight w:val="0"/>
      <w:marTop w:val="0"/>
      <w:marBottom w:val="0"/>
      <w:divBdr>
        <w:top w:val="none" w:sz="0" w:space="0" w:color="auto"/>
        <w:left w:val="none" w:sz="0" w:space="0" w:color="auto"/>
        <w:bottom w:val="none" w:sz="0" w:space="0" w:color="auto"/>
        <w:right w:val="none" w:sz="0" w:space="0" w:color="auto"/>
      </w:divBdr>
      <w:divsChild>
        <w:div w:id="1427925395">
          <w:marLeft w:val="0"/>
          <w:marRight w:val="0"/>
          <w:marTop w:val="0"/>
          <w:marBottom w:val="0"/>
          <w:divBdr>
            <w:top w:val="single" w:sz="6" w:space="0" w:color="FFFFFF"/>
            <w:left w:val="single" w:sz="6" w:space="0" w:color="FFFFFF"/>
            <w:bottom w:val="single" w:sz="6" w:space="0" w:color="FFFFFF"/>
            <w:right w:val="single" w:sz="6" w:space="0" w:color="FFFFFF"/>
          </w:divBdr>
          <w:divsChild>
            <w:div w:id="1739589968">
              <w:marLeft w:val="0"/>
              <w:marRight w:val="0"/>
              <w:marTop w:val="0"/>
              <w:marBottom w:val="0"/>
              <w:divBdr>
                <w:top w:val="none" w:sz="0" w:space="0" w:color="auto"/>
                <w:left w:val="none" w:sz="0" w:space="0" w:color="auto"/>
                <w:bottom w:val="none" w:sz="0" w:space="0" w:color="auto"/>
                <w:right w:val="none" w:sz="0" w:space="0" w:color="auto"/>
              </w:divBdr>
              <w:divsChild>
                <w:div w:id="291254982">
                  <w:marLeft w:val="0"/>
                  <w:marRight w:val="0"/>
                  <w:marTop w:val="0"/>
                  <w:marBottom w:val="0"/>
                  <w:divBdr>
                    <w:top w:val="none" w:sz="0" w:space="0" w:color="auto"/>
                    <w:left w:val="none" w:sz="0" w:space="0" w:color="auto"/>
                    <w:bottom w:val="none" w:sz="0" w:space="0" w:color="auto"/>
                    <w:right w:val="none" w:sz="0" w:space="0" w:color="auto"/>
                  </w:divBdr>
                  <w:divsChild>
                    <w:div w:id="1280143555">
                      <w:marLeft w:val="0"/>
                      <w:marRight w:val="0"/>
                      <w:marTop w:val="0"/>
                      <w:marBottom w:val="0"/>
                      <w:divBdr>
                        <w:top w:val="none" w:sz="0" w:space="0" w:color="auto"/>
                        <w:left w:val="none" w:sz="0" w:space="0" w:color="auto"/>
                        <w:bottom w:val="none" w:sz="0" w:space="0" w:color="auto"/>
                        <w:right w:val="none" w:sz="0" w:space="0" w:color="auto"/>
                      </w:divBdr>
                      <w:divsChild>
                        <w:div w:id="1946384207">
                          <w:marLeft w:val="0"/>
                          <w:marRight w:val="0"/>
                          <w:marTop w:val="0"/>
                          <w:marBottom w:val="0"/>
                          <w:divBdr>
                            <w:top w:val="none" w:sz="0" w:space="0" w:color="auto"/>
                            <w:left w:val="none" w:sz="0" w:space="0" w:color="auto"/>
                            <w:bottom w:val="none" w:sz="0" w:space="0" w:color="auto"/>
                            <w:right w:val="none" w:sz="0" w:space="0" w:color="auto"/>
                          </w:divBdr>
                          <w:divsChild>
                            <w:div w:id="1014067434">
                              <w:marLeft w:val="0"/>
                              <w:marRight w:val="0"/>
                              <w:marTop w:val="0"/>
                              <w:marBottom w:val="0"/>
                              <w:divBdr>
                                <w:top w:val="none" w:sz="0" w:space="0" w:color="auto"/>
                                <w:left w:val="none" w:sz="0" w:space="0" w:color="auto"/>
                                <w:bottom w:val="none" w:sz="0" w:space="0" w:color="auto"/>
                                <w:right w:val="none" w:sz="0" w:space="0" w:color="auto"/>
                              </w:divBdr>
                              <w:divsChild>
                                <w:div w:id="1352105054">
                                  <w:marLeft w:val="0"/>
                                  <w:marRight w:val="0"/>
                                  <w:marTop w:val="0"/>
                                  <w:marBottom w:val="0"/>
                                  <w:divBdr>
                                    <w:top w:val="none" w:sz="0" w:space="0" w:color="auto"/>
                                    <w:left w:val="none" w:sz="0" w:space="0" w:color="auto"/>
                                    <w:bottom w:val="none" w:sz="0" w:space="0" w:color="auto"/>
                                    <w:right w:val="none" w:sz="0" w:space="0" w:color="auto"/>
                                  </w:divBdr>
                                  <w:divsChild>
                                    <w:div w:id="132449679">
                                      <w:marLeft w:val="0"/>
                                      <w:marRight w:val="0"/>
                                      <w:marTop w:val="0"/>
                                      <w:marBottom w:val="0"/>
                                      <w:divBdr>
                                        <w:top w:val="none" w:sz="0" w:space="0" w:color="auto"/>
                                        <w:left w:val="none" w:sz="0" w:space="0" w:color="auto"/>
                                        <w:bottom w:val="none" w:sz="0" w:space="0" w:color="auto"/>
                                        <w:right w:val="none" w:sz="0" w:space="0" w:color="auto"/>
                                      </w:divBdr>
                                      <w:divsChild>
                                        <w:div w:id="10240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274260">
      <w:bodyDiv w:val="1"/>
      <w:marLeft w:val="0"/>
      <w:marRight w:val="0"/>
      <w:marTop w:val="0"/>
      <w:marBottom w:val="0"/>
      <w:divBdr>
        <w:top w:val="none" w:sz="0" w:space="0" w:color="auto"/>
        <w:left w:val="none" w:sz="0" w:space="0" w:color="auto"/>
        <w:bottom w:val="none" w:sz="0" w:space="0" w:color="auto"/>
        <w:right w:val="none" w:sz="0" w:space="0" w:color="auto"/>
      </w:divBdr>
    </w:div>
    <w:div w:id="1148592531">
      <w:bodyDiv w:val="1"/>
      <w:marLeft w:val="0"/>
      <w:marRight w:val="0"/>
      <w:marTop w:val="0"/>
      <w:marBottom w:val="0"/>
      <w:divBdr>
        <w:top w:val="none" w:sz="0" w:space="0" w:color="auto"/>
        <w:left w:val="none" w:sz="0" w:space="0" w:color="auto"/>
        <w:bottom w:val="none" w:sz="0" w:space="0" w:color="auto"/>
        <w:right w:val="none" w:sz="0" w:space="0" w:color="auto"/>
      </w:divBdr>
    </w:div>
    <w:div w:id="1155492888">
      <w:bodyDiv w:val="1"/>
      <w:marLeft w:val="0"/>
      <w:marRight w:val="0"/>
      <w:marTop w:val="0"/>
      <w:marBottom w:val="0"/>
      <w:divBdr>
        <w:top w:val="none" w:sz="0" w:space="0" w:color="auto"/>
        <w:left w:val="none" w:sz="0" w:space="0" w:color="auto"/>
        <w:bottom w:val="none" w:sz="0" w:space="0" w:color="auto"/>
        <w:right w:val="none" w:sz="0" w:space="0" w:color="auto"/>
      </w:divBdr>
    </w:div>
    <w:div w:id="1156264452">
      <w:bodyDiv w:val="1"/>
      <w:marLeft w:val="0"/>
      <w:marRight w:val="0"/>
      <w:marTop w:val="0"/>
      <w:marBottom w:val="0"/>
      <w:divBdr>
        <w:top w:val="none" w:sz="0" w:space="0" w:color="auto"/>
        <w:left w:val="none" w:sz="0" w:space="0" w:color="auto"/>
        <w:bottom w:val="none" w:sz="0" w:space="0" w:color="auto"/>
        <w:right w:val="none" w:sz="0" w:space="0" w:color="auto"/>
      </w:divBdr>
    </w:div>
    <w:div w:id="1164584113">
      <w:bodyDiv w:val="1"/>
      <w:marLeft w:val="0"/>
      <w:marRight w:val="0"/>
      <w:marTop w:val="0"/>
      <w:marBottom w:val="0"/>
      <w:divBdr>
        <w:top w:val="none" w:sz="0" w:space="0" w:color="auto"/>
        <w:left w:val="none" w:sz="0" w:space="0" w:color="auto"/>
        <w:bottom w:val="none" w:sz="0" w:space="0" w:color="auto"/>
        <w:right w:val="none" w:sz="0" w:space="0" w:color="auto"/>
      </w:divBdr>
    </w:div>
    <w:div w:id="1182284218">
      <w:bodyDiv w:val="1"/>
      <w:marLeft w:val="0"/>
      <w:marRight w:val="0"/>
      <w:marTop w:val="0"/>
      <w:marBottom w:val="0"/>
      <w:divBdr>
        <w:top w:val="none" w:sz="0" w:space="0" w:color="auto"/>
        <w:left w:val="none" w:sz="0" w:space="0" w:color="auto"/>
        <w:bottom w:val="none" w:sz="0" w:space="0" w:color="auto"/>
        <w:right w:val="none" w:sz="0" w:space="0" w:color="auto"/>
      </w:divBdr>
    </w:div>
    <w:div w:id="1184634875">
      <w:bodyDiv w:val="1"/>
      <w:marLeft w:val="0"/>
      <w:marRight w:val="0"/>
      <w:marTop w:val="0"/>
      <w:marBottom w:val="0"/>
      <w:divBdr>
        <w:top w:val="none" w:sz="0" w:space="0" w:color="auto"/>
        <w:left w:val="none" w:sz="0" w:space="0" w:color="auto"/>
        <w:bottom w:val="none" w:sz="0" w:space="0" w:color="auto"/>
        <w:right w:val="none" w:sz="0" w:space="0" w:color="auto"/>
      </w:divBdr>
    </w:div>
    <w:div w:id="1188176131">
      <w:bodyDiv w:val="1"/>
      <w:marLeft w:val="0"/>
      <w:marRight w:val="0"/>
      <w:marTop w:val="0"/>
      <w:marBottom w:val="0"/>
      <w:divBdr>
        <w:top w:val="none" w:sz="0" w:space="0" w:color="auto"/>
        <w:left w:val="none" w:sz="0" w:space="0" w:color="auto"/>
        <w:bottom w:val="none" w:sz="0" w:space="0" w:color="auto"/>
        <w:right w:val="none" w:sz="0" w:space="0" w:color="auto"/>
      </w:divBdr>
    </w:div>
    <w:div w:id="1192692659">
      <w:bodyDiv w:val="1"/>
      <w:marLeft w:val="0"/>
      <w:marRight w:val="0"/>
      <w:marTop w:val="0"/>
      <w:marBottom w:val="0"/>
      <w:divBdr>
        <w:top w:val="none" w:sz="0" w:space="0" w:color="auto"/>
        <w:left w:val="none" w:sz="0" w:space="0" w:color="auto"/>
        <w:bottom w:val="none" w:sz="0" w:space="0" w:color="auto"/>
        <w:right w:val="none" w:sz="0" w:space="0" w:color="auto"/>
      </w:divBdr>
    </w:div>
    <w:div w:id="1196775825">
      <w:bodyDiv w:val="1"/>
      <w:marLeft w:val="0"/>
      <w:marRight w:val="0"/>
      <w:marTop w:val="0"/>
      <w:marBottom w:val="0"/>
      <w:divBdr>
        <w:top w:val="none" w:sz="0" w:space="0" w:color="auto"/>
        <w:left w:val="none" w:sz="0" w:space="0" w:color="auto"/>
        <w:bottom w:val="none" w:sz="0" w:space="0" w:color="auto"/>
        <w:right w:val="none" w:sz="0" w:space="0" w:color="auto"/>
      </w:divBdr>
    </w:div>
    <w:div w:id="1198393974">
      <w:bodyDiv w:val="1"/>
      <w:marLeft w:val="0"/>
      <w:marRight w:val="0"/>
      <w:marTop w:val="0"/>
      <w:marBottom w:val="0"/>
      <w:divBdr>
        <w:top w:val="none" w:sz="0" w:space="0" w:color="auto"/>
        <w:left w:val="none" w:sz="0" w:space="0" w:color="auto"/>
        <w:bottom w:val="none" w:sz="0" w:space="0" w:color="auto"/>
        <w:right w:val="none" w:sz="0" w:space="0" w:color="auto"/>
      </w:divBdr>
    </w:div>
    <w:div w:id="1203134007">
      <w:bodyDiv w:val="1"/>
      <w:marLeft w:val="0"/>
      <w:marRight w:val="0"/>
      <w:marTop w:val="0"/>
      <w:marBottom w:val="0"/>
      <w:divBdr>
        <w:top w:val="none" w:sz="0" w:space="0" w:color="auto"/>
        <w:left w:val="none" w:sz="0" w:space="0" w:color="auto"/>
        <w:bottom w:val="none" w:sz="0" w:space="0" w:color="auto"/>
        <w:right w:val="none" w:sz="0" w:space="0" w:color="auto"/>
      </w:divBdr>
    </w:div>
    <w:div w:id="1203444533">
      <w:bodyDiv w:val="1"/>
      <w:marLeft w:val="0"/>
      <w:marRight w:val="0"/>
      <w:marTop w:val="0"/>
      <w:marBottom w:val="0"/>
      <w:divBdr>
        <w:top w:val="none" w:sz="0" w:space="0" w:color="auto"/>
        <w:left w:val="none" w:sz="0" w:space="0" w:color="auto"/>
        <w:bottom w:val="none" w:sz="0" w:space="0" w:color="auto"/>
        <w:right w:val="none" w:sz="0" w:space="0" w:color="auto"/>
      </w:divBdr>
    </w:div>
    <w:div w:id="1206916029">
      <w:bodyDiv w:val="1"/>
      <w:marLeft w:val="0"/>
      <w:marRight w:val="0"/>
      <w:marTop w:val="0"/>
      <w:marBottom w:val="0"/>
      <w:divBdr>
        <w:top w:val="none" w:sz="0" w:space="0" w:color="auto"/>
        <w:left w:val="none" w:sz="0" w:space="0" w:color="auto"/>
        <w:bottom w:val="none" w:sz="0" w:space="0" w:color="auto"/>
        <w:right w:val="none" w:sz="0" w:space="0" w:color="auto"/>
      </w:divBdr>
    </w:div>
    <w:div w:id="1208568016">
      <w:bodyDiv w:val="1"/>
      <w:marLeft w:val="0"/>
      <w:marRight w:val="0"/>
      <w:marTop w:val="0"/>
      <w:marBottom w:val="0"/>
      <w:divBdr>
        <w:top w:val="none" w:sz="0" w:space="0" w:color="auto"/>
        <w:left w:val="none" w:sz="0" w:space="0" w:color="auto"/>
        <w:bottom w:val="none" w:sz="0" w:space="0" w:color="auto"/>
        <w:right w:val="none" w:sz="0" w:space="0" w:color="auto"/>
      </w:divBdr>
    </w:div>
    <w:div w:id="1208957245">
      <w:bodyDiv w:val="1"/>
      <w:marLeft w:val="0"/>
      <w:marRight w:val="0"/>
      <w:marTop w:val="0"/>
      <w:marBottom w:val="0"/>
      <w:divBdr>
        <w:top w:val="none" w:sz="0" w:space="0" w:color="auto"/>
        <w:left w:val="none" w:sz="0" w:space="0" w:color="auto"/>
        <w:bottom w:val="none" w:sz="0" w:space="0" w:color="auto"/>
        <w:right w:val="none" w:sz="0" w:space="0" w:color="auto"/>
      </w:divBdr>
      <w:divsChild>
        <w:div w:id="1082219258">
          <w:marLeft w:val="1080"/>
          <w:marRight w:val="0"/>
          <w:marTop w:val="120"/>
          <w:marBottom w:val="120"/>
          <w:divBdr>
            <w:top w:val="none" w:sz="0" w:space="0" w:color="auto"/>
            <w:left w:val="none" w:sz="0" w:space="0" w:color="auto"/>
            <w:bottom w:val="none" w:sz="0" w:space="0" w:color="auto"/>
            <w:right w:val="none" w:sz="0" w:space="0" w:color="auto"/>
          </w:divBdr>
        </w:div>
      </w:divsChild>
    </w:div>
    <w:div w:id="1252003450">
      <w:bodyDiv w:val="1"/>
      <w:marLeft w:val="0"/>
      <w:marRight w:val="0"/>
      <w:marTop w:val="0"/>
      <w:marBottom w:val="0"/>
      <w:divBdr>
        <w:top w:val="none" w:sz="0" w:space="0" w:color="auto"/>
        <w:left w:val="none" w:sz="0" w:space="0" w:color="auto"/>
        <w:bottom w:val="none" w:sz="0" w:space="0" w:color="auto"/>
        <w:right w:val="none" w:sz="0" w:space="0" w:color="auto"/>
      </w:divBdr>
    </w:div>
    <w:div w:id="1254363952">
      <w:bodyDiv w:val="1"/>
      <w:marLeft w:val="0"/>
      <w:marRight w:val="0"/>
      <w:marTop w:val="0"/>
      <w:marBottom w:val="0"/>
      <w:divBdr>
        <w:top w:val="none" w:sz="0" w:space="0" w:color="auto"/>
        <w:left w:val="none" w:sz="0" w:space="0" w:color="auto"/>
        <w:bottom w:val="none" w:sz="0" w:space="0" w:color="auto"/>
        <w:right w:val="none" w:sz="0" w:space="0" w:color="auto"/>
      </w:divBdr>
    </w:div>
    <w:div w:id="1258903382">
      <w:bodyDiv w:val="1"/>
      <w:marLeft w:val="0"/>
      <w:marRight w:val="0"/>
      <w:marTop w:val="0"/>
      <w:marBottom w:val="0"/>
      <w:divBdr>
        <w:top w:val="none" w:sz="0" w:space="0" w:color="auto"/>
        <w:left w:val="none" w:sz="0" w:space="0" w:color="auto"/>
        <w:bottom w:val="none" w:sz="0" w:space="0" w:color="auto"/>
        <w:right w:val="none" w:sz="0" w:space="0" w:color="auto"/>
      </w:divBdr>
    </w:div>
    <w:div w:id="1260140104">
      <w:bodyDiv w:val="1"/>
      <w:marLeft w:val="0"/>
      <w:marRight w:val="0"/>
      <w:marTop w:val="0"/>
      <w:marBottom w:val="0"/>
      <w:divBdr>
        <w:top w:val="none" w:sz="0" w:space="0" w:color="auto"/>
        <w:left w:val="none" w:sz="0" w:space="0" w:color="auto"/>
        <w:bottom w:val="none" w:sz="0" w:space="0" w:color="auto"/>
        <w:right w:val="none" w:sz="0" w:space="0" w:color="auto"/>
      </w:divBdr>
    </w:div>
    <w:div w:id="1295403872">
      <w:bodyDiv w:val="1"/>
      <w:marLeft w:val="0"/>
      <w:marRight w:val="0"/>
      <w:marTop w:val="0"/>
      <w:marBottom w:val="0"/>
      <w:divBdr>
        <w:top w:val="none" w:sz="0" w:space="0" w:color="auto"/>
        <w:left w:val="none" w:sz="0" w:space="0" w:color="auto"/>
        <w:bottom w:val="none" w:sz="0" w:space="0" w:color="auto"/>
        <w:right w:val="none" w:sz="0" w:space="0" w:color="auto"/>
      </w:divBdr>
    </w:div>
    <w:div w:id="1301226448">
      <w:bodyDiv w:val="1"/>
      <w:marLeft w:val="0"/>
      <w:marRight w:val="0"/>
      <w:marTop w:val="0"/>
      <w:marBottom w:val="0"/>
      <w:divBdr>
        <w:top w:val="none" w:sz="0" w:space="0" w:color="auto"/>
        <w:left w:val="none" w:sz="0" w:space="0" w:color="auto"/>
        <w:bottom w:val="none" w:sz="0" w:space="0" w:color="auto"/>
        <w:right w:val="none" w:sz="0" w:space="0" w:color="auto"/>
      </w:divBdr>
    </w:div>
    <w:div w:id="1312053848">
      <w:bodyDiv w:val="1"/>
      <w:marLeft w:val="0"/>
      <w:marRight w:val="0"/>
      <w:marTop w:val="0"/>
      <w:marBottom w:val="0"/>
      <w:divBdr>
        <w:top w:val="none" w:sz="0" w:space="0" w:color="auto"/>
        <w:left w:val="none" w:sz="0" w:space="0" w:color="auto"/>
        <w:bottom w:val="none" w:sz="0" w:space="0" w:color="auto"/>
        <w:right w:val="none" w:sz="0" w:space="0" w:color="auto"/>
      </w:divBdr>
    </w:div>
    <w:div w:id="1324509783">
      <w:bodyDiv w:val="1"/>
      <w:marLeft w:val="0"/>
      <w:marRight w:val="0"/>
      <w:marTop w:val="0"/>
      <w:marBottom w:val="0"/>
      <w:divBdr>
        <w:top w:val="none" w:sz="0" w:space="0" w:color="auto"/>
        <w:left w:val="none" w:sz="0" w:space="0" w:color="auto"/>
        <w:bottom w:val="none" w:sz="0" w:space="0" w:color="auto"/>
        <w:right w:val="none" w:sz="0" w:space="0" w:color="auto"/>
      </w:divBdr>
    </w:div>
    <w:div w:id="1328170286">
      <w:bodyDiv w:val="1"/>
      <w:marLeft w:val="0"/>
      <w:marRight w:val="0"/>
      <w:marTop w:val="0"/>
      <w:marBottom w:val="0"/>
      <w:divBdr>
        <w:top w:val="none" w:sz="0" w:space="0" w:color="auto"/>
        <w:left w:val="none" w:sz="0" w:space="0" w:color="auto"/>
        <w:bottom w:val="none" w:sz="0" w:space="0" w:color="auto"/>
        <w:right w:val="none" w:sz="0" w:space="0" w:color="auto"/>
      </w:divBdr>
    </w:div>
    <w:div w:id="1336224392">
      <w:bodyDiv w:val="1"/>
      <w:marLeft w:val="0"/>
      <w:marRight w:val="0"/>
      <w:marTop w:val="0"/>
      <w:marBottom w:val="0"/>
      <w:divBdr>
        <w:top w:val="none" w:sz="0" w:space="0" w:color="auto"/>
        <w:left w:val="none" w:sz="0" w:space="0" w:color="auto"/>
        <w:bottom w:val="none" w:sz="0" w:space="0" w:color="auto"/>
        <w:right w:val="none" w:sz="0" w:space="0" w:color="auto"/>
      </w:divBdr>
    </w:div>
    <w:div w:id="1343513925">
      <w:bodyDiv w:val="1"/>
      <w:marLeft w:val="0"/>
      <w:marRight w:val="0"/>
      <w:marTop w:val="0"/>
      <w:marBottom w:val="0"/>
      <w:divBdr>
        <w:top w:val="none" w:sz="0" w:space="0" w:color="auto"/>
        <w:left w:val="none" w:sz="0" w:space="0" w:color="auto"/>
        <w:bottom w:val="none" w:sz="0" w:space="0" w:color="auto"/>
        <w:right w:val="none" w:sz="0" w:space="0" w:color="auto"/>
      </w:divBdr>
    </w:div>
    <w:div w:id="1345016701">
      <w:bodyDiv w:val="1"/>
      <w:marLeft w:val="0"/>
      <w:marRight w:val="0"/>
      <w:marTop w:val="0"/>
      <w:marBottom w:val="0"/>
      <w:divBdr>
        <w:top w:val="none" w:sz="0" w:space="0" w:color="auto"/>
        <w:left w:val="none" w:sz="0" w:space="0" w:color="auto"/>
        <w:bottom w:val="none" w:sz="0" w:space="0" w:color="auto"/>
        <w:right w:val="none" w:sz="0" w:space="0" w:color="auto"/>
      </w:divBdr>
    </w:div>
    <w:div w:id="1351949309">
      <w:bodyDiv w:val="1"/>
      <w:marLeft w:val="0"/>
      <w:marRight w:val="0"/>
      <w:marTop w:val="0"/>
      <w:marBottom w:val="0"/>
      <w:divBdr>
        <w:top w:val="none" w:sz="0" w:space="0" w:color="auto"/>
        <w:left w:val="none" w:sz="0" w:space="0" w:color="auto"/>
        <w:bottom w:val="none" w:sz="0" w:space="0" w:color="auto"/>
        <w:right w:val="none" w:sz="0" w:space="0" w:color="auto"/>
      </w:divBdr>
    </w:div>
    <w:div w:id="1354530536">
      <w:bodyDiv w:val="1"/>
      <w:marLeft w:val="0"/>
      <w:marRight w:val="0"/>
      <w:marTop w:val="0"/>
      <w:marBottom w:val="0"/>
      <w:divBdr>
        <w:top w:val="none" w:sz="0" w:space="0" w:color="auto"/>
        <w:left w:val="none" w:sz="0" w:space="0" w:color="auto"/>
        <w:bottom w:val="none" w:sz="0" w:space="0" w:color="auto"/>
        <w:right w:val="none" w:sz="0" w:space="0" w:color="auto"/>
      </w:divBdr>
    </w:div>
    <w:div w:id="1363747356">
      <w:bodyDiv w:val="1"/>
      <w:marLeft w:val="0"/>
      <w:marRight w:val="0"/>
      <w:marTop w:val="0"/>
      <w:marBottom w:val="0"/>
      <w:divBdr>
        <w:top w:val="none" w:sz="0" w:space="0" w:color="auto"/>
        <w:left w:val="none" w:sz="0" w:space="0" w:color="auto"/>
        <w:bottom w:val="none" w:sz="0" w:space="0" w:color="auto"/>
        <w:right w:val="none" w:sz="0" w:space="0" w:color="auto"/>
      </w:divBdr>
      <w:divsChild>
        <w:div w:id="867137693">
          <w:marLeft w:val="0"/>
          <w:marRight w:val="0"/>
          <w:marTop w:val="0"/>
          <w:marBottom w:val="0"/>
          <w:divBdr>
            <w:top w:val="none" w:sz="0" w:space="0" w:color="auto"/>
            <w:left w:val="none" w:sz="0" w:space="0" w:color="auto"/>
            <w:bottom w:val="none" w:sz="0" w:space="0" w:color="auto"/>
            <w:right w:val="none" w:sz="0" w:space="0" w:color="auto"/>
          </w:divBdr>
          <w:divsChild>
            <w:div w:id="1446273973">
              <w:marLeft w:val="0"/>
              <w:marRight w:val="0"/>
              <w:marTop w:val="0"/>
              <w:marBottom w:val="0"/>
              <w:divBdr>
                <w:top w:val="none" w:sz="0" w:space="0" w:color="auto"/>
                <w:left w:val="none" w:sz="0" w:space="0" w:color="auto"/>
                <w:bottom w:val="none" w:sz="0" w:space="0" w:color="auto"/>
                <w:right w:val="none" w:sz="0" w:space="0" w:color="auto"/>
              </w:divBdr>
              <w:divsChild>
                <w:div w:id="858588126">
                  <w:marLeft w:val="0"/>
                  <w:marRight w:val="0"/>
                  <w:marTop w:val="0"/>
                  <w:marBottom w:val="0"/>
                  <w:divBdr>
                    <w:top w:val="none" w:sz="0" w:space="0" w:color="auto"/>
                    <w:left w:val="none" w:sz="0" w:space="0" w:color="auto"/>
                    <w:bottom w:val="none" w:sz="0" w:space="0" w:color="auto"/>
                    <w:right w:val="none" w:sz="0" w:space="0" w:color="auto"/>
                  </w:divBdr>
                  <w:divsChild>
                    <w:div w:id="181819089">
                      <w:marLeft w:val="1"/>
                      <w:marRight w:val="1"/>
                      <w:marTop w:val="0"/>
                      <w:marBottom w:val="0"/>
                      <w:divBdr>
                        <w:top w:val="none" w:sz="0" w:space="0" w:color="auto"/>
                        <w:left w:val="none" w:sz="0" w:space="0" w:color="auto"/>
                        <w:bottom w:val="none" w:sz="0" w:space="0" w:color="auto"/>
                        <w:right w:val="none" w:sz="0" w:space="0" w:color="auto"/>
                      </w:divBdr>
                      <w:divsChild>
                        <w:div w:id="847521041">
                          <w:marLeft w:val="0"/>
                          <w:marRight w:val="0"/>
                          <w:marTop w:val="0"/>
                          <w:marBottom w:val="0"/>
                          <w:divBdr>
                            <w:top w:val="none" w:sz="0" w:space="0" w:color="auto"/>
                            <w:left w:val="none" w:sz="0" w:space="0" w:color="auto"/>
                            <w:bottom w:val="none" w:sz="0" w:space="0" w:color="auto"/>
                            <w:right w:val="none" w:sz="0" w:space="0" w:color="auto"/>
                          </w:divBdr>
                          <w:divsChild>
                            <w:div w:id="1554998070">
                              <w:marLeft w:val="0"/>
                              <w:marRight w:val="0"/>
                              <w:marTop w:val="0"/>
                              <w:marBottom w:val="360"/>
                              <w:divBdr>
                                <w:top w:val="none" w:sz="0" w:space="0" w:color="auto"/>
                                <w:left w:val="none" w:sz="0" w:space="0" w:color="auto"/>
                                <w:bottom w:val="none" w:sz="0" w:space="0" w:color="auto"/>
                                <w:right w:val="none" w:sz="0" w:space="0" w:color="auto"/>
                              </w:divBdr>
                              <w:divsChild>
                                <w:div w:id="1972779978">
                                  <w:marLeft w:val="0"/>
                                  <w:marRight w:val="0"/>
                                  <w:marTop w:val="0"/>
                                  <w:marBottom w:val="0"/>
                                  <w:divBdr>
                                    <w:top w:val="none" w:sz="0" w:space="0" w:color="auto"/>
                                    <w:left w:val="none" w:sz="0" w:space="0" w:color="auto"/>
                                    <w:bottom w:val="none" w:sz="0" w:space="0" w:color="auto"/>
                                    <w:right w:val="none" w:sz="0" w:space="0" w:color="auto"/>
                                  </w:divBdr>
                                  <w:divsChild>
                                    <w:div w:id="622464314">
                                      <w:marLeft w:val="0"/>
                                      <w:marRight w:val="0"/>
                                      <w:marTop w:val="0"/>
                                      <w:marBottom w:val="0"/>
                                      <w:divBdr>
                                        <w:top w:val="none" w:sz="0" w:space="0" w:color="auto"/>
                                        <w:left w:val="none" w:sz="0" w:space="0" w:color="auto"/>
                                        <w:bottom w:val="none" w:sz="0" w:space="0" w:color="auto"/>
                                        <w:right w:val="none" w:sz="0" w:space="0" w:color="auto"/>
                                      </w:divBdr>
                                      <w:divsChild>
                                        <w:div w:id="583034948">
                                          <w:marLeft w:val="0"/>
                                          <w:marRight w:val="0"/>
                                          <w:marTop w:val="0"/>
                                          <w:marBottom w:val="0"/>
                                          <w:divBdr>
                                            <w:top w:val="none" w:sz="0" w:space="0" w:color="auto"/>
                                            <w:left w:val="none" w:sz="0" w:space="0" w:color="auto"/>
                                            <w:bottom w:val="none" w:sz="0" w:space="0" w:color="auto"/>
                                            <w:right w:val="none" w:sz="0" w:space="0" w:color="auto"/>
                                          </w:divBdr>
                                        </w:div>
                                        <w:div w:id="58333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640917">
      <w:bodyDiv w:val="1"/>
      <w:marLeft w:val="0"/>
      <w:marRight w:val="0"/>
      <w:marTop w:val="0"/>
      <w:marBottom w:val="0"/>
      <w:divBdr>
        <w:top w:val="none" w:sz="0" w:space="0" w:color="auto"/>
        <w:left w:val="none" w:sz="0" w:space="0" w:color="auto"/>
        <w:bottom w:val="none" w:sz="0" w:space="0" w:color="auto"/>
        <w:right w:val="none" w:sz="0" w:space="0" w:color="auto"/>
      </w:divBdr>
      <w:divsChild>
        <w:div w:id="1418483226">
          <w:marLeft w:val="0"/>
          <w:marRight w:val="0"/>
          <w:marTop w:val="0"/>
          <w:marBottom w:val="0"/>
          <w:divBdr>
            <w:top w:val="none" w:sz="0" w:space="0" w:color="auto"/>
            <w:left w:val="none" w:sz="0" w:space="0" w:color="auto"/>
            <w:bottom w:val="none" w:sz="0" w:space="0" w:color="auto"/>
            <w:right w:val="none" w:sz="0" w:space="0" w:color="auto"/>
          </w:divBdr>
          <w:divsChild>
            <w:div w:id="1751732165">
              <w:marLeft w:val="0"/>
              <w:marRight w:val="0"/>
              <w:marTop w:val="0"/>
              <w:marBottom w:val="0"/>
              <w:divBdr>
                <w:top w:val="none" w:sz="0" w:space="0" w:color="auto"/>
                <w:left w:val="none" w:sz="0" w:space="0" w:color="auto"/>
                <w:bottom w:val="none" w:sz="0" w:space="0" w:color="auto"/>
                <w:right w:val="none" w:sz="0" w:space="0" w:color="auto"/>
              </w:divBdr>
              <w:divsChild>
                <w:div w:id="523861240">
                  <w:marLeft w:val="0"/>
                  <w:marRight w:val="0"/>
                  <w:marTop w:val="0"/>
                  <w:marBottom w:val="0"/>
                  <w:divBdr>
                    <w:top w:val="none" w:sz="0" w:space="0" w:color="auto"/>
                    <w:left w:val="none" w:sz="0" w:space="0" w:color="auto"/>
                    <w:bottom w:val="none" w:sz="0" w:space="0" w:color="auto"/>
                    <w:right w:val="none" w:sz="0" w:space="0" w:color="auto"/>
                  </w:divBdr>
                  <w:divsChild>
                    <w:div w:id="1385135440">
                      <w:marLeft w:val="0"/>
                      <w:marRight w:val="0"/>
                      <w:marTop w:val="0"/>
                      <w:marBottom w:val="0"/>
                      <w:divBdr>
                        <w:top w:val="none" w:sz="0" w:space="0" w:color="auto"/>
                        <w:left w:val="none" w:sz="0" w:space="0" w:color="auto"/>
                        <w:bottom w:val="none" w:sz="0" w:space="0" w:color="auto"/>
                        <w:right w:val="none" w:sz="0" w:space="0" w:color="auto"/>
                      </w:divBdr>
                      <w:divsChild>
                        <w:div w:id="1041595333">
                          <w:marLeft w:val="0"/>
                          <w:marRight w:val="0"/>
                          <w:marTop w:val="0"/>
                          <w:marBottom w:val="0"/>
                          <w:divBdr>
                            <w:top w:val="none" w:sz="0" w:space="0" w:color="auto"/>
                            <w:left w:val="none" w:sz="0" w:space="0" w:color="auto"/>
                            <w:bottom w:val="none" w:sz="0" w:space="0" w:color="auto"/>
                            <w:right w:val="none" w:sz="0" w:space="0" w:color="auto"/>
                          </w:divBdr>
                          <w:divsChild>
                            <w:div w:id="1828204165">
                              <w:marLeft w:val="-225"/>
                              <w:marRight w:val="-225"/>
                              <w:marTop w:val="0"/>
                              <w:marBottom w:val="0"/>
                              <w:divBdr>
                                <w:top w:val="none" w:sz="0" w:space="0" w:color="auto"/>
                                <w:left w:val="none" w:sz="0" w:space="0" w:color="auto"/>
                                <w:bottom w:val="none" w:sz="0" w:space="0" w:color="auto"/>
                                <w:right w:val="none" w:sz="0" w:space="0" w:color="auto"/>
                              </w:divBdr>
                              <w:divsChild>
                                <w:div w:id="1532304849">
                                  <w:marLeft w:val="0"/>
                                  <w:marRight w:val="0"/>
                                  <w:marTop w:val="0"/>
                                  <w:marBottom w:val="133"/>
                                  <w:divBdr>
                                    <w:top w:val="none" w:sz="0" w:space="0" w:color="auto"/>
                                    <w:left w:val="none" w:sz="0" w:space="0" w:color="auto"/>
                                    <w:bottom w:val="none" w:sz="0" w:space="0" w:color="auto"/>
                                    <w:right w:val="none" w:sz="0" w:space="0" w:color="auto"/>
                                  </w:divBdr>
                                  <w:divsChild>
                                    <w:div w:id="6711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197617">
      <w:bodyDiv w:val="1"/>
      <w:marLeft w:val="0"/>
      <w:marRight w:val="0"/>
      <w:marTop w:val="0"/>
      <w:marBottom w:val="0"/>
      <w:divBdr>
        <w:top w:val="none" w:sz="0" w:space="0" w:color="auto"/>
        <w:left w:val="none" w:sz="0" w:space="0" w:color="auto"/>
        <w:bottom w:val="none" w:sz="0" w:space="0" w:color="auto"/>
        <w:right w:val="none" w:sz="0" w:space="0" w:color="auto"/>
      </w:divBdr>
    </w:div>
    <w:div w:id="1379817102">
      <w:bodyDiv w:val="1"/>
      <w:marLeft w:val="0"/>
      <w:marRight w:val="0"/>
      <w:marTop w:val="0"/>
      <w:marBottom w:val="0"/>
      <w:divBdr>
        <w:top w:val="none" w:sz="0" w:space="0" w:color="auto"/>
        <w:left w:val="none" w:sz="0" w:space="0" w:color="auto"/>
        <w:bottom w:val="none" w:sz="0" w:space="0" w:color="auto"/>
        <w:right w:val="none" w:sz="0" w:space="0" w:color="auto"/>
      </w:divBdr>
    </w:div>
    <w:div w:id="1381903595">
      <w:bodyDiv w:val="1"/>
      <w:marLeft w:val="0"/>
      <w:marRight w:val="0"/>
      <w:marTop w:val="0"/>
      <w:marBottom w:val="0"/>
      <w:divBdr>
        <w:top w:val="none" w:sz="0" w:space="0" w:color="auto"/>
        <w:left w:val="none" w:sz="0" w:space="0" w:color="auto"/>
        <w:bottom w:val="none" w:sz="0" w:space="0" w:color="auto"/>
        <w:right w:val="none" w:sz="0" w:space="0" w:color="auto"/>
      </w:divBdr>
    </w:div>
    <w:div w:id="1385907501">
      <w:bodyDiv w:val="1"/>
      <w:marLeft w:val="0"/>
      <w:marRight w:val="0"/>
      <w:marTop w:val="0"/>
      <w:marBottom w:val="0"/>
      <w:divBdr>
        <w:top w:val="none" w:sz="0" w:space="0" w:color="auto"/>
        <w:left w:val="none" w:sz="0" w:space="0" w:color="auto"/>
        <w:bottom w:val="none" w:sz="0" w:space="0" w:color="auto"/>
        <w:right w:val="none" w:sz="0" w:space="0" w:color="auto"/>
      </w:divBdr>
    </w:div>
    <w:div w:id="1386641725">
      <w:bodyDiv w:val="1"/>
      <w:marLeft w:val="0"/>
      <w:marRight w:val="0"/>
      <w:marTop w:val="0"/>
      <w:marBottom w:val="0"/>
      <w:divBdr>
        <w:top w:val="none" w:sz="0" w:space="0" w:color="auto"/>
        <w:left w:val="none" w:sz="0" w:space="0" w:color="auto"/>
        <w:bottom w:val="none" w:sz="0" w:space="0" w:color="auto"/>
        <w:right w:val="none" w:sz="0" w:space="0" w:color="auto"/>
      </w:divBdr>
    </w:div>
    <w:div w:id="1387802541">
      <w:bodyDiv w:val="1"/>
      <w:marLeft w:val="0"/>
      <w:marRight w:val="0"/>
      <w:marTop w:val="0"/>
      <w:marBottom w:val="0"/>
      <w:divBdr>
        <w:top w:val="none" w:sz="0" w:space="0" w:color="auto"/>
        <w:left w:val="none" w:sz="0" w:space="0" w:color="auto"/>
        <w:bottom w:val="none" w:sz="0" w:space="0" w:color="auto"/>
        <w:right w:val="none" w:sz="0" w:space="0" w:color="auto"/>
      </w:divBdr>
      <w:divsChild>
        <w:div w:id="2028284946">
          <w:marLeft w:val="0"/>
          <w:marRight w:val="0"/>
          <w:marTop w:val="0"/>
          <w:marBottom w:val="0"/>
          <w:divBdr>
            <w:top w:val="none" w:sz="0" w:space="0" w:color="auto"/>
            <w:left w:val="none" w:sz="0" w:space="0" w:color="auto"/>
            <w:bottom w:val="none" w:sz="0" w:space="0" w:color="auto"/>
            <w:right w:val="none" w:sz="0" w:space="0" w:color="auto"/>
          </w:divBdr>
          <w:divsChild>
            <w:div w:id="548420565">
              <w:marLeft w:val="0"/>
              <w:marRight w:val="0"/>
              <w:marTop w:val="0"/>
              <w:marBottom w:val="0"/>
              <w:divBdr>
                <w:top w:val="none" w:sz="0" w:space="0" w:color="auto"/>
                <w:left w:val="none" w:sz="0" w:space="0" w:color="auto"/>
                <w:bottom w:val="none" w:sz="0" w:space="0" w:color="auto"/>
                <w:right w:val="none" w:sz="0" w:space="0" w:color="auto"/>
              </w:divBdr>
              <w:divsChild>
                <w:div w:id="298613332">
                  <w:marLeft w:val="0"/>
                  <w:marRight w:val="0"/>
                  <w:marTop w:val="0"/>
                  <w:marBottom w:val="0"/>
                  <w:divBdr>
                    <w:top w:val="none" w:sz="0" w:space="0" w:color="auto"/>
                    <w:left w:val="none" w:sz="0" w:space="0" w:color="auto"/>
                    <w:bottom w:val="none" w:sz="0" w:space="0" w:color="auto"/>
                    <w:right w:val="none" w:sz="0" w:space="0" w:color="auto"/>
                  </w:divBdr>
                  <w:divsChild>
                    <w:div w:id="52778621">
                      <w:marLeft w:val="-225"/>
                      <w:marRight w:val="-225"/>
                      <w:marTop w:val="0"/>
                      <w:marBottom w:val="0"/>
                      <w:divBdr>
                        <w:top w:val="none" w:sz="0" w:space="0" w:color="auto"/>
                        <w:left w:val="none" w:sz="0" w:space="0" w:color="auto"/>
                        <w:bottom w:val="none" w:sz="0" w:space="0" w:color="auto"/>
                        <w:right w:val="none" w:sz="0" w:space="0" w:color="auto"/>
                      </w:divBdr>
                      <w:divsChild>
                        <w:div w:id="149517367">
                          <w:marLeft w:val="375"/>
                          <w:marRight w:val="0"/>
                          <w:marTop w:val="0"/>
                          <w:marBottom w:val="0"/>
                          <w:divBdr>
                            <w:top w:val="none" w:sz="0" w:space="0" w:color="auto"/>
                            <w:left w:val="none" w:sz="0" w:space="0" w:color="auto"/>
                            <w:bottom w:val="none" w:sz="0" w:space="0" w:color="auto"/>
                            <w:right w:val="none" w:sz="0" w:space="0" w:color="auto"/>
                          </w:divBdr>
                          <w:divsChild>
                            <w:div w:id="125516504">
                              <w:marLeft w:val="0"/>
                              <w:marRight w:val="0"/>
                              <w:marTop w:val="0"/>
                              <w:marBottom w:val="0"/>
                              <w:divBdr>
                                <w:top w:val="none" w:sz="0" w:space="0" w:color="auto"/>
                                <w:left w:val="none" w:sz="0" w:space="0" w:color="auto"/>
                                <w:bottom w:val="none" w:sz="0" w:space="0" w:color="auto"/>
                                <w:right w:val="none" w:sz="0" w:space="0" w:color="auto"/>
                              </w:divBdr>
                              <w:divsChild>
                                <w:div w:id="1309284304">
                                  <w:marLeft w:val="0"/>
                                  <w:marRight w:val="0"/>
                                  <w:marTop w:val="0"/>
                                  <w:marBottom w:val="300"/>
                                  <w:divBdr>
                                    <w:top w:val="none" w:sz="0" w:space="0" w:color="auto"/>
                                    <w:left w:val="none" w:sz="0" w:space="0" w:color="auto"/>
                                    <w:bottom w:val="none" w:sz="0" w:space="0" w:color="auto"/>
                                    <w:right w:val="none" w:sz="0" w:space="0" w:color="auto"/>
                                  </w:divBdr>
                                  <w:divsChild>
                                    <w:div w:id="1530951734">
                                      <w:marLeft w:val="0"/>
                                      <w:marRight w:val="0"/>
                                      <w:marTop w:val="0"/>
                                      <w:marBottom w:val="0"/>
                                      <w:divBdr>
                                        <w:top w:val="none" w:sz="0" w:space="0" w:color="auto"/>
                                        <w:left w:val="none" w:sz="0" w:space="0" w:color="auto"/>
                                        <w:bottom w:val="none" w:sz="0" w:space="0" w:color="auto"/>
                                        <w:right w:val="none" w:sz="0" w:space="0" w:color="auto"/>
                                      </w:divBdr>
                                      <w:divsChild>
                                        <w:div w:id="1117336495">
                                          <w:marLeft w:val="0"/>
                                          <w:marRight w:val="0"/>
                                          <w:marTop w:val="0"/>
                                          <w:marBottom w:val="0"/>
                                          <w:divBdr>
                                            <w:top w:val="none" w:sz="0" w:space="0" w:color="auto"/>
                                            <w:left w:val="none" w:sz="0" w:space="0" w:color="auto"/>
                                            <w:bottom w:val="none" w:sz="0" w:space="0" w:color="auto"/>
                                            <w:right w:val="none" w:sz="0" w:space="0" w:color="auto"/>
                                          </w:divBdr>
                                          <w:divsChild>
                                            <w:div w:id="933317200">
                                              <w:marLeft w:val="0"/>
                                              <w:marRight w:val="0"/>
                                              <w:marTop w:val="0"/>
                                              <w:marBottom w:val="0"/>
                                              <w:divBdr>
                                                <w:top w:val="none" w:sz="0" w:space="0" w:color="auto"/>
                                                <w:left w:val="none" w:sz="0" w:space="0" w:color="auto"/>
                                                <w:bottom w:val="none" w:sz="0" w:space="0" w:color="auto"/>
                                                <w:right w:val="none" w:sz="0" w:space="0" w:color="auto"/>
                                              </w:divBdr>
                                              <w:divsChild>
                                                <w:div w:id="2134591928">
                                                  <w:marLeft w:val="0"/>
                                                  <w:marRight w:val="0"/>
                                                  <w:marTop w:val="0"/>
                                                  <w:marBottom w:val="0"/>
                                                  <w:divBdr>
                                                    <w:top w:val="none" w:sz="0" w:space="0" w:color="auto"/>
                                                    <w:left w:val="none" w:sz="0" w:space="0" w:color="auto"/>
                                                    <w:bottom w:val="none" w:sz="0" w:space="0" w:color="auto"/>
                                                    <w:right w:val="none" w:sz="0" w:space="0" w:color="auto"/>
                                                  </w:divBdr>
                                                  <w:divsChild>
                                                    <w:div w:id="466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7326">
                                              <w:marLeft w:val="0"/>
                                              <w:marRight w:val="0"/>
                                              <w:marTop w:val="0"/>
                                              <w:marBottom w:val="0"/>
                                              <w:divBdr>
                                                <w:top w:val="none" w:sz="0" w:space="0" w:color="auto"/>
                                                <w:left w:val="none" w:sz="0" w:space="0" w:color="auto"/>
                                                <w:bottom w:val="none" w:sz="0" w:space="0" w:color="auto"/>
                                                <w:right w:val="none" w:sz="0" w:space="0" w:color="auto"/>
                                              </w:divBdr>
                                              <w:divsChild>
                                                <w:div w:id="20917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5540599">
      <w:bodyDiv w:val="1"/>
      <w:marLeft w:val="0"/>
      <w:marRight w:val="0"/>
      <w:marTop w:val="0"/>
      <w:marBottom w:val="0"/>
      <w:divBdr>
        <w:top w:val="none" w:sz="0" w:space="0" w:color="auto"/>
        <w:left w:val="none" w:sz="0" w:space="0" w:color="auto"/>
        <w:bottom w:val="none" w:sz="0" w:space="0" w:color="auto"/>
        <w:right w:val="none" w:sz="0" w:space="0" w:color="auto"/>
      </w:divBdr>
    </w:div>
    <w:div w:id="1408188321">
      <w:bodyDiv w:val="1"/>
      <w:marLeft w:val="0"/>
      <w:marRight w:val="0"/>
      <w:marTop w:val="0"/>
      <w:marBottom w:val="0"/>
      <w:divBdr>
        <w:top w:val="none" w:sz="0" w:space="0" w:color="auto"/>
        <w:left w:val="none" w:sz="0" w:space="0" w:color="auto"/>
        <w:bottom w:val="none" w:sz="0" w:space="0" w:color="auto"/>
        <w:right w:val="none" w:sz="0" w:space="0" w:color="auto"/>
      </w:divBdr>
    </w:div>
    <w:div w:id="1418600844">
      <w:bodyDiv w:val="1"/>
      <w:marLeft w:val="0"/>
      <w:marRight w:val="0"/>
      <w:marTop w:val="0"/>
      <w:marBottom w:val="0"/>
      <w:divBdr>
        <w:top w:val="none" w:sz="0" w:space="0" w:color="auto"/>
        <w:left w:val="none" w:sz="0" w:space="0" w:color="auto"/>
        <w:bottom w:val="none" w:sz="0" w:space="0" w:color="auto"/>
        <w:right w:val="none" w:sz="0" w:space="0" w:color="auto"/>
      </w:divBdr>
    </w:div>
    <w:div w:id="1426657099">
      <w:bodyDiv w:val="1"/>
      <w:marLeft w:val="0"/>
      <w:marRight w:val="0"/>
      <w:marTop w:val="0"/>
      <w:marBottom w:val="0"/>
      <w:divBdr>
        <w:top w:val="none" w:sz="0" w:space="0" w:color="auto"/>
        <w:left w:val="none" w:sz="0" w:space="0" w:color="auto"/>
        <w:bottom w:val="none" w:sz="0" w:space="0" w:color="auto"/>
        <w:right w:val="none" w:sz="0" w:space="0" w:color="auto"/>
      </w:divBdr>
    </w:div>
    <w:div w:id="1427116147">
      <w:bodyDiv w:val="1"/>
      <w:marLeft w:val="0"/>
      <w:marRight w:val="0"/>
      <w:marTop w:val="0"/>
      <w:marBottom w:val="0"/>
      <w:divBdr>
        <w:top w:val="none" w:sz="0" w:space="0" w:color="auto"/>
        <w:left w:val="none" w:sz="0" w:space="0" w:color="auto"/>
        <w:bottom w:val="none" w:sz="0" w:space="0" w:color="auto"/>
        <w:right w:val="none" w:sz="0" w:space="0" w:color="auto"/>
      </w:divBdr>
    </w:div>
    <w:div w:id="1432701539">
      <w:bodyDiv w:val="1"/>
      <w:marLeft w:val="0"/>
      <w:marRight w:val="0"/>
      <w:marTop w:val="0"/>
      <w:marBottom w:val="0"/>
      <w:divBdr>
        <w:top w:val="none" w:sz="0" w:space="0" w:color="auto"/>
        <w:left w:val="none" w:sz="0" w:space="0" w:color="auto"/>
        <w:bottom w:val="none" w:sz="0" w:space="0" w:color="auto"/>
        <w:right w:val="none" w:sz="0" w:space="0" w:color="auto"/>
      </w:divBdr>
    </w:div>
    <w:div w:id="1436369126">
      <w:bodyDiv w:val="1"/>
      <w:marLeft w:val="0"/>
      <w:marRight w:val="0"/>
      <w:marTop w:val="0"/>
      <w:marBottom w:val="0"/>
      <w:divBdr>
        <w:top w:val="none" w:sz="0" w:space="0" w:color="auto"/>
        <w:left w:val="none" w:sz="0" w:space="0" w:color="auto"/>
        <w:bottom w:val="none" w:sz="0" w:space="0" w:color="auto"/>
        <w:right w:val="none" w:sz="0" w:space="0" w:color="auto"/>
      </w:divBdr>
    </w:div>
    <w:div w:id="1446576955">
      <w:bodyDiv w:val="1"/>
      <w:marLeft w:val="0"/>
      <w:marRight w:val="0"/>
      <w:marTop w:val="0"/>
      <w:marBottom w:val="0"/>
      <w:divBdr>
        <w:top w:val="none" w:sz="0" w:space="0" w:color="auto"/>
        <w:left w:val="none" w:sz="0" w:space="0" w:color="auto"/>
        <w:bottom w:val="none" w:sz="0" w:space="0" w:color="auto"/>
        <w:right w:val="none" w:sz="0" w:space="0" w:color="auto"/>
      </w:divBdr>
    </w:div>
    <w:div w:id="1447966620">
      <w:bodyDiv w:val="1"/>
      <w:marLeft w:val="0"/>
      <w:marRight w:val="0"/>
      <w:marTop w:val="0"/>
      <w:marBottom w:val="0"/>
      <w:divBdr>
        <w:top w:val="none" w:sz="0" w:space="0" w:color="auto"/>
        <w:left w:val="none" w:sz="0" w:space="0" w:color="auto"/>
        <w:bottom w:val="none" w:sz="0" w:space="0" w:color="auto"/>
        <w:right w:val="none" w:sz="0" w:space="0" w:color="auto"/>
      </w:divBdr>
    </w:div>
    <w:div w:id="1450859911">
      <w:bodyDiv w:val="1"/>
      <w:marLeft w:val="0"/>
      <w:marRight w:val="0"/>
      <w:marTop w:val="0"/>
      <w:marBottom w:val="0"/>
      <w:divBdr>
        <w:top w:val="none" w:sz="0" w:space="0" w:color="auto"/>
        <w:left w:val="none" w:sz="0" w:space="0" w:color="auto"/>
        <w:bottom w:val="none" w:sz="0" w:space="0" w:color="auto"/>
        <w:right w:val="none" w:sz="0" w:space="0" w:color="auto"/>
      </w:divBdr>
    </w:div>
    <w:div w:id="1453523311">
      <w:bodyDiv w:val="1"/>
      <w:marLeft w:val="0"/>
      <w:marRight w:val="0"/>
      <w:marTop w:val="0"/>
      <w:marBottom w:val="0"/>
      <w:divBdr>
        <w:top w:val="none" w:sz="0" w:space="0" w:color="auto"/>
        <w:left w:val="none" w:sz="0" w:space="0" w:color="auto"/>
        <w:bottom w:val="none" w:sz="0" w:space="0" w:color="auto"/>
        <w:right w:val="none" w:sz="0" w:space="0" w:color="auto"/>
      </w:divBdr>
    </w:div>
    <w:div w:id="1458640549">
      <w:bodyDiv w:val="1"/>
      <w:marLeft w:val="0"/>
      <w:marRight w:val="0"/>
      <w:marTop w:val="0"/>
      <w:marBottom w:val="0"/>
      <w:divBdr>
        <w:top w:val="none" w:sz="0" w:space="0" w:color="auto"/>
        <w:left w:val="none" w:sz="0" w:space="0" w:color="auto"/>
        <w:bottom w:val="none" w:sz="0" w:space="0" w:color="auto"/>
        <w:right w:val="none" w:sz="0" w:space="0" w:color="auto"/>
      </w:divBdr>
      <w:divsChild>
        <w:div w:id="1059790285">
          <w:marLeft w:val="547"/>
          <w:marRight w:val="0"/>
          <w:marTop w:val="120"/>
          <w:marBottom w:val="240"/>
          <w:divBdr>
            <w:top w:val="none" w:sz="0" w:space="0" w:color="auto"/>
            <w:left w:val="none" w:sz="0" w:space="0" w:color="auto"/>
            <w:bottom w:val="none" w:sz="0" w:space="0" w:color="auto"/>
            <w:right w:val="none" w:sz="0" w:space="0" w:color="auto"/>
          </w:divBdr>
        </w:div>
      </w:divsChild>
    </w:div>
    <w:div w:id="1466655759">
      <w:bodyDiv w:val="1"/>
      <w:marLeft w:val="0"/>
      <w:marRight w:val="0"/>
      <w:marTop w:val="0"/>
      <w:marBottom w:val="0"/>
      <w:divBdr>
        <w:top w:val="none" w:sz="0" w:space="0" w:color="auto"/>
        <w:left w:val="none" w:sz="0" w:space="0" w:color="auto"/>
        <w:bottom w:val="none" w:sz="0" w:space="0" w:color="auto"/>
        <w:right w:val="none" w:sz="0" w:space="0" w:color="auto"/>
      </w:divBdr>
    </w:div>
    <w:div w:id="1473711581">
      <w:bodyDiv w:val="1"/>
      <w:marLeft w:val="0"/>
      <w:marRight w:val="0"/>
      <w:marTop w:val="0"/>
      <w:marBottom w:val="0"/>
      <w:divBdr>
        <w:top w:val="none" w:sz="0" w:space="0" w:color="auto"/>
        <w:left w:val="none" w:sz="0" w:space="0" w:color="auto"/>
        <w:bottom w:val="none" w:sz="0" w:space="0" w:color="auto"/>
        <w:right w:val="none" w:sz="0" w:space="0" w:color="auto"/>
      </w:divBdr>
    </w:div>
    <w:div w:id="1476023114">
      <w:bodyDiv w:val="1"/>
      <w:marLeft w:val="0"/>
      <w:marRight w:val="0"/>
      <w:marTop w:val="0"/>
      <w:marBottom w:val="0"/>
      <w:divBdr>
        <w:top w:val="none" w:sz="0" w:space="0" w:color="auto"/>
        <w:left w:val="none" w:sz="0" w:space="0" w:color="auto"/>
        <w:bottom w:val="none" w:sz="0" w:space="0" w:color="auto"/>
        <w:right w:val="none" w:sz="0" w:space="0" w:color="auto"/>
      </w:divBdr>
    </w:div>
    <w:div w:id="1481312629">
      <w:bodyDiv w:val="1"/>
      <w:marLeft w:val="0"/>
      <w:marRight w:val="0"/>
      <w:marTop w:val="0"/>
      <w:marBottom w:val="0"/>
      <w:divBdr>
        <w:top w:val="none" w:sz="0" w:space="0" w:color="auto"/>
        <w:left w:val="none" w:sz="0" w:space="0" w:color="auto"/>
        <w:bottom w:val="none" w:sz="0" w:space="0" w:color="auto"/>
        <w:right w:val="none" w:sz="0" w:space="0" w:color="auto"/>
      </w:divBdr>
    </w:div>
    <w:div w:id="1485467515">
      <w:bodyDiv w:val="1"/>
      <w:marLeft w:val="0"/>
      <w:marRight w:val="0"/>
      <w:marTop w:val="0"/>
      <w:marBottom w:val="0"/>
      <w:divBdr>
        <w:top w:val="none" w:sz="0" w:space="0" w:color="auto"/>
        <w:left w:val="none" w:sz="0" w:space="0" w:color="auto"/>
        <w:bottom w:val="none" w:sz="0" w:space="0" w:color="auto"/>
        <w:right w:val="none" w:sz="0" w:space="0" w:color="auto"/>
      </w:divBdr>
    </w:div>
    <w:div w:id="1490635018">
      <w:bodyDiv w:val="1"/>
      <w:marLeft w:val="0"/>
      <w:marRight w:val="0"/>
      <w:marTop w:val="0"/>
      <w:marBottom w:val="0"/>
      <w:divBdr>
        <w:top w:val="none" w:sz="0" w:space="0" w:color="auto"/>
        <w:left w:val="none" w:sz="0" w:space="0" w:color="auto"/>
        <w:bottom w:val="none" w:sz="0" w:space="0" w:color="auto"/>
        <w:right w:val="none" w:sz="0" w:space="0" w:color="auto"/>
      </w:divBdr>
    </w:div>
    <w:div w:id="1490828434">
      <w:bodyDiv w:val="1"/>
      <w:marLeft w:val="0"/>
      <w:marRight w:val="0"/>
      <w:marTop w:val="0"/>
      <w:marBottom w:val="0"/>
      <w:divBdr>
        <w:top w:val="none" w:sz="0" w:space="0" w:color="auto"/>
        <w:left w:val="none" w:sz="0" w:space="0" w:color="auto"/>
        <w:bottom w:val="none" w:sz="0" w:space="0" w:color="auto"/>
        <w:right w:val="none" w:sz="0" w:space="0" w:color="auto"/>
      </w:divBdr>
    </w:div>
    <w:div w:id="1511216280">
      <w:bodyDiv w:val="1"/>
      <w:marLeft w:val="0"/>
      <w:marRight w:val="0"/>
      <w:marTop w:val="0"/>
      <w:marBottom w:val="0"/>
      <w:divBdr>
        <w:top w:val="none" w:sz="0" w:space="0" w:color="auto"/>
        <w:left w:val="none" w:sz="0" w:space="0" w:color="auto"/>
        <w:bottom w:val="none" w:sz="0" w:space="0" w:color="auto"/>
        <w:right w:val="none" w:sz="0" w:space="0" w:color="auto"/>
      </w:divBdr>
    </w:div>
    <w:div w:id="1513107453">
      <w:bodyDiv w:val="1"/>
      <w:marLeft w:val="0"/>
      <w:marRight w:val="0"/>
      <w:marTop w:val="0"/>
      <w:marBottom w:val="0"/>
      <w:divBdr>
        <w:top w:val="none" w:sz="0" w:space="0" w:color="auto"/>
        <w:left w:val="none" w:sz="0" w:space="0" w:color="auto"/>
        <w:bottom w:val="none" w:sz="0" w:space="0" w:color="auto"/>
        <w:right w:val="none" w:sz="0" w:space="0" w:color="auto"/>
      </w:divBdr>
    </w:div>
    <w:div w:id="1534685560">
      <w:bodyDiv w:val="1"/>
      <w:marLeft w:val="0"/>
      <w:marRight w:val="0"/>
      <w:marTop w:val="0"/>
      <w:marBottom w:val="0"/>
      <w:divBdr>
        <w:top w:val="none" w:sz="0" w:space="0" w:color="auto"/>
        <w:left w:val="none" w:sz="0" w:space="0" w:color="auto"/>
        <w:bottom w:val="none" w:sz="0" w:space="0" w:color="auto"/>
        <w:right w:val="none" w:sz="0" w:space="0" w:color="auto"/>
      </w:divBdr>
    </w:div>
    <w:div w:id="1536311419">
      <w:bodyDiv w:val="1"/>
      <w:marLeft w:val="0"/>
      <w:marRight w:val="0"/>
      <w:marTop w:val="0"/>
      <w:marBottom w:val="0"/>
      <w:divBdr>
        <w:top w:val="none" w:sz="0" w:space="0" w:color="auto"/>
        <w:left w:val="none" w:sz="0" w:space="0" w:color="auto"/>
        <w:bottom w:val="none" w:sz="0" w:space="0" w:color="auto"/>
        <w:right w:val="none" w:sz="0" w:space="0" w:color="auto"/>
      </w:divBdr>
    </w:div>
    <w:div w:id="1543663528">
      <w:bodyDiv w:val="1"/>
      <w:marLeft w:val="0"/>
      <w:marRight w:val="0"/>
      <w:marTop w:val="0"/>
      <w:marBottom w:val="0"/>
      <w:divBdr>
        <w:top w:val="none" w:sz="0" w:space="0" w:color="auto"/>
        <w:left w:val="none" w:sz="0" w:space="0" w:color="auto"/>
        <w:bottom w:val="none" w:sz="0" w:space="0" w:color="auto"/>
        <w:right w:val="none" w:sz="0" w:space="0" w:color="auto"/>
      </w:divBdr>
    </w:div>
    <w:div w:id="1557549962">
      <w:bodyDiv w:val="1"/>
      <w:marLeft w:val="0"/>
      <w:marRight w:val="0"/>
      <w:marTop w:val="0"/>
      <w:marBottom w:val="0"/>
      <w:divBdr>
        <w:top w:val="none" w:sz="0" w:space="0" w:color="auto"/>
        <w:left w:val="none" w:sz="0" w:space="0" w:color="auto"/>
        <w:bottom w:val="none" w:sz="0" w:space="0" w:color="auto"/>
        <w:right w:val="none" w:sz="0" w:space="0" w:color="auto"/>
      </w:divBdr>
    </w:div>
    <w:div w:id="1561597070">
      <w:bodyDiv w:val="1"/>
      <w:marLeft w:val="0"/>
      <w:marRight w:val="0"/>
      <w:marTop w:val="0"/>
      <w:marBottom w:val="0"/>
      <w:divBdr>
        <w:top w:val="none" w:sz="0" w:space="0" w:color="auto"/>
        <w:left w:val="none" w:sz="0" w:space="0" w:color="auto"/>
        <w:bottom w:val="none" w:sz="0" w:space="0" w:color="auto"/>
        <w:right w:val="none" w:sz="0" w:space="0" w:color="auto"/>
      </w:divBdr>
    </w:div>
    <w:div w:id="1568875310">
      <w:bodyDiv w:val="1"/>
      <w:marLeft w:val="0"/>
      <w:marRight w:val="0"/>
      <w:marTop w:val="0"/>
      <w:marBottom w:val="0"/>
      <w:divBdr>
        <w:top w:val="none" w:sz="0" w:space="0" w:color="auto"/>
        <w:left w:val="none" w:sz="0" w:space="0" w:color="auto"/>
        <w:bottom w:val="none" w:sz="0" w:space="0" w:color="auto"/>
        <w:right w:val="none" w:sz="0" w:space="0" w:color="auto"/>
      </w:divBdr>
    </w:div>
    <w:div w:id="1581867021">
      <w:bodyDiv w:val="1"/>
      <w:marLeft w:val="0"/>
      <w:marRight w:val="0"/>
      <w:marTop w:val="0"/>
      <w:marBottom w:val="0"/>
      <w:divBdr>
        <w:top w:val="none" w:sz="0" w:space="0" w:color="auto"/>
        <w:left w:val="none" w:sz="0" w:space="0" w:color="auto"/>
        <w:bottom w:val="none" w:sz="0" w:space="0" w:color="auto"/>
        <w:right w:val="none" w:sz="0" w:space="0" w:color="auto"/>
      </w:divBdr>
      <w:divsChild>
        <w:div w:id="370308209">
          <w:marLeft w:val="1282"/>
          <w:marRight w:val="0"/>
          <w:marTop w:val="120"/>
          <w:marBottom w:val="120"/>
          <w:divBdr>
            <w:top w:val="none" w:sz="0" w:space="0" w:color="auto"/>
            <w:left w:val="none" w:sz="0" w:space="0" w:color="auto"/>
            <w:bottom w:val="none" w:sz="0" w:space="0" w:color="auto"/>
            <w:right w:val="none" w:sz="0" w:space="0" w:color="auto"/>
          </w:divBdr>
        </w:div>
        <w:div w:id="763381562">
          <w:marLeft w:val="1282"/>
          <w:marRight w:val="0"/>
          <w:marTop w:val="120"/>
          <w:marBottom w:val="200"/>
          <w:divBdr>
            <w:top w:val="none" w:sz="0" w:space="0" w:color="auto"/>
            <w:left w:val="none" w:sz="0" w:space="0" w:color="auto"/>
            <w:bottom w:val="none" w:sz="0" w:space="0" w:color="auto"/>
            <w:right w:val="none" w:sz="0" w:space="0" w:color="auto"/>
          </w:divBdr>
        </w:div>
        <w:div w:id="1101146972">
          <w:marLeft w:val="1282"/>
          <w:marRight w:val="0"/>
          <w:marTop w:val="120"/>
          <w:marBottom w:val="120"/>
          <w:divBdr>
            <w:top w:val="none" w:sz="0" w:space="0" w:color="auto"/>
            <w:left w:val="none" w:sz="0" w:space="0" w:color="auto"/>
            <w:bottom w:val="none" w:sz="0" w:space="0" w:color="auto"/>
            <w:right w:val="none" w:sz="0" w:space="0" w:color="auto"/>
          </w:divBdr>
        </w:div>
        <w:div w:id="1101295899">
          <w:marLeft w:val="562"/>
          <w:marRight w:val="0"/>
          <w:marTop w:val="120"/>
          <w:marBottom w:val="200"/>
          <w:divBdr>
            <w:top w:val="none" w:sz="0" w:space="0" w:color="auto"/>
            <w:left w:val="none" w:sz="0" w:space="0" w:color="auto"/>
            <w:bottom w:val="none" w:sz="0" w:space="0" w:color="auto"/>
            <w:right w:val="none" w:sz="0" w:space="0" w:color="auto"/>
          </w:divBdr>
        </w:div>
        <w:div w:id="1726876525">
          <w:marLeft w:val="562"/>
          <w:marRight w:val="0"/>
          <w:marTop w:val="120"/>
          <w:marBottom w:val="120"/>
          <w:divBdr>
            <w:top w:val="none" w:sz="0" w:space="0" w:color="auto"/>
            <w:left w:val="none" w:sz="0" w:space="0" w:color="auto"/>
            <w:bottom w:val="none" w:sz="0" w:space="0" w:color="auto"/>
            <w:right w:val="none" w:sz="0" w:space="0" w:color="auto"/>
          </w:divBdr>
        </w:div>
        <w:div w:id="1969125290">
          <w:marLeft w:val="562"/>
          <w:marRight w:val="0"/>
          <w:marTop w:val="120"/>
          <w:marBottom w:val="120"/>
          <w:divBdr>
            <w:top w:val="none" w:sz="0" w:space="0" w:color="auto"/>
            <w:left w:val="none" w:sz="0" w:space="0" w:color="auto"/>
            <w:bottom w:val="none" w:sz="0" w:space="0" w:color="auto"/>
            <w:right w:val="none" w:sz="0" w:space="0" w:color="auto"/>
          </w:divBdr>
        </w:div>
      </w:divsChild>
    </w:div>
    <w:div w:id="1588492785">
      <w:bodyDiv w:val="1"/>
      <w:marLeft w:val="0"/>
      <w:marRight w:val="0"/>
      <w:marTop w:val="0"/>
      <w:marBottom w:val="0"/>
      <w:divBdr>
        <w:top w:val="none" w:sz="0" w:space="0" w:color="auto"/>
        <w:left w:val="none" w:sz="0" w:space="0" w:color="auto"/>
        <w:bottom w:val="none" w:sz="0" w:space="0" w:color="auto"/>
        <w:right w:val="none" w:sz="0" w:space="0" w:color="auto"/>
      </w:divBdr>
    </w:div>
    <w:div w:id="1599868987">
      <w:bodyDiv w:val="1"/>
      <w:marLeft w:val="0"/>
      <w:marRight w:val="0"/>
      <w:marTop w:val="0"/>
      <w:marBottom w:val="0"/>
      <w:divBdr>
        <w:top w:val="none" w:sz="0" w:space="0" w:color="auto"/>
        <w:left w:val="none" w:sz="0" w:space="0" w:color="auto"/>
        <w:bottom w:val="none" w:sz="0" w:space="0" w:color="auto"/>
        <w:right w:val="none" w:sz="0" w:space="0" w:color="auto"/>
      </w:divBdr>
    </w:div>
    <w:div w:id="1603731756">
      <w:bodyDiv w:val="1"/>
      <w:marLeft w:val="0"/>
      <w:marRight w:val="0"/>
      <w:marTop w:val="0"/>
      <w:marBottom w:val="0"/>
      <w:divBdr>
        <w:top w:val="none" w:sz="0" w:space="0" w:color="auto"/>
        <w:left w:val="none" w:sz="0" w:space="0" w:color="auto"/>
        <w:bottom w:val="none" w:sz="0" w:space="0" w:color="auto"/>
        <w:right w:val="none" w:sz="0" w:space="0" w:color="auto"/>
      </w:divBdr>
    </w:div>
    <w:div w:id="1607225069">
      <w:bodyDiv w:val="1"/>
      <w:marLeft w:val="0"/>
      <w:marRight w:val="0"/>
      <w:marTop w:val="0"/>
      <w:marBottom w:val="0"/>
      <w:divBdr>
        <w:top w:val="none" w:sz="0" w:space="0" w:color="auto"/>
        <w:left w:val="none" w:sz="0" w:space="0" w:color="auto"/>
        <w:bottom w:val="none" w:sz="0" w:space="0" w:color="auto"/>
        <w:right w:val="none" w:sz="0" w:space="0" w:color="auto"/>
      </w:divBdr>
    </w:div>
    <w:div w:id="1614287439">
      <w:bodyDiv w:val="1"/>
      <w:marLeft w:val="0"/>
      <w:marRight w:val="0"/>
      <w:marTop w:val="0"/>
      <w:marBottom w:val="0"/>
      <w:divBdr>
        <w:top w:val="none" w:sz="0" w:space="0" w:color="auto"/>
        <w:left w:val="none" w:sz="0" w:space="0" w:color="auto"/>
        <w:bottom w:val="none" w:sz="0" w:space="0" w:color="auto"/>
        <w:right w:val="none" w:sz="0" w:space="0" w:color="auto"/>
      </w:divBdr>
    </w:div>
    <w:div w:id="1615945012">
      <w:bodyDiv w:val="1"/>
      <w:marLeft w:val="0"/>
      <w:marRight w:val="0"/>
      <w:marTop w:val="0"/>
      <w:marBottom w:val="0"/>
      <w:divBdr>
        <w:top w:val="none" w:sz="0" w:space="0" w:color="auto"/>
        <w:left w:val="none" w:sz="0" w:space="0" w:color="auto"/>
        <w:bottom w:val="none" w:sz="0" w:space="0" w:color="auto"/>
        <w:right w:val="none" w:sz="0" w:space="0" w:color="auto"/>
      </w:divBdr>
    </w:div>
    <w:div w:id="1636060389">
      <w:bodyDiv w:val="1"/>
      <w:marLeft w:val="0"/>
      <w:marRight w:val="0"/>
      <w:marTop w:val="0"/>
      <w:marBottom w:val="0"/>
      <w:divBdr>
        <w:top w:val="none" w:sz="0" w:space="0" w:color="auto"/>
        <w:left w:val="none" w:sz="0" w:space="0" w:color="auto"/>
        <w:bottom w:val="none" w:sz="0" w:space="0" w:color="auto"/>
        <w:right w:val="none" w:sz="0" w:space="0" w:color="auto"/>
      </w:divBdr>
    </w:div>
    <w:div w:id="1637757934">
      <w:bodyDiv w:val="1"/>
      <w:marLeft w:val="0"/>
      <w:marRight w:val="0"/>
      <w:marTop w:val="0"/>
      <w:marBottom w:val="0"/>
      <w:divBdr>
        <w:top w:val="none" w:sz="0" w:space="0" w:color="auto"/>
        <w:left w:val="none" w:sz="0" w:space="0" w:color="auto"/>
        <w:bottom w:val="none" w:sz="0" w:space="0" w:color="auto"/>
        <w:right w:val="none" w:sz="0" w:space="0" w:color="auto"/>
      </w:divBdr>
    </w:div>
    <w:div w:id="1638225166">
      <w:bodyDiv w:val="1"/>
      <w:marLeft w:val="0"/>
      <w:marRight w:val="0"/>
      <w:marTop w:val="0"/>
      <w:marBottom w:val="0"/>
      <w:divBdr>
        <w:top w:val="none" w:sz="0" w:space="0" w:color="auto"/>
        <w:left w:val="none" w:sz="0" w:space="0" w:color="auto"/>
        <w:bottom w:val="none" w:sz="0" w:space="0" w:color="auto"/>
        <w:right w:val="none" w:sz="0" w:space="0" w:color="auto"/>
      </w:divBdr>
    </w:div>
    <w:div w:id="1642464253">
      <w:bodyDiv w:val="1"/>
      <w:marLeft w:val="0"/>
      <w:marRight w:val="0"/>
      <w:marTop w:val="0"/>
      <w:marBottom w:val="0"/>
      <w:divBdr>
        <w:top w:val="none" w:sz="0" w:space="0" w:color="auto"/>
        <w:left w:val="none" w:sz="0" w:space="0" w:color="auto"/>
        <w:bottom w:val="none" w:sz="0" w:space="0" w:color="auto"/>
        <w:right w:val="none" w:sz="0" w:space="0" w:color="auto"/>
      </w:divBdr>
      <w:divsChild>
        <w:div w:id="241331717">
          <w:marLeft w:val="547"/>
          <w:marRight w:val="0"/>
          <w:marTop w:val="106"/>
          <w:marBottom w:val="0"/>
          <w:divBdr>
            <w:top w:val="none" w:sz="0" w:space="0" w:color="auto"/>
            <w:left w:val="none" w:sz="0" w:space="0" w:color="auto"/>
            <w:bottom w:val="none" w:sz="0" w:space="0" w:color="auto"/>
            <w:right w:val="none" w:sz="0" w:space="0" w:color="auto"/>
          </w:divBdr>
        </w:div>
      </w:divsChild>
    </w:div>
    <w:div w:id="1647468783">
      <w:bodyDiv w:val="1"/>
      <w:marLeft w:val="0"/>
      <w:marRight w:val="0"/>
      <w:marTop w:val="0"/>
      <w:marBottom w:val="0"/>
      <w:divBdr>
        <w:top w:val="none" w:sz="0" w:space="0" w:color="auto"/>
        <w:left w:val="none" w:sz="0" w:space="0" w:color="auto"/>
        <w:bottom w:val="none" w:sz="0" w:space="0" w:color="auto"/>
        <w:right w:val="none" w:sz="0" w:space="0" w:color="auto"/>
      </w:divBdr>
      <w:divsChild>
        <w:div w:id="1275939595">
          <w:marLeft w:val="1080"/>
          <w:marRight w:val="0"/>
          <w:marTop w:val="120"/>
          <w:marBottom w:val="120"/>
          <w:divBdr>
            <w:top w:val="none" w:sz="0" w:space="0" w:color="auto"/>
            <w:left w:val="none" w:sz="0" w:space="0" w:color="auto"/>
            <w:bottom w:val="none" w:sz="0" w:space="0" w:color="auto"/>
            <w:right w:val="none" w:sz="0" w:space="0" w:color="auto"/>
          </w:divBdr>
        </w:div>
        <w:div w:id="1664309720">
          <w:marLeft w:val="1080"/>
          <w:marRight w:val="0"/>
          <w:marTop w:val="120"/>
          <w:marBottom w:val="120"/>
          <w:divBdr>
            <w:top w:val="none" w:sz="0" w:space="0" w:color="auto"/>
            <w:left w:val="none" w:sz="0" w:space="0" w:color="auto"/>
            <w:bottom w:val="none" w:sz="0" w:space="0" w:color="auto"/>
            <w:right w:val="none" w:sz="0" w:space="0" w:color="auto"/>
          </w:divBdr>
        </w:div>
      </w:divsChild>
    </w:div>
    <w:div w:id="1657026450">
      <w:bodyDiv w:val="1"/>
      <w:marLeft w:val="0"/>
      <w:marRight w:val="0"/>
      <w:marTop w:val="0"/>
      <w:marBottom w:val="0"/>
      <w:divBdr>
        <w:top w:val="none" w:sz="0" w:space="0" w:color="auto"/>
        <w:left w:val="none" w:sz="0" w:space="0" w:color="auto"/>
        <w:bottom w:val="none" w:sz="0" w:space="0" w:color="auto"/>
        <w:right w:val="none" w:sz="0" w:space="0" w:color="auto"/>
      </w:divBdr>
    </w:div>
    <w:div w:id="1658263328">
      <w:bodyDiv w:val="1"/>
      <w:marLeft w:val="0"/>
      <w:marRight w:val="0"/>
      <w:marTop w:val="0"/>
      <w:marBottom w:val="0"/>
      <w:divBdr>
        <w:top w:val="none" w:sz="0" w:space="0" w:color="auto"/>
        <w:left w:val="none" w:sz="0" w:space="0" w:color="auto"/>
        <w:bottom w:val="none" w:sz="0" w:space="0" w:color="auto"/>
        <w:right w:val="none" w:sz="0" w:space="0" w:color="auto"/>
      </w:divBdr>
    </w:div>
    <w:div w:id="1677995998">
      <w:bodyDiv w:val="1"/>
      <w:marLeft w:val="0"/>
      <w:marRight w:val="0"/>
      <w:marTop w:val="0"/>
      <w:marBottom w:val="0"/>
      <w:divBdr>
        <w:top w:val="none" w:sz="0" w:space="0" w:color="auto"/>
        <w:left w:val="none" w:sz="0" w:space="0" w:color="auto"/>
        <w:bottom w:val="none" w:sz="0" w:space="0" w:color="auto"/>
        <w:right w:val="none" w:sz="0" w:space="0" w:color="auto"/>
      </w:divBdr>
    </w:div>
    <w:div w:id="1689212604">
      <w:bodyDiv w:val="1"/>
      <w:marLeft w:val="0"/>
      <w:marRight w:val="0"/>
      <w:marTop w:val="0"/>
      <w:marBottom w:val="0"/>
      <w:divBdr>
        <w:top w:val="none" w:sz="0" w:space="0" w:color="auto"/>
        <w:left w:val="none" w:sz="0" w:space="0" w:color="auto"/>
        <w:bottom w:val="none" w:sz="0" w:space="0" w:color="auto"/>
        <w:right w:val="none" w:sz="0" w:space="0" w:color="auto"/>
      </w:divBdr>
    </w:div>
    <w:div w:id="1697195455">
      <w:bodyDiv w:val="1"/>
      <w:marLeft w:val="0"/>
      <w:marRight w:val="0"/>
      <w:marTop w:val="0"/>
      <w:marBottom w:val="0"/>
      <w:divBdr>
        <w:top w:val="none" w:sz="0" w:space="0" w:color="auto"/>
        <w:left w:val="none" w:sz="0" w:space="0" w:color="auto"/>
        <w:bottom w:val="none" w:sz="0" w:space="0" w:color="auto"/>
        <w:right w:val="none" w:sz="0" w:space="0" w:color="auto"/>
      </w:divBdr>
    </w:div>
    <w:div w:id="1703508216">
      <w:bodyDiv w:val="1"/>
      <w:marLeft w:val="0"/>
      <w:marRight w:val="0"/>
      <w:marTop w:val="0"/>
      <w:marBottom w:val="0"/>
      <w:divBdr>
        <w:top w:val="none" w:sz="0" w:space="0" w:color="auto"/>
        <w:left w:val="none" w:sz="0" w:space="0" w:color="auto"/>
        <w:bottom w:val="none" w:sz="0" w:space="0" w:color="auto"/>
        <w:right w:val="none" w:sz="0" w:space="0" w:color="auto"/>
      </w:divBdr>
    </w:div>
    <w:div w:id="1712219413">
      <w:bodyDiv w:val="1"/>
      <w:marLeft w:val="0"/>
      <w:marRight w:val="0"/>
      <w:marTop w:val="0"/>
      <w:marBottom w:val="0"/>
      <w:divBdr>
        <w:top w:val="none" w:sz="0" w:space="0" w:color="auto"/>
        <w:left w:val="none" w:sz="0" w:space="0" w:color="auto"/>
        <w:bottom w:val="none" w:sz="0" w:space="0" w:color="auto"/>
        <w:right w:val="none" w:sz="0" w:space="0" w:color="auto"/>
      </w:divBdr>
    </w:div>
    <w:div w:id="1718158452">
      <w:bodyDiv w:val="1"/>
      <w:marLeft w:val="0"/>
      <w:marRight w:val="0"/>
      <w:marTop w:val="0"/>
      <w:marBottom w:val="0"/>
      <w:divBdr>
        <w:top w:val="none" w:sz="0" w:space="0" w:color="auto"/>
        <w:left w:val="none" w:sz="0" w:space="0" w:color="auto"/>
        <w:bottom w:val="none" w:sz="0" w:space="0" w:color="auto"/>
        <w:right w:val="none" w:sz="0" w:space="0" w:color="auto"/>
      </w:divBdr>
    </w:div>
    <w:div w:id="1726682554">
      <w:bodyDiv w:val="1"/>
      <w:marLeft w:val="0"/>
      <w:marRight w:val="0"/>
      <w:marTop w:val="0"/>
      <w:marBottom w:val="0"/>
      <w:divBdr>
        <w:top w:val="none" w:sz="0" w:space="0" w:color="auto"/>
        <w:left w:val="none" w:sz="0" w:space="0" w:color="auto"/>
        <w:bottom w:val="none" w:sz="0" w:space="0" w:color="auto"/>
        <w:right w:val="none" w:sz="0" w:space="0" w:color="auto"/>
      </w:divBdr>
    </w:div>
    <w:div w:id="1728843148">
      <w:bodyDiv w:val="1"/>
      <w:marLeft w:val="0"/>
      <w:marRight w:val="0"/>
      <w:marTop w:val="0"/>
      <w:marBottom w:val="0"/>
      <w:divBdr>
        <w:top w:val="none" w:sz="0" w:space="0" w:color="auto"/>
        <w:left w:val="none" w:sz="0" w:space="0" w:color="auto"/>
        <w:bottom w:val="none" w:sz="0" w:space="0" w:color="auto"/>
        <w:right w:val="none" w:sz="0" w:space="0" w:color="auto"/>
      </w:divBdr>
    </w:div>
    <w:div w:id="1742678687">
      <w:bodyDiv w:val="1"/>
      <w:marLeft w:val="0"/>
      <w:marRight w:val="0"/>
      <w:marTop w:val="0"/>
      <w:marBottom w:val="0"/>
      <w:divBdr>
        <w:top w:val="none" w:sz="0" w:space="0" w:color="auto"/>
        <w:left w:val="none" w:sz="0" w:space="0" w:color="auto"/>
        <w:bottom w:val="none" w:sz="0" w:space="0" w:color="auto"/>
        <w:right w:val="none" w:sz="0" w:space="0" w:color="auto"/>
      </w:divBdr>
    </w:div>
    <w:div w:id="1744449770">
      <w:bodyDiv w:val="1"/>
      <w:marLeft w:val="0"/>
      <w:marRight w:val="0"/>
      <w:marTop w:val="0"/>
      <w:marBottom w:val="0"/>
      <w:divBdr>
        <w:top w:val="none" w:sz="0" w:space="0" w:color="auto"/>
        <w:left w:val="none" w:sz="0" w:space="0" w:color="auto"/>
        <w:bottom w:val="none" w:sz="0" w:space="0" w:color="auto"/>
        <w:right w:val="none" w:sz="0" w:space="0" w:color="auto"/>
      </w:divBdr>
    </w:div>
    <w:div w:id="1757171456">
      <w:bodyDiv w:val="1"/>
      <w:marLeft w:val="0"/>
      <w:marRight w:val="0"/>
      <w:marTop w:val="0"/>
      <w:marBottom w:val="0"/>
      <w:divBdr>
        <w:top w:val="none" w:sz="0" w:space="0" w:color="auto"/>
        <w:left w:val="none" w:sz="0" w:space="0" w:color="auto"/>
        <w:bottom w:val="none" w:sz="0" w:space="0" w:color="auto"/>
        <w:right w:val="none" w:sz="0" w:space="0" w:color="auto"/>
      </w:divBdr>
    </w:div>
    <w:div w:id="1760519752">
      <w:bodyDiv w:val="1"/>
      <w:marLeft w:val="0"/>
      <w:marRight w:val="0"/>
      <w:marTop w:val="0"/>
      <w:marBottom w:val="0"/>
      <w:divBdr>
        <w:top w:val="none" w:sz="0" w:space="0" w:color="auto"/>
        <w:left w:val="none" w:sz="0" w:space="0" w:color="auto"/>
        <w:bottom w:val="none" w:sz="0" w:space="0" w:color="auto"/>
        <w:right w:val="none" w:sz="0" w:space="0" w:color="auto"/>
      </w:divBdr>
      <w:divsChild>
        <w:div w:id="341206142">
          <w:marLeft w:val="547"/>
          <w:marRight w:val="0"/>
          <w:marTop w:val="106"/>
          <w:marBottom w:val="0"/>
          <w:divBdr>
            <w:top w:val="none" w:sz="0" w:space="0" w:color="auto"/>
            <w:left w:val="none" w:sz="0" w:space="0" w:color="auto"/>
            <w:bottom w:val="none" w:sz="0" w:space="0" w:color="auto"/>
            <w:right w:val="none" w:sz="0" w:space="0" w:color="auto"/>
          </w:divBdr>
        </w:div>
      </w:divsChild>
    </w:div>
    <w:div w:id="1767311650">
      <w:bodyDiv w:val="1"/>
      <w:marLeft w:val="0"/>
      <w:marRight w:val="0"/>
      <w:marTop w:val="0"/>
      <w:marBottom w:val="0"/>
      <w:divBdr>
        <w:top w:val="none" w:sz="0" w:space="0" w:color="auto"/>
        <w:left w:val="none" w:sz="0" w:space="0" w:color="auto"/>
        <w:bottom w:val="none" w:sz="0" w:space="0" w:color="auto"/>
        <w:right w:val="none" w:sz="0" w:space="0" w:color="auto"/>
      </w:divBdr>
    </w:div>
    <w:div w:id="1770420960">
      <w:bodyDiv w:val="1"/>
      <w:marLeft w:val="0"/>
      <w:marRight w:val="0"/>
      <w:marTop w:val="0"/>
      <w:marBottom w:val="0"/>
      <w:divBdr>
        <w:top w:val="none" w:sz="0" w:space="0" w:color="auto"/>
        <w:left w:val="none" w:sz="0" w:space="0" w:color="auto"/>
        <w:bottom w:val="none" w:sz="0" w:space="0" w:color="auto"/>
        <w:right w:val="none" w:sz="0" w:space="0" w:color="auto"/>
      </w:divBdr>
    </w:div>
    <w:div w:id="1774518648">
      <w:bodyDiv w:val="1"/>
      <w:marLeft w:val="0"/>
      <w:marRight w:val="0"/>
      <w:marTop w:val="0"/>
      <w:marBottom w:val="0"/>
      <w:divBdr>
        <w:top w:val="none" w:sz="0" w:space="0" w:color="auto"/>
        <w:left w:val="none" w:sz="0" w:space="0" w:color="auto"/>
        <w:bottom w:val="none" w:sz="0" w:space="0" w:color="auto"/>
        <w:right w:val="none" w:sz="0" w:space="0" w:color="auto"/>
      </w:divBdr>
    </w:div>
    <w:div w:id="1778254360">
      <w:bodyDiv w:val="1"/>
      <w:marLeft w:val="0"/>
      <w:marRight w:val="0"/>
      <w:marTop w:val="0"/>
      <w:marBottom w:val="0"/>
      <w:divBdr>
        <w:top w:val="none" w:sz="0" w:space="0" w:color="auto"/>
        <w:left w:val="none" w:sz="0" w:space="0" w:color="auto"/>
        <w:bottom w:val="none" w:sz="0" w:space="0" w:color="auto"/>
        <w:right w:val="none" w:sz="0" w:space="0" w:color="auto"/>
      </w:divBdr>
    </w:div>
    <w:div w:id="1791239361">
      <w:bodyDiv w:val="1"/>
      <w:marLeft w:val="0"/>
      <w:marRight w:val="0"/>
      <w:marTop w:val="0"/>
      <w:marBottom w:val="0"/>
      <w:divBdr>
        <w:top w:val="none" w:sz="0" w:space="0" w:color="auto"/>
        <w:left w:val="none" w:sz="0" w:space="0" w:color="auto"/>
        <w:bottom w:val="none" w:sz="0" w:space="0" w:color="auto"/>
        <w:right w:val="none" w:sz="0" w:space="0" w:color="auto"/>
      </w:divBdr>
    </w:div>
    <w:div w:id="1804808743">
      <w:bodyDiv w:val="1"/>
      <w:marLeft w:val="0"/>
      <w:marRight w:val="0"/>
      <w:marTop w:val="0"/>
      <w:marBottom w:val="0"/>
      <w:divBdr>
        <w:top w:val="none" w:sz="0" w:space="0" w:color="auto"/>
        <w:left w:val="none" w:sz="0" w:space="0" w:color="auto"/>
        <w:bottom w:val="none" w:sz="0" w:space="0" w:color="auto"/>
        <w:right w:val="none" w:sz="0" w:space="0" w:color="auto"/>
      </w:divBdr>
    </w:div>
    <w:div w:id="1811904214">
      <w:bodyDiv w:val="1"/>
      <w:marLeft w:val="0"/>
      <w:marRight w:val="0"/>
      <w:marTop w:val="0"/>
      <w:marBottom w:val="0"/>
      <w:divBdr>
        <w:top w:val="none" w:sz="0" w:space="0" w:color="auto"/>
        <w:left w:val="none" w:sz="0" w:space="0" w:color="auto"/>
        <w:bottom w:val="none" w:sz="0" w:space="0" w:color="auto"/>
        <w:right w:val="none" w:sz="0" w:space="0" w:color="auto"/>
      </w:divBdr>
      <w:divsChild>
        <w:div w:id="202253070">
          <w:marLeft w:val="562"/>
          <w:marRight w:val="0"/>
          <w:marTop w:val="120"/>
          <w:marBottom w:val="120"/>
          <w:divBdr>
            <w:top w:val="none" w:sz="0" w:space="0" w:color="auto"/>
            <w:left w:val="none" w:sz="0" w:space="0" w:color="auto"/>
            <w:bottom w:val="none" w:sz="0" w:space="0" w:color="auto"/>
            <w:right w:val="none" w:sz="0" w:space="0" w:color="auto"/>
          </w:divBdr>
        </w:div>
        <w:div w:id="211772845">
          <w:marLeft w:val="562"/>
          <w:marRight w:val="0"/>
          <w:marTop w:val="120"/>
          <w:marBottom w:val="200"/>
          <w:divBdr>
            <w:top w:val="none" w:sz="0" w:space="0" w:color="auto"/>
            <w:left w:val="none" w:sz="0" w:space="0" w:color="auto"/>
            <w:bottom w:val="none" w:sz="0" w:space="0" w:color="auto"/>
            <w:right w:val="none" w:sz="0" w:space="0" w:color="auto"/>
          </w:divBdr>
        </w:div>
        <w:div w:id="225649502">
          <w:marLeft w:val="562"/>
          <w:marRight w:val="0"/>
          <w:marTop w:val="120"/>
          <w:marBottom w:val="120"/>
          <w:divBdr>
            <w:top w:val="none" w:sz="0" w:space="0" w:color="auto"/>
            <w:left w:val="none" w:sz="0" w:space="0" w:color="auto"/>
            <w:bottom w:val="none" w:sz="0" w:space="0" w:color="auto"/>
            <w:right w:val="none" w:sz="0" w:space="0" w:color="auto"/>
          </w:divBdr>
        </w:div>
        <w:div w:id="760611106">
          <w:marLeft w:val="1282"/>
          <w:marRight w:val="0"/>
          <w:marTop w:val="120"/>
          <w:marBottom w:val="120"/>
          <w:divBdr>
            <w:top w:val="none" w:sz="0" w:space="0" w:color="auto"/>
            <w:left w:val="none" w:sz="0" w:space="0" w:color="auto"/>
            <w:bottom w:val="none" w:sz="0" w:space="0" w:color="auto"/>
            <w:right w:val="none" w:sz="0" w:space="0" w:color="auto"/>
          </w:divBdr>
        </w:div>
        <w:div w:id="767699430">
          <w:marLeft w:val="1282"/>
          <w:marRight w:val="0"/>
          <w:marTop w:val="120"/>
          <w:marBottom w:val="200"/>
          <w:divBdr>
            <w:top w:val="none" w:sz="0" w:space="0" w:color="auto"/>
            <w:left w:val="none" w:sz="0" w:space="0" w:color="auto"/>
            <w:bottom w:val="none" w:sz="0" w:space="0" w:color="auto"/>
            <w:right w:val="none" w:sz="0" w:space="0" w:color="auto"/>
          </w:divBdr>
        </w:div>
        <w:div w:id="1993606621">
          <w:marLeft w:val="1282"/>
          <w:marRight w:val="0"/>
          <w:marTop w:val="120"/>
          <w:marBottom w:val="120"/>
          <w:divBdr>
            <w:top w:val="none" w:sz="0" w:space="0" w:color="auto"/>
            <w:left w:val="none" w:sz="0" w:space="0" w:color="auto"/>
            <w:bottom w:val="none" w:sz="0" w:space="0" w:color="auto"/>
            <w:right w:val="none" w:sz="0" w:space="0" w:color="auto"/>
          </w:divBdr>
        </w:div>
      </w:divsChild>
    </w:div>
    <w:div w:id="1815483686">
      <w:bodyDiv w:val="1"/>
      <w:marLeft w:val="0"/>
      <w:marRight w:val="0"/>
      <w:marTop w:val="0"/>
      <w:marBottom w:val="0"/>
      <w:divBdr>
        <w:top w:val="none" w:sz="0" w:space="0" w:color="auto"/>
        <w:left w:val="none" w:sz="0" w:space="0" w:color="auto"/>
        <w:bottom w:val="none" w:sz="0" w:space="0" w:color="auto"/>
        <w:right w:val="none" w:sz="0" w:space="0" w:color="auto"/>
      </w:divBdr>
    </w:div>
    <w:div w:id="1817144212">
      <w:bodyDiv w:val="1"/>
      <w:marLeft w:val="0"/>
      <w:marRight w:val="0"/>
      <w:marTop w:val="0"/>
      <w:marBottom w:val="0"/>
      <w:divBdr>
        <w:top w:val="none" w:sz="0" w:space="0" w:color="auto"/>
        <w:left w:val="none" w:sz="0" w:space="0" w:color="auto"/>
        <w:bottom w:val="none" w:sz="0" w:space="0" w:color="auto"/>
        <w:right w:val="none" w:sz="0" w:space="0" w:color="auto"/>
      </w:divBdr>
    </w:div>
    <w:div w:id="1818766030">
      <w:bodyDiv w:val="1"/>
      <w:marLeft w:val="0"/>
      <w:marRight w:val="0"/>
      <w:marTop w:val="0"/>
      <w:marBottom w:val="0"/>
      <w:divBdr>
        <w:top w:val="none" w:sz="0" w:space="0" w:color="auto"/>
        <w:left w:val="none" w:sz="0" w:space="0" w:color="auto"/>
        <w:bottom w:val="none" w:sz="0" w:space="0" w:color="auto"/>
        <w:right w:val="none" w:sz="0" w:space="0" w:color="auto"/>
      </w:divBdr>
    </w:div>
    <w:div w:id="1825202780">
      <w:bodyDiv w:val="1"/>
      <w:marLeft w:val="0"/>
      <w:marRight w:val="0"/>
      <w:marTop w:val="0"/>
      <w:marBottom w:val="0"/>
      <w:divBdr>
        <w:top w:val="none" w:sz="0" w:space="0" w:color="auto"/>
        <w:left w:val="none" w:sz="0" w:space="0" w:color="auto"/>
        <w:bottom w:val="none" w:sz="0" w:space="0" w:color="auto"/>
        <w:right w:val="none" w:sz="0" w:space="0" w:color="auto"/>
      </w:divBdr>
      <w:divsChild>
        <w:div w:id="18623861">
          <w:marLeft w:val="562"/>
          <w:marRight w:val="0"/>
          <w:marTop w:val="120"/>
          <w:marBottom w:val="120"/>
          <w:divBdr>
            <w:top w:val="none" w:sz="0" w:space="0" w:color="auto"/>
            <w:left w:val="none" w:sz="0" w:space="0" w:color="auto"/>
            <w:bottom w:val="none" w:sz="0" w:space="0" w:color="auto"/>
            <w:right w:val="none" w:sz="0" w:space="0" w:color="auto"/>
          </w:divBdr>
        </w:div>
        <w:div w:id="218589107">
          <w:marLeft w:val="1282"/>
          <w:marRight w:val="0"/>
          <w:marTop w:val="120"/>
          <w:marBottom w:val="200"/>
          <w:divBdr>
            <w:top w:val="none" w:sz="0" w:space="0" w:color="auto"/>
            <w:left w:val="none" w:sz="0" w:space="0" w:color="auto"/>
            <w:bottom w:val="none" w:sz="0" w:space="0" w:color="auto"/>
            <w:right w:val="none" w:sz="0" w:space="0" w:color="auto"/>
          </w:divBdr>
        </w:div>
        <w:div w:id="660813850">
          <w:marLeft w:val="1282"/>
          <w:marRight w:val="0"/>
          <w:marTop w:val="120"/>
          <w:marBottom w:val="120"/>
          <w:divBdr>
            <w:top w:val="none" w:sz="0" w:space="0" w:color="auto"/>
            <w:left w:val="none" w:sz="0" w:space="0" w:color="auto"/>
            <w:bottom w:val="none" w:sz="0" w:space="0" w:color="auto"/>
            <w:right w:val="none" w:sz="0" w:space="0" w:color="auto"/>
          </w:divBdr>
        </w:div>
        <w:div w:id="1410152338">
          <w:marLeft w:val="562"/>
          <w:marRight w:val="0"/>
          <w:marTop w:val="120"/>
          <w:marBottom w:val="200"/>
          <w:divBdr>
            <w:top w:val="none" w:sz="0" w:space="0" w:color="auto"/>
            <w:left w:val="none" w:sz="0" w:space="0" w:color="auto"/>
            <w:bottom w:val="none" w:sz="0" w:space="0" w:color="auto"/>
            <w:right w:val="none" w:sz="0" w:space="0" w:color="auto"/>
          </w:divBdr>
        </w:div>
        <w:div w:id="2057389104">
          <w:marLeft w:val="562"/>
          <w:marRight w:val="0"/>
          <w:marTop w:val="120"/>
          <w:marBottom w:val="120"/>
          <w:divBdr>
            <w:top w:val="none" w:sz="0" w:space="0" w:color="auto"/>
            <w:left w:val="none" w:sz="0" w:space="0" w:color="auto"/>
            <w:bottom w:val="none" w:sz="0" w:space="0" w:color="auto"/>
            <w:right w:val="none" w:sz="0" w:space="0" w:color="auto"/>
          </w:divBdr>
        </w:div>
        <w:div w:id="2109277823">
          <w:marLeft w:val="1282"/>
          <w:marRight w:val="0"/>
          <w:marTop w:val="120"/>
          <w:marBottom w:val="120"/>
          <w:divBdr>
            <w:top w:val="none" w:sz="0" w:space="0" w:color="auto"/>
            <w:left w:val="none" w:sz="0" w:space="0" w:color="auto"/>
            <w:bottom w:val="none" w:sz="0" w:space="0" w:color="auto"/>
            <w:right w:val="none" w:sz="0" w:space="0" w:color="auto"/>
          </w:divBdr>
        </w:div>
      </w:divsChild>
    </w:div>
    <w:div w:id="1826555477">
      <w:bodyDiv w:val="1"/>
      <w:marLeft w:val="0"/>
      <w:marRight w:val="0"/>
      <w:marTop w:val="0"/>
      <w:marBottom w:val="0"/>
      <w:divBdr>
        <w:top w:val="none" w:sz="0" w:space="0" w:color="auto"/>
        <w:left w:val="none" w:sz="0" w:space="0" w:color="auto"/>
        <w:bottom w:val="none" w:sz="0" w:space="0" w:color="auto"/>
        <w:right w:val="none" w:sz="0" w:space="0" w:color="auto"/>
      </w:divBdr>
    </w:div>
    <w:div w:id="1830245313">
      <w:bodyDiv w:val="1"/>
      <w:marLeft w:val="0"/>
      <w:marRight w:val="0"/>
      <w:marTop w:val="0"/>
      <w:marBottom w:val="0"/>
      <w:divBdr>
        <w:top w:val="none" w:sz="0" w:space="0" w:color="auto"/>
        <w:left w:val="none" w:sz="0" w:space="0" w:color="auto"/>
        <w:bottom w:val="none" w:sz="0" w:space="0" w:color="auto"/>
        <w:right w:val="none" w:sz="0" w:space="0" w:color="auto"/>
      </w:divBdr>
    </w:div>
    <w:div w:id="1841969779">
      <w:bodyDiv w:val="1"/>
      <w:marLeft w:val="0"/>
      <w:marRight w:val="0"/>
      <w:marTop w:val="0"/>
      <w:marBottom w:val="0"/>
      <w:divBdr>
        <w:top w:val="none" w:sz="0" w:space="0" w:color="auto"/>
        <w:left w:val="none" w:sz="0" w:space="0" w:color="auto"/>
        <w:bottom w:val="none" w:sz="0" w:space="0" w:color="auto"/>
        <w:right w:val="none" w:sz="0" w:space="0" w:color="auto"/>
      </w:divBdr>
    </w:div>
    <w:div w:id="1846438159">
      <w:bodyDiv w:val="1"/>
      <w:marLeft w:val="0"/>
      <w:marRight w:val="0"/>
      <w:marTop w:val="0"/>
      <w:marBottom w:val="0"/>
      <w:divBdr>
        <w:top w:val="none" w:sz="0" w:space="0" w:color="auto"/>
        <w:left w:val="none" w:sz="0" w:space="0" w:color="auto"/>
        <w:bottom w:val="none" w:sz="0" w:space="0" w:color="auto"/>
        <w:right w:val="none" w:sz="0" w:space="0" w:color="auto"/>
      </w:divBdr>
    </w:div>
    <w:div w:id="1855457283">
      <w:bodyDiv w:val="1"/>
      <w:marLeft w:val="0"/>
      <w:marRight w:val="0"/>
      <w:marTop w:val="0"/>
      <w:marBottom w:val="0"/>
      <w:divBdr>
        <w:top w:val="none" w:sz="0" w:space="0" w:color="auto"/>
        <w:left w:val="none" w:sz="0" w:space="0" w:color="auto"/>
        <w:bottom w:val="none" w:sz="0" w:space="0" w:color="auto"/>
        <w:right w:val="none" w:sz="0" w:space="0" w:color="auto"/>
      </w:divBdr>
    </w:div>
    <w:div w:id="1870364345">
      <w:bodyDiv w:val="1"/>
      <w:marLeft w:val="0"/>
      <w:marRight w:val="0"/>
      <w:marTop w:val="0"/>
      <w:marBottom w:val="0"/>
      <w:divBdr>
        <w:top w:val="none" w:sz="0" w:space="0" w:color="auto"/>
        <w:left w:val="none" w:sz="0" w:space="0" w:color="auto"/>
        <w:bottom w:val="none" w:sz="0" w:space="0" w:color="auto"/>
        <w:right w:val="none" w:sz="0" w:space="0" w:color="auto"/>
      </w:divBdr>
    </w:div>
    <w:div w:id="1871527968">
      <w:bodyDiv w:val="1"/>
      <w:marLeft w:val="0"/>
      <w:marRight w:val="0"/>
      <w:marTop w:val="0"/>
      <w:marBottom w:val="0"/>
      <w:divBdr>
        <w:top w:val="none" w:sz="0" w:space="0" w:color="auto"/>
        <w:left w:val="none" w:sz="0" w:space="0" w:color="auto"/>
        <w:bottom w:val="none" w:sz="0" w:space="0" w:color="auto"/>
        <w:right w:val="none" w:sz="0" w:space="0" w:color="auto"/>
      </w:divBdr>
    </w:div>
    <w:div w:id="1875924774">
      <w:bodyDiv w:val="1"/>
      <w:marLeft w:val="0"/>
      <w:marRight w:val="0"/>
      <w:marTop w:val="0"/>
      <w:marBottom w:val="0"/>
      <w:divBdr>
        <w:top w:val="none" w:sz="0" w:space="0" w:color="auto"/>
        <w:left w:val="none" w:sz="0" w:space="0" w:color="auto"/>
        <w:bottom w:val="none" w:sz="0" w:space="0" w:color="auto"/>
        <w:right w:val="none" w:sz="0" w:space="0" w:color="auto"/>
      </w:divBdr>
    </w:div>
    <w:div w:id="1877153027">
      <w:bodyDiv w:val="1"/>
      <w:marLeft w:val="0"/>
      <w:marRight w:val="0"/>
      <w:marTop w:val="0"/>
      <w:marBottom w:val="0"/>
      <w:divBdr>
        <w:top w:val="none" w:sz="0" w:space="0" w:color="auto"/>
        <w:left w:val="none" w:sz="0" w:space="0" w:color="auto"/>
        <w:bottom w:val="none" w:sz="0" w:space="0" w:color="auto"/>
        <w:right w:val="none" w:sz="0" w:space="0" w:color="auto"/>
      </w:divBdr>
    </w:div>
    <w:div w:id="1880703690">
      <w:bodyDiv w:val="1"/>
      <w:marLeft w:val="0"/>
      <w:marRight w:val="0"/>
      <w:marTop w:val="0"/>
      <w:marBottom w:val="0"/>
      <w:divBdr>
        <w:top w:val="none" w:sz="0" w:space="0" w:color="auto"/>
        <w:left w:val="none" w:sz="0" w:space="0" w:color="auto"/>
        <w:bottom w:val="none" w:sz="0" w:space="0" w:color="auto"/>
        <w:right w:val="none" w:sz="0" w:space="0" w:color="auto"/>
      </w:divBdr>
    </w:div>
    <w:div w:id="1906910099">
      <w:bodyDiv w:val="1"/>
      <w:marLeft w:val="0"/>
      <w:marRight w:val="0"/>
      <w:marTop w:val="0"/>
      <w:marBottom w:val="0"/>
      <w:divBdr>
        <w:top w:val="none" w:sz="0" w:space="0" w:color="auto"/>
        <w:left w:val="none" w:sz="0" w:space="0" w:color="auto"/>
        <w:bottom w:val="none" w:sz="0" w:space="0" w:color="auto"/>
        <w:right w:val="none" w:sz="0" w:space="0" w:color="auto"/>
      </w:divBdr>
    </w:div>
    <w:div w:id="1909343184">
      <w:bodyDiv w:val="1"/>
      <w:marLeft w:val="0"/>
      <w:marRight w:val="0"/>
      <w:marTop w:val="0"/>
      <w:marBottom w:val="0"/>
      <w:divBdr>
        <w:top w:val="none" w:sz="0" w:space="0" w:color="auto"/>
        <w:left w:val="none" w:sz="0" w:space="0" w:color="auto"/>
        <w:bottom w:val="none" w:sz="0" w:space="0" w:color="auto"/>
        <w:right w:val="none" w:sz="0" w:space="0" w:color="auto"/>
      </w:divBdr>
    </w:div>
    <w:div w:id="1930960763">
      <w:bodyDiv w:val="1"/>
      <w:marLeft w:val="0"/>
      <w:marRight w:val="0"/>
      <w:marTop w:val="0"/>
      <w:marBottom w:val="0"/>
      <w:divBdr>
        <w:top w:val="none" w:sz="0" w:space="0" w:color="auto"/>
        <w:left w:val="none" w:sz="0" w:space="0" w:color="auto"/>
        <w:bottom w:val="none" w:sz="0" w:space="0" w:color="auto"/>
        <w:right w:val="none" w:sz="0" w:space="0" w:color="auto"/>
      </w:divBdr>
    </w:div>
    <w:div w:id="1933463511">
      <w:bodyDiv w:val="1"/>
      <w:marLeft w:val="0"/>
      <w:marRight w:val="0"/>
      <w:marTop w:val="0"/>
      <w:marBottom w:val="0"/>
      <w:divBdr>
        <w:top w:val="none" w:sz="0" w:space="0" w:color="auto"/>
        <w:left w:val="none" w:sz="0" w:space="0" w:color="auto"/>
        <w:bottom w:val="none" w:sz="0" w:space="0" w:color="auto"/>
        <w:right w:val="none" w:sz="0" w:space="0" w:color="auto"/>
      </w:divBdr>
    </w:div>
    <w:div w:id="1936207808">
      <w:bodyDiv w:val="1"/>
      <w:marLeft w:val="0"/>
      <w:marRight w:val="0"/>
      <w:marTop w:val="0"/>
      <w:marBottom w:val="0"/>
      <w:divBdr>
        <w:top w:val="none" w:sz="0" w:space="0" w:color="auto"/>
        <w:left w:val="none" w:sz="0" w:space="0" w:color="auto"/>
        <w:bottom w:val="none" w:sz="0" w:space="0" w:color="auto"/>
        <w:right w:val="none" w:sz="0" w:space="0" w:color="auto"/>
      </w:divBdr>
    </w:div>
    <w:div w:id="1946617075">
      <w:bodyDiv w:val="1"/>
      <w:marLeft w:val="0"/>
      <w:marRight w:val="0"/>
      <w:marTop w:val="0"/>
      <w:marBottom w:val="0"/>
      <w:divBdr>
        <w:top w:val="none" w:sz="0" w:space="0" w:color="auto"/>
        <w:left w:val="none" w:sz="0" w:space="0" w:color="auto"/>
        <w:bottom w:val="none" w:sz="0" w:space="0" w:color="auto"/>
        <w:right w:val="none" w:sz="0" w:space="0" w:color="auto"/>
      </w:divBdr>
    </w:div>
    <w:div w:id="1947887119">
      <w:bodyDiv w:val="1"/>
      <w:marLeft w:val="0"/>
      <w:marRight w:val="0"/>
      <w:marTop w:val="0"/>
      <w:marBottom w:val="0"/>
      <w:divBdr>
        <w:top w:val="none" w:sz="0" w:space="0" w:color="auto"/>
        <w:left w:val="none" w:sz="0" w:space="0" w:color="auto"/>
        <w:bottom w:val="none" w:sz="0" w:space="0" w:color="auto"/>
        <w:right w:val="none" w:sz="0" w:space="0" w:color="auto"/>
      </w:divBdr>
    </w:div>
    <w:div w:id="1954287817">
      <w:bodyDiv w:val="1"/>
      <w:marLeft w:val="0"/>
      <w:marRight w:val="0"/>
      <w:marTop w:val="0"/>
      <w:marBottom w:val="0"/>
      <w:divBdr>
        <w:top w:val="none" w:sz="0" w:space="0" w:color="auto"/>
        <w:left w:val="none" w:sz="0" w:space="0" w:color="auto"/>
        <w:bottom w:val="none" w:sz="0" w:space="0" w:color="auto"/>
        <w:right w:val="none" w:sz="0" w:space="0" w:color="auto"/>
      </w:divBdr>
    </w:div>
    <w:div w:id="1957717809">
      <w:bodyDiv w:val="1"/>
      <w:marLeft w:val="0"/>
      <w:marRight w:val="0"/>
      <w:marTop w:val="0"/>
      <w:marBottom w:val="0"/>
      <w:divBdr>
        <w:top w:val="none" w:sz="0" w:space="0" w:color="auto"/>
        <w:left w:val="none" w:sz="0" w:space="0" w:color="auto"/>
        <w:bottom w:val="none" w:sz="0" w:space="0" w:color="auto"/>
        <w:right w:val="none" w:sz="0" w:space="0" w:color="auto"/>
      </w:divBdr>
    </w:div>
    <w:div w:id="1968194236">
      <w:bodyDiv w:val="1"/>
      <w:marLeft w:val="0"/>
      <w:marRight w:val="0"/>
      <w:marTop w:val="0"/>
      <w:marBottom w:val="0"/>
      <w:divBdr>
        <w:top w:val="none" w:sz="0" w:space="0" w:color="auto"/>
        <w:left w:val="none" w:sz="0" w:space="0" w:color="auto"/>
        <w:bottom w:val="none" w:sz="0" w:space="0" w:color="auto"/>
        <w:right w:val="none" w:sz="0" w:space="0" w:color="auto"/>
      </w:divBdr>
    </w:div>
    <w:div w:id="1971935031">
      <w:bodyDiv w:val="1"/>
      <w:marLeft w:val="0"/>
      <w:marRight w:val="0"/>
      <w:marTop w:val="0"/>
      <w:marBottom w:val="0"/>
      <w:divBdr>
        <w:top w:val="none" w:sz="0" w:space="0" w:color="auto"/>
        <w:left w:val="none" w:sz="0" w:space="0" w:color="auto"/>
        <w:bottom w:val="none" w:sz="0" w:space="0" w:color="auto"/>
        <w:right w:val="none" w:sz="0" w:space="0" w:color="auto"/>
      </w:divBdr>
    </w:div>
    <w:div w:id="1987277966">
      <w:bodyDiv w:val="1"/>
      <w:marLeft w:val="0"/>
      <w:marRight w:val="0"/>
      <w:marTop w:val="0"/>
      <w:marBottom w:val="0"/>
      <w:divBdr>
        <w:top w:val="none" w:sz="0" w:space="0" w:color="auto"/>
        <w:left w:val="none" w:sz="0" w:space="0" w:color="auto"/>
        <w:bottom w:val="none" w:sz="0" w:space="0" w:color="auto"/>
        <w:right w:val="none" w:sz="0" w:space="0" w:color="auto"/>
      </w:divBdr>
    </w:div>
    <w:div w:id="1992951303">
      <w:bodyDiv w:val="1"/>
      <w:marLeft w:val="0"/>
      <w:marRight w:val="0"/>
      <w:marTop w:val="0"/>
      <w:marBottom w:val="0"/>
      <w:divBdr>
        <w:top w:val="none" w:sz="0" w:space="0" w:color="auto"/>
        <w:left w:val="none" w:sz="0" w:space="0" w:color="auto"/>
        <w:bottom w:val="none" w:sz="0" w:space="0" w:color="auto"/>
        <w:right w:val="none" w:sz="0" w:space="0" w:color="auto"/>
      </w:divBdr>
      <w:divsChild>
        <w:div w:id="769548481">
          <w:marLeft w:val="1166"/>
          <w:marRight w:val="0"/>
          <w:marTop w:val="120"/>
          <w:marBottom w:val="120"/>
          <w:divBdr>
            <w:top w:val="none" w:sz="0" w:space="0" w:color="auto"/>
            <w:left w:val="none" w:sz="0" w:space="0" w:color="auto"/>
            <w:bottom w:val="none" w:sz="0" w:space="0" w:color="auto"/>
            <w:right w:val="none" w:sz="0" w:space="0" w:color="auto"/>
          </w:divBdr>
        </w:div>
        <w:div w:id="781536702">
          <w:marLeft w:val="2606"/>
          <w:marRight w:val="0"/>
          <w:marTop w:val="120"/>
          <w:marBottom w:val="120"/>
          <w:divBdr>
            <w:top w:val="none" w:sz="0" w:space="0" w:color="auto"/>
            <w:left w:val="none" w:sz="0" w:space="0" w:color="auto"/>
            <w:bottom w:val="none" w:sz="0" w:space="0" w:color="auto"/>
            <w:right w:val="none" w:sz="0" w:space="0" w:color="auto"/>
          </w:divBdr>
        </w:div>
        <w:div w:id="1360593602">
          <w:marLeft w:val="1166"/>
          <w:marRight w:val="0"/>
          <w:marTop w:val="120"/>
          <w:marBottom w:val="120"/>
          <w:divBdr>
            <w:top w:val="none" w:sz="0" w:space="0" w:color="auto"/>
            <w:left w:val="none" w:sz="0" w:space="0" w:color="auto"/>
            <w:bottom w:val="none" w:sz="0" w:space="0" w:color="auto"/>
            <w:right w:val="none" w:sz="0" w:space="0" w:color="auto"/>
          </w:divBdr>
        </w:div>
        <w:div w:id="1911234731">
          <w:marLeft w:val="2606"/>
          <w:marRight w:val="0"/>
          <w:marTop w:val="120"/>
          <w:marBottom w:val="120"/>
          <w:divBdr>
            <w:top w:val="none" w:sz="0" w:space="0" w:color="auto"/>
            <w:left w:val="none" w:sz="0" w:space="0" w:color="auto"/>
            <w:bottom w:val="none" w:sz="0" w:space="0" w:color="auto"/>
            <w:right w:val="none" w:sz="0" w:space="0" w:color="auto"/>
          </w:divBdr>
        </w:div>
      </w:divsChild>
    </w:div>
    <w:div w:id="2012175746">
      <w:bodyDiv w:val="1"/>
      <w:marLeft w:val="0"/>
      <w:marRight w:val="0"/>
      <w:marTop w:val="0"/>
      <w:marBottom w:val="0"/>
      <w:divBdr>
        <w:top w:val="none" w:sz="0" w:space="0" w:color="auto"/>
        <w:left w:val="none" w:sz="0" w:space="0" w:color="auto"/>
        <w:bottom w:val="none" w:sz="0" w:space="0" w:color="auto"/>
        <w:right w:val="none" w:sz="0" w:space="0" w:color="auto"/>
      </w:divBdr>
    </w:div>
    <w:div w:id="2026977558">
      <w:bodyDiv w:val="1"/>
      <w:marLeft w:val="0"/>
      <w:marRight w:val="0"/>
      <w:marTop w:val="0"/>
      <w:marBottom w:val="0"/>
      <w:divBdr>
        <w:top w:val="none" w:sz="0" w:space="0" w:color="auto"/>
        <w:left w:val="none" w:sz="0" w:space="0" w:color="auto"/>
        <w:bottom w:val="none" w:sz="0" w:space="0" w:color="auto"/>
        <w:right w:val="none" w:sz="0" w:space="0" w:color="auto"/>
      </w:divBdr>
    </w:div>
    <w:div w:id="2028753078">
      <w:bodyDiv w:val="1"/>
      <w:marLeft w:val="0"/>
      <w:marRight w:val="0"/>
      <w:marTop w:val="0"/>
      <w:marBottom w:val="0"/>
      <w:divBdr>
        <w:top w:val="none" w:sz="0" w:space="0" w:color="auto"/>
        <w:left w:val="none" w:sz="0" w:space="0" w:color="auto"/>
        <w:bottom w:val="none" w:sz="0" w:space="0" w:color="auto"/>
        <w:right w:val="none" w:sz="0" w:space="0" w:color="auto"/>
      </w:divBdr>
    </w:div>
    <w:div w:id="2035615408">
      <w:bodyDiv w:val="1"/>
      <w:marLeft w:val="0"/>
      <w:marRight w:val="0"/>
      <w:marTop w:val="0"/>
      <w:marBottom w:val="0"/>
      <w:divBdr>
        <w:top w:val="none" w:sz="0" w:space="0" w:color="auto"/>
        <w:left w:val="none" w:sz="0" w:space="0" w:color="auto"/>
        <w:bottom w:val="none" w:sz="0" w:space="0" w:color="auto"/>
        <w:right w:val="none" w:sz="0" w:space="0" w:color="auto"/>
      </w:divBdr>
    </w:div>
    <w:div w:id="2037845497">
      <w:bodyDiv w:val="1"/>
      <w:marLeft w:val="0"/>
      <w:marRight w:val="0"/>
      <w:marTop w:val="0"/>
      <w:marBottom w:val="0"/>
      <w:divBdr>
        <w:top w:val="none" w:sz="0" w:space="0" w:color="auto"/>
        <w:left w:val="none" w:sz="0" w:space="0" w:color="auto"/>
        <w:bottom w:val="none" w:sz="0" w:space="0" w:color="auto"/>
        <w:right w:val="none" w:sz="0" w:space="0" w:color="auto"/>
      </w:divBdr>
    </w:div>
    <w:div w:id="2040162398">
      <w:bodyDiv w:val="1"/>
      <w:marLeft w:val="0"/>
      <w:marRight w:val="0"/>
      <w:marTop w:val="0"/>
      <w:marBottom w:val="0"/>
      <w:divBdr>
        <w:top w:val="none" w:sz="0" w:space="0" w:color="auto"/>
        <w:left w:val="none" w:sz="0" w:space="0" w:color="auto"/>
        <w:bottom w:val="none" w:sz="0" w:space="0" w:color="auto"/>
        <w:right w:val="none" w:sz="0" w:space="0" w:color="auto"/>
      </w:divBdr>
    </w:div>
    <w:div w:id="2040470325">
      <w:bodyDiv w:val="1"/>
      <w:marLeft w:val="0"/>
      <w:marRight w:val="0"/>
      <w:marTop w:val="0"/>
      <w:marBottom w:val="0"/>
      <w:divBdr>
        <w:top w:val="none" w:sz="0" w:space="0" w:color="auto"/>
        <w:left w:val="none" w:sz="0" w:space="0" w:color="auto"/>
        <w:bottom w:val="none" w:sz="0" w:space="0" w:color="auto"/>
        <w:right w:val="none" w:sz="0" w:space="0" w:color="auto"/>
      </w:divBdr>
    </w:div>
    <w:div w:id="2042198439">
      <w:bodyDiv w:val="1"/>
      <w:marLeft w:val="0"/>
      <w:marRight w:val="0"/>
      <w:marTop w:val="0"/>
      <w:marBottom w:val="0"/>
      <w:divBdr>
        <w:top w:val="none" w:sz="0" w:space="0" w:color="auto"/>
        <w:left w:val="none" w:sz="0" w:space="0" w:color="auto"/>
        <w:bottom w:val="none" w:sz="0" w:space="0" w:color="auto"/>
        <w:right w:val="none" w:sz="0" w:space="0" w:color="auto"/>
      </w:divBdr>
    </w:div>
    <w:div w:id="2045982185">
      <w:bodyDiv w:val="1"/>
      <w:marLeft w:val="0"/>
      <w:marRight w:val="0"/>
      <w:marTop w:val="0"/>
      <w:marBottom w:val="0"/>
      <w:divBdr>
        <w:top w:val="none" w:sz="0" w:space="0" w:color="auto"/>
        <w:left w:val="none" w:sz="0" w:space="0" w:color="auto"/>
        <w:bottom w:val="none" w:sz="0" w:space="0" w:color="auto"/>
        <w:right w:val="none" w:sz="0" w:space="0" w:color="auto"/>
      </w:divBdr>
    </w:div>
    <w:div w:id="2060745045">
      <w:bodyDiv w:val="1"/>
      <w:marLeft w:val="0"/>
      <w:marRight w:val="0"/>
      <w:marTop w:val="0"/>
      <w:marBottom w:val="0"/>
      <w:divBdr>
        <w:top w:val="none" w:sz="0" w:space="0" w:color="auto"/>
        <w:left w:val="none" w:sz="0" w:space="0" w:color="auto"/>
        <w:bottom w:val="none" w:sz="0" w:space="0" w:color="auto"/>
        <w:right w:val="none" w:sz="0" w:space="0" w:color="auto"/>
      </w:divBdr>
    </w:div>
    <w:div w:id="2079740954">
      <w:bodyDiv w:val="1"/>
      <w:marLeft w:val="0"/>
      <w:marRight w:val="0"/>
      <w:marTop w:val="0"/>
      <w:marBottom w:val="0"/>
      <w:divBdr>
        <w:top w:val="none" w:sz="0" w:space="0" w:color="auto"/>
        <w:left w:val="none" w:sz="0" w:space="0" w:color="auto"/>
        <w:bottom w:val="none" w:sz="0" w:space="0" w:color="auto"/>
        <w:right w:val="none" w:sz="0" w:space="0" w:color="auto"/>
      </w:divBdr>
    </w:div>
    <w:div w:id="2087414228">
      <w:bodyDiv w:val="1"/>
      <w:marLeft w:val="0"/>
      <w:marRight w:val="0"/>
      <w:marTop w:val="0"/>
      <w:marBottom w:val="0"/>
      <w:divBdr>
        <w:top w:val="none" w:sz="0" w:space="0" w:color="auto"/>
        <w:left w:val="none" w:sz="0" w:space="0" w:color="auto"/>
        <w:bottom w:val="none" w:sz="0" w:space="0" w:color="auto"/>
        <w:right w:val="none" w:sz="0" w:space="0" w:color="auto"/>
      </w:divBdr>
    </w:div>
    <w:div w:id="2088334054">
      <w:bodyDiv w:val="1"/>
      <w:marLeft w:val="0"/>
      <w:marRight w:val="0"/>
      <w:marTop w:val="0"/>
      <w:marBottom w:val="0"/>
      <w:divBdr>
        <w:top w:val="none" w:sz="0" w:space="0" w:color="auto"/>
        <w:left w:val="none" w:sz="0" w:space="0" w:color="auto"/>
        <w:bottom w:val="none" w:sz="0" w:space="0" w:color="auto"/>
        <w:right w:val="none" w:sz="0" w:space="0" w:color="auto"/>
      </w:divBdr>
    </w:div>
    <w:div w:id="2094008403">
      <w:bodyDiv w:val="1"/>
      <w:marLeft w:val="0"/>
      <w:marRight w:val="0"/>
      <w:marTop w:val="0"/>
      <w:marBottom w:val="0"/>
      <w:divBdr>
        <w:top w:val="none" w:sz="0" w:space="0" w:color="auto"/>
        <w:left w:val="none" w:sz="0" w:space="0" w:color="auto"/>
        <w:bottom w:val="none" w:sz="0" w:space="0" w:color="auto"/>
        <w:right w:val="none" w:sz="0" w:space="0" w:color="auto"/>
      </w:divBdr>
    </w:div>
    <w:div w:id="2102869276">
      <w:bodyDiv w:val="1"/>
      <w:marLeft w:val="0"/>
      <w:marRight w:val="0"/>
      <w:marTop w:val="0"/>
      <w:marBottom w:val="0"/>
      <w:divBdr>
        <w:top w:val="none" w:sz="0" w:space="0" w:color="auto"/>
        <w:left w:val="none" w:sz="0" w:space="0" w:color="auto"/>
        <w:bottom w:val="none" w:sz="0" w:space="0" w:color="auto"/>
        <w:right w:val="none" w:sz="0" w:space="0" w:color="auto"/>
      </w:divBdr>
      <w:divsChild>
        <w:div w:id="360129128">
          <w:marLeft w:val="547"/>
          <w:marRight w:val="0"/>
          <w:marTop w:val="106"/>
          <w:marBottom w:val="0"/>
          <w:divBdr>
            <w:top w:val="none" w:sz="0" w:space="0" w:color="auto"/>
            <w:left w:val="none" w:sz="0" w:space="0" w:color="auto"/>
            <w:bottom w:val="none" w:sz="0" w:space="0" w:color="auto"/>
            <w:right w:val="none" w:sz="0" w:space="0" w:color="auto"/>
          </w:divBdr>
        </w:div>
        <w:div w:id="1112483128">
          <w:marLeft w:val="1166"/>
          <w:marRight w:val="0"/>
          <w:marTop w:val="96"/>
          <w:marBottom w:val="0"/>
          <w:divBdr>
            <w:top w:val="none" w:sz="0" w:space="0" w:color="auto"/>
            <w:left w:val="none" w:sz="0" w:space="0" w:color="auto"/>
            <w:bottom w:val="none" w:sz="0" w:space="0" w:color="auto"/>
            <w:right w:val="none" w:sz="0" w:space="0" w:color="auto"/>
          </w:divBdr>
        </w:div>
        <w:div w:id="407919846">
          <w:marLeft w:val="1166"/>
          <w:marRight w:val="0"/>
          <w:marTop w:val="96"/>
          <w:marBottom w:val="0"/>
          <w:divBdr>
            <w:top w:val="none" w:sz="0" w:space="0" w:color="auto"/>
            <w:left w:val="none" w:sz="0" w:space="0" w:color="auto"/>
            <w:bottom w:val="none" w:sz="0" w:space="0" w:color="auto"/>
            <w:right w:val="none" w:sz="0" w:space="0" w:color="auto"/>
          </w:divBdr>
        </w:div>
      </w:divsChild>
    </w:div>
    <w:div w:id="2108185726">
      <w:bodyDiv w:val="1"/>
      <w:marLeft w:val="0"/>
      <w:marRight w:val="0"/>
      <w:marTop w:val="0"/>
      <w:marBottom w:val="0"/>
      <w:divBdr>
        <w:top w:val="none" w:sz="0" w:space="0" w:color="auto"/>
        <w:left w:val="none" w:sz="0" w:space="0" w:color="auto"/>
        <w:bottom w:val="none" w:sz="0" w:space="0" w:color="auto"/>
        <w:right w:val="none" w:sz="0" w:space="0" w:color="auto"/>
      </w:divBdr>
    </w:div>
    <w:div w:id="2112581065">
      <w:bodyDiv w:val="1"/>
      <w:marLeft w:val="0"/>
      <w:marRight w:val="0"/>
      <w:marTop w:val="0"/>
      <w:marBottom w:val="0"/>
      <w:divBdr>
        <w:top w:val="none" w:sz="0" w:space="0" w:color="auto"/>
        <w:left w:val="none" w:sz="0" w:space="0" w:color="auto"/>
        <w:bottom w:val="none" w:sz="0" w:space="0" w:color="auto"/>
        <w:right w:val="none" w:sz="0" w:space="0" w:color="auto"/>
      </w:divBdr>
    </w:div>
    <w:div w:id="2112816583">
      <w:bodyDiv w:val="1"/>
      <w:marLeft w:val="0"/>
      <w:marRight w:val="0"/>
      <w:marTop w:val="0"/>
      <w:marBottom w:val="0"/>
      <w:divBdr>
        <w:top w:val="none" w:sz="0" w:space="0" w:color="auto"/>
        <w:left w:val="none" w:sz="0" w:space="0" w:color="auto"/>
        <w:bottom w:val="none" w:sz="0" w:space="0" w:color="auto"/>
        <w:right w:val="none" w:sz="0" w:space="0" w:color="auto"/>
      </w:divBdr>
    </w:div>
    <w:div w:id="2121145565">
      <w:bodyDiv w:val="1"/>
      <w:marLeft w:val="0"/>
      <w:marRight w:val="0"/>
      <w:marTop w:val="0"/>
      <w:marBottom w:val="0"/>
      <w:divBdr>
        <w:top w:val="none" w:sz="0" w:space="0" w:color="auto"/>
        <w:left w:val="none" w:sz="0" w:space="0" w:color="auto"/>
        <w:bottom w:val="none" w:sz="0" w:space="0" w:color="auto"/>
        <w:right w:val="none" w:sz="0" w:space="0" w:color="auto"/>
      </w:divBdr>
      <w:divsChild>
        <w:div w:id="495419231">
          <w:marLeft w:val="274"/>
          <w:marRight w:val="0"/>
          <w:marTop w:val="0"/>
          <w:marBottom w:val="0"/>
          <w:divBdr>
            <w:top w:val="none" w:sz="0" w:space="0" w:color="auto"/>
            <w:left w:val="none" w:sz="0" w:space="0" w:color="auto"/>
            <w:bottom w:val="none" w:sz="0" w:space="0" w:color="auto"/>
            <w:right w:val="none" w:sz="0" w:space="0" w:color="auto"/>
          </w:divBdr>
        </w:div>
        <w:div w:id="1484004769">
          <w:marLeft w:val="274"/>
          <w:marRight w:val="0"/>
          <w:marTop w:val="0"/>
          <w:marBottom w:val="0"/>
          <w:divBdr>
            <w:top w:val="none" w:sz="0" w:space="0" w:color="auto"/>
            <w:left w:val="none" w:sz="0" w:space="0" w:color="auto"/>
            <w:bottom w:val="none" w:sz="0" w:space="0" w:color="auto"/>
            <w:right w:val="none" w:sz="0" w:space="0" w:color="auto"/>
          </w:divBdr>
        </w:div>
      </w:divsChild>
    </w:div>
    <w:div w:id="2121728247">
      <w:bodyDiv w:val="1"/>
      <w:marLeft w:val="0"/>
      <w:marRight w:val="0"/>
      <w:marTop w:val="0"/>
      <w:marBottom w:val="0"/>
      <w:divBdr>
        <w:top w:val="none" w:sz="0" w:space="0" w:color="auto"/>
        <w:left w:val="none" w:sz="0" w:space="0" w:color="auto"/>
        <w:bottom w:val="none" w:sz="0" w:space="0" w:color="auto"/>
        <w:right w:val="none" w:sz="0" w:space="0" w:color="auto"/>
      </w:divBdr>
    </w:div>
    <w:div w:id="214488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image" Target="media/image12.png"/><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image" Target="media/image18.png"/><Relationship Id="rId50" Type="http://schemas.openxmlformats.org/officeDocument/2006/relationships/header" Target="header7.xml"/><Relationship Id="rId55" Type="http://schemas.openxmlformats.org/officeDocument/2006/relationships/footer" Target="footer9.xml"/><Relationship Id="rId63" Type="http://schemas.openxmlformats.org/officeDocument/2006/relationships/header" Target="header14.xml"/><Relationship Id="rId68" Type="http://schemas.openxmlformats.org/officeDocument/2006/relationships/image" Target="media/image21.png"/><Relationship Id="rId76" Type="http://schemas.openxmlformats.org/officeDocument/2006/relationships/hyperlink" Target="http://bookshop.europa.eu" TargetMode="External"/><Relationship Id="rId84" Type="http://schemas.openxmlformats.org/officeDocument/2006/relationships/hyperlink" Target="http://europa.eu.int/citizensrights/signpost/about/index_en.htm" TargetMode="External"/><Relationship Id="rId89" Type="http://schemas.openxmlformats.org/officeDocument/2006/relationships/header" Target="header17.xml"/><Relationship Id="rId7" Type="http://schemas.microsoft.com/office/2007/relationships/stylesWithEffects" Target="stylesWithEffects.xml"/><Relationship Id="rId71" Type="http://schemas.openxmlformats.org/officeDocument/2006/relationships/hyperlink" Target="http://ec.europa.eu/represent_en.htm" TargetMode="External"/><Relationship Id="rId92" Type="http://schemas.openxmlformats.org/officeDocument/2006/relationships/header" Target="header18.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eur-lex.europa.eu/legal-content/EN/TXT/?uri=uriserv:OJ.L_.2016.119.01.0089.01.ENG&amp;toc=OJ:L:2016:119:TOC" TargetMode="Externa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cid:image012.png@01D3AC00.6E401FB0" TargetMode="External"/><Relationship Id="rId53" Type="http://schemas.openxmlformats.org/officeDocument/2006/relationships/footer" Target="footer8.xml"/><Relationship Id="rId58" Type="http://schemas.openxmlformats.org/officeDocument/2006/relationships/footer" Target="footer10.xml"/><Relationship Id="rId66" Type="http://schemas.openxmlformats.org/officeDocument/2006/relationships/header" Target="header15.xml"/><Relationship Id="rId74" Type="http://schemas.openxmlformats.org/officeDocument/2006/relationships/hyperlink" Target="http://europa.eu.int/citizensrights/signpost/about/index_en.htm" TargetMode="External"/><Relationship Id="rId79" Type="http://schemas.openxmlformats.org/officeDocument/2006/relationships/hyperlink" Target="http://europa.eu/europedirect/index_en.htm" TargetMode="External"/><Relationship Id="rId87" Type="http://schemas.openxmlformats.org/officeDocument/2006/relationships/image" Target="media/image24.png"/><Relationship Id="rId5" Type="http://schemas.openxmlformats.org/officeDocument/2006/relationships/numbering" Target="numbering.xml"/><Relationship Id="rId61" Type="http://schemas.openxmlformats.org/officeDocument/2006/relationships/footer" Target="footer12.xml"/><Relationship Id="rId82" Type="http://schemas.openxmlformats.org/officeDocument/2006/relationships/hyperlink" Target="http://europa.eu.int/citizensrights/signpost/about/index_en.htm" TargetMode="External"/><Relationship Id="rId90" Type="http://schemas.openxmlformats.org/officeDocument/2006/relationships/footer" Target="footer16.xml"/><Relationship Id="rId95"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image" Target="cid:image004.png@01D3AC00.6E401FB0" TargetMode="External"/><Relationship Id="rId43" Type="http://schemas.openxmlformats.org/officeDocument/2006/relationships/chart" Target="charts/chart1.xml"/><Relationship Id="rId48" Type="http://schemas.openxmlformats.org/officeDocument/2006/relationships/image" Target="media/image19.jpeg"/><Relationship Id="rId56" Type="http://schemas.openxmlformats.org/officeDocument/2006/relationships/header" Target="header10.xml"/><Relationship Id="rId64" Type="http://schemas.openxmlformats.org/officeDocument/2006/relationships/footer" Target="footer13.xml"/><Relationship Id="rId69" Type="http://schemas.openxmlformats.org/officeDocument/2006/relationships/image" Target="media/image22.emf"/><Relationship Id="rId77" Type="http://schemas.openxmlformats.org/officeDocument/2006/relationships/hyperlink" Target="http://ec.europa.eu/represent_en.htm" TargetMode="External"/><Relationship Id="rId8" Type="http://schemas.openxmlformats.org/officeDocument/2006/relationships/settings" Target="settings.xml"/><Relationship Id="rId51" Type="http://schemas.openxmlformats.org/officeDocument/2006/relationships/header" Target="header8.xml"/><Relationship Id="rId72" Type="http://schemas.openxmlformats.org/officeDocument/2006/relationships/hyperlink" Target="http://eeas.europa.eu/delegations/index_en.htm" TargetMode="External"/><Relationship Id="rId80" Type="http://schemas.openxmlformats.org/officeDocument/2006/relationships/hyperlink" Target="http://europa.eu.int/citizensrights/signpost/about/index_en.htm" TargetMode="External"/><Relationship Id="rId85" Type="http://schemas.openxmlformats.org/officeDocument/2006/relationships/hyperlink" Target="http://europa.eu" TargetMode="External"/><Relationship Id="rId93"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image" Target="cid:image007.png@01D3AC00.6E401FB0" TargetMode="External"/><Relationship Id="rId46" Type="http://schemas.openxmlformats.org/officeDocument/2006/relationships/image" Target="media/image17.png"/><Relationship Id="rId59" Type="http://schemas.openxmlformats.org/officeDocument/2006/relationships/footer" Target="footer11.xml"/><Relationship Id="rId67" Type="http://schemas.openxmlformats.org/officeDocument/2006/relationships/footer" Target="footer15.xml"/><Relationship Id="rId20" Type="http://schemas.openxmlformats.org/officeDocument/2006/relationships/header" Target="header5.xml"/><Relationship Id="rId41" Type="http://schemas.openxmlformats.org/officeDocument/2006/relationships/image" Target="media/image14.png"/><Relationship Id="rId54" Type="http://schemas.openxmlformats.org/officeDocument/2006/relationships/header" Target="header9.xml"/><Relationship Id="rId62" Type="http://schemas.openxmlformats.org/officeDocument/2006/relationships/header" Target="header13.xml"/><Relationship Id="rId70" Type="http://schemas.openxmlformats.org/officeDocument/2006/relationships/hyperlink" Target="http://bookshop.europa.eu" TargetMode="External"/><Relationship Id="rId75" Type="http://schemas.openxmlformats.org/officeDocument/2006/relationships/hyperlink" Target="http://bookshop.europa.eu" TargetMode="External"/><Relationship Id="rId83" Type="http://schemas.openxmlformats.org/officeDocument/2006/relationships/hyperlink" Target="http://europa.eu" TargetMode="External"/><Relationship Id="rId88" Type="http://schemas.openxmlformats.org/officeDocument/2006/relationships/header" Target="header16.xml"/><Relationship Id="rId9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eur-lex.europa.eu/legal-content/EN/TXT/?uri=uriserv:OJ.L_.2016.119.01.0001.01.ENG&amp;toc=OJ:L:2016:119:TOC" TargetMode="External"/><Relationship Id="rId36" Type="http://schemas.openxmlformats.org/officeDocument/2006/relationships/image" Target="media/image10.png"/><Relationship Id="rId49" Type="http://schemas.openxmlformats.org/officeDocument/2006/relationships/image" Target="media/image20.jpeg"/><Relationship Id="rId57" Type="http://schemas.openxmlformats.org/officeDocument/2006/relationships/header" Target="header11.xm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footer" Target="footer7.xml"/><Relationship Id="rId60" Type="http://schemas.openxmlformats.org/officeDocument/2006/relationships/header" Target="header12.xml"/><Relationship Id="rId65" Type="http://schemas.openxmlformats.org/officeDocument/2006/relationships/footer" Target="footer14.xml"/><Relationship Id="rId73" Type="http://schemas.openxmlformats.org/officeDocument/2006/relationships/hyperlink" Target="http://europa.eu/europedirect/index_en.htm" TargetMode="External"/><Relationship Id="rId78" Type="http://schemas.openxmlformats.org/officeDocument/2006/relationships/hyperlink" Target="http://eeas.europa.eu/delegations/index_en.htm" TargetMode="External"/><Relationship Id="rId81" Type="http://schemas.openxmlformats.org/officeDocument/2006/relationships/hyperlink" Target="http://bookshop.europa.eu" TargetMode="External"/><Relationship Id="rId86" Type="http://schemas.openxmlformats.org/officeDocument/2006/relationships/image" Target="media/image23.jpe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ssl.marktwaechter.de/pressemeldung/online-dating-abzocke-fakes-und-schlechter-datenschutz" TargetMode="External"/><Relationship Id="rId3" Type="http://schemas.openxmlformats.org/officeDocument/2006/relationships/hyperlink" Target="https://www.legifrance.gouv.fr/affichTexte.do?cidTexte=JORFTEXT000033202746&amp;dateTexte=20161212" TargetMode="External"/><Relationship Id="rId7" Type="http://schemas.openxmlformats.org/officeDocument/2006/relationships/hyperlink" Target="http://www.agcm.it/en/newsroom/press-releases/2380-whatsapp-fined-for-3-million-euro-for-having-forced-its-users-to-share-their-personal-data-with-facebook.html" TargetMode="External"/><Relationship Id="rId2" Type="http://schemas.openxmlformats.org/officeDocument/2006/relationships/hyperlink" Target="https://www.legifrance.gouv.fr/affichTexte.do?cidTexte=JORFTEXT000033202746&amp;categorieLien=id" TargetMode="External"/><Relationship Id="rId1" Type="http://schemas.openxmlformats.org/officeDocument/2006/relationships/hyperlink" Target="http://ec.europa.eu/eurostat/statistics-explained/index.php/E-commerce_statistics_for_individuals" TargetMode="External"/><Relationship Id="rId6" Type="http://schemas.openxmlformats.org/officeDocument/2006/relationships/hyperlink" Target="http://www.networkcomputing.com/cloud-infrastructure/8-great-cloud-storage-services/d/d-id/1109155" TargetMode="External"/><Relationship Id="rId5" Type="http://schemas.openxmlformats.org/officeDocument/2006/relationships/hyperlink" Target="https://www.kaspersky.com/downloads/pdf/kaspersky-lab_ok-consumer-survey-report_eng_final.pdf" TargetMode="External"/><Relationship Id="rId10" Type="http://schemas.openxmlformats.org/officeDocument/2006/relationships/hyperlink" Target="http://ec.europa.eu/consumers/consumer_evidence/consumer_scoreboards/survey_consumers_retailers/index_en.htm" TargetMode="External"/><Relationship Id="rId4" Type="http://schemas.openxmlformats.org/officeDocument/2006/relationships/hyperlink" Target="https://www.kaspersky.com/downloads/pdf/kaspersky-lab_ok-consumer-survey-report_eng_final.pdf" TargetMode="External"/><Relationship Id="rId9" Type="http://schemas.openxmlformats.org/officeDocument/2006/relationships/hyperlink" Target="http://ec.europa.eu/consumers/consumer_evidence/consumer_scoreboards/survey_consumers_retailers/index_en.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Sheet1!$K$1291</c:f>
              <c:strCache>
                <c:ptCount val="1"/>
                <c:pt idx="0">
                  <c:v> Strongly agree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Sheet1!$L$1290:$Q$1290</c:f>
              <c:strCache>
                <c:ptCount val="6"/>
                <c:pt idx="0">
                  <c:v>(29) Individuals</c:v>
                </c:pt>
                <c:pt idx="1">
                  <c:v>(15) Consumer associations</c:v>
                </c:pt>
                <c:pt idx="2">
                  <c:v>(17) Companies</c:v>
                </c:pt>
                <c:pt idx="3">
                  <c:v> (41) Business associations</c:v>
                </c:pt>
                <c:pt idx="4">
                  <c:v>(16) Public Authorities</c:v>
                </c:pt>
                <c:pt idx="5">
                  <c:v>(10) Other</c:v>
                </c:pt>
              </c:strCache>
            </c:strRef>
          </c:cat>
          <c:val>
            <c:numRef>
              <c:f>Sheet1!$L$1291:$Q$1291</c:f>
              <c:numCache>
                <c:formatCode>0.0%</c:formatCode>
                <c:ptCount val="6"/>
                <c:pt idx="0">
                  <c:v>0.48275862068965514</c:v>
                </c:pt>
                <c:pt idx="1">
                  <c:v>0.8</c:v>
                </c:pt>
                <c:pt idx="2">
                  <c:v>0.35294117647058826</c:v>
                </c:pt>
                <c:pt idx="3">
                  <c:v>9.7560975609756101E-2</c:v>
                </c:pt>
                <c:pt idx="4">
                  <c:v>0.4375</c:v>
                </c:pt>
                <c:pt idx="5">
                  <c:v>0.4</c:v>
                </c:pt>
              </c:numCache>
            </c:numRef>
          </c:val>
          <c:extLst xmlns:c16r2="http://schemas.microsoft.com/office/drawing/2015/06/chart">
            <c:ext xmlns:c16="http://schemas.microsoft.com/office/drawing/2014/chart" uri="{C3380CC4-5D6E-409C-BE32-E72D297353CC}">
              <c16:uniqueId val="{00000000-F933-42C0-A8C1-241A88448B35}"/>
            </c:ext>
          </c:extLst>
        </c:ser>
        <c:ser>
          <c:idx val="1"/>
          <c:order val="1"/>
          <c:tx>
            <c:strRef>
              <c:f>Sheet1!$K$1292</c:f>
              <c:strCache>
                <c:ptCount val="1"/>
                <c:pt idx="0">
                  <c:v>Tend to agree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Sheet1!$L$1290:$Q$1290</c:f>
              <c:strCache>
                <c:ptCount val="6"/>
                <c:pt idx="0">
                  <c:v>(29) Individuals</c:v>
                </c:pt>
                <c:pt idx="1">
                  <c:v>(15) Consumer associations</c:v>
                </c:pt>
                <c:pt idx="2">
                  <c:v>(17) Companies</c:v>
                </c:pt>
                <c:pt idx="3">
                  <c:v> (41) Business associations</c:v>
                </c:pt>
                <c:pt idx="4">
                  <c:v>(16) Public Authorities</c:v>
                </c:pt>
                <c:pt idx="5">
                  <c:v>(10) Other</c:v>
                </c:pt>
              </c:strCache>
            </c:strRef>
          </c:cat>
          <c:val>
            <c:numRef>
              <c:f>Sheet1!$L$1292:$Q$1292</c:f>
              <c:numCache>
                <c:formatCode>0.0%</c:formatCode>
                <c:ptCount val="6"/>
                <c:pt idx="0">
                  <c:v>0.27586206896551724</c:v>
                </c:pt>
                <c:pt idx="1">
                  <c:v>0.2</c:v>
                </c:pt>
                <c:pt idx="3">
                  <c:v>9.7560975609756101E-2</c:v>
                </c:pt>
                <c:pt idx="4">
                  <c:v>0.375</c:v>
                </c:pt>
                <c:pt idx="5">
                  <c:v>0.5</c:v>
                </c:pt>
              </c:numCache>
            </c:numRef>
          </c:val>
          <c:extLst xmlns:c16r2="http://schemas.microsoft.com/office/drawing/2015/06/chart">
            <c:ext xmlns:c16="http://schemas.microsoft.com/office/drawing/2014/chart" uri="{C3380CC4-5D6E-409C-BE32-E72D297353CC}">
              <c16:uniqueId val="{00000001-F933-42C0-A8C1-241A88448B35}"/>
            </c:ext>
          </c:extLst>
        </c:ser>
        <c:ser>
          <c:idx val="2"/>
          <c:order val="2"/>
          <c:tx>
            <c:strRef>
              <c:f>Sheet1!$K$1293</c:f>
              <c:strCache>
                <c:ptCount val="1"/>
                <c:pt idx="0">
                  <c:v>Tend to disagree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Sheet1!$L$1290:$Q$1290</c:f>
              <c:strCache>
                <c:ptCount val="6"/>
                <c:pt idx="0">
                  <c:v>(29) Individuals</c:v>
                </c:pt>
                <c:pt idx="1">
                  <c:v>(15) Consumer associations</c:v>
                </c:pt>
                <c:pt idx="2">
                  <c:v>(17) Companies</c:v>
                </c:pt>
                <c:pt idx="3">
                  <c:v> (41) Business associations</c:v>
                </c:pt>
                <c:pt idx="4">
                  <c:v>(16) Public Authorities</c:v>
                </c:pt>
                <c:pt idx="5">
                  <c:v>(10) Other</c:v>
                </c:pt>
              </c:strCache>
            </c:strRef>
          </c:cat>
          <c:val>
            <c:numRef>
              <c:f>Sheet1!$L$1293:$Q$1293</c:f>
              <c:numCache>
                <c:formatCode>General</c:formatCode>
                <c:ptCount val="6"/>
                <c:pt idx="0" formatCode="0.0%">
                  <c:v>3.4482758620689655E-2</c:v>
                </c:pt>
                <c:pt idx="2" formatCode="0.0%">
                  <c:v>5.8823529411764698E-2</c:v>
                </c:pt>
                <c:pt idx="3" formatCode="0.0%">
                  <c:v>0.14634146341463414</c:v>
                </c:pt>
                <c:pt idx="4" formatCode="0.0%">
                  <c:v>0.125</c:v>
                </c:pt>
              </c:numCache>
            </c:numRef>
          </c:val>
          <c:extLst xmlns:c16r2="http://schemas.microsoft.com/office/drawing/2015/06/chart">
            <c:ext xmlns:c16="http://schemas.microsoft.com/office/drawing/2014/chart" uri="{C3380CC4-5D6E-409C-BE32-E72D297353CC}">
              <c16:uniqueId val="{00000002-F933-42C0-A8C1-241A88448B35}"/>
            </c:ext>
          </c:extLst>
        </c:ser>
        <c:ser>
          <c:idx val="3"/>
          <c:order val="3"/>
          <c:tx>
            <c:strRef>
              <c:f>Sheet1!$K$1294</c:f>
              <c:strCache>
                <c:ptCount val="1"/>
                <c:pt idx="0">
                  <c:v>Strongly disagree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Sheet1!$L$1290:$Q$1290</c:f>
              <c:strCache>
                <c:ptCount val="6"/>
                <c:pt idx="0">
                  <c:v>(29) Individuals</c:v>
                </c:pt>
                <c:pt idx="1">
                  <c:v>(15) Consumer associations</c:v>
                </c:pt>
                <c:pt idx="2">
                  <c:v>(17) Companies</c:v>
                </c:pt>
                <c:pt idx="3">
                  <c:v> (41) Business associations</c:v>
                </c:pt>
                <c:pt idx="4">
                  <c:v>(16) Public Authorities</c:v>
                </c:pt>
                <c:pt idx="5">
                  <c:v>(10) Other</c:v>
                </c:pt>
              </c:strCache>
            </c:strRef>
          </c:cat>
          <c:val>
            <c:numRef>
              <c:f>Sheet1!$L$1294:$Q$1294</c:f>
              <c:numCache>
                <c:formatCode>General</c:formatCode>
                <c:ptCount val="6"/>
                <c:pt idx="0" formatCode="0.0%">
                  <c:v>0.10344827586206896</c:v>
                </c:pt>
                <c:pt idx="2" formatCode="0.0%">
                  <c:v>0.29411764705882354</c:v>
                </c:pt>
                <c:pt idx="3" formatCode="0.0%">
                  <c:v>0.36585365853658536</c:v>
                </c:pt>
              </c:numCache>
            </c:numRef>
          </c:val>
          <c:extLst xmlns:c16r2="http://schemas.microsoft.com/office/drawing/2015/06/chart">
            <c:ext xmlns:c16="http://schemas.microsoft.com/office/drawing/2014/chart" uri="{C3380CC4-5D6E-409C-BE32-E72D297353CC}">
              <c16:uniqueId val="{00000003-F933-42C0-A8C1-241A88448B35}"/>
            </c:ext>
          </c:extLst>
        </c:ser>
        <c:ser>
          <c:idx val="4"/>
          <c:order val="4"/>
          <c:tx>
            <c:strRef>
              <c:f>Sheet1!$K$1295</c:f>
              <c:strCache>
                <c:ptCount val="1"/>
                <c:pt idx="0">
                  <c:v>Do not know</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Sheet1!$L$1290:$Q$1290</c:f>
              <c:strCache>
                <c:ptCount val="6"/>
                <c:pt idx="0">
                  <c:v>(29) Individuals</c:v>
                </c:pt>
                <c:pt idx="1">
                  <c:v>(15) Consumer associations</c:v>
                </c:pt>
                <c:pt idx="2">
                  <c:v>(17) Companies</c:v>
                </c:pt>
                <c:pt idx="3">
                  <c:v> (41) Business associations</c:v>
                </c:pt>
                <c:pt idx="4">
                  <c:v>(16) Public Authorities</c:v>
                </c:pt>
                <c:pt idx="5">
                  <c:v>(10) Other</c:v>
                </c:pt>
              </c:strCache>
            </c:strRef>
          </c:cat>
          <c:val>
            <c:numRef>
              <c:f>Sheet1!$L$1295:$Q$1295</c:f>
              <c:numCache>
                <c:formatCode>General</c:formatCode>
                <c:ptCount val="6"/>
                <c:pt idx="0" formatCode="0.0%">
                  <c:v>0.10344827586206896</c:v>
                </c:pt>
                <c:pt idx="2" formatCode="0.0%">
                  <c:v>0.29411764705882354</c:v>
                </c:pt>
                <c:pt idx="3" formatCode="0.0%">
                  <c:v>0.29268292682926828</c:v>
                </c:pt>
                <c:pt idx="4" formatCode="0.0%">
                  <c:v>6.25E-2</c:v>
                </c:pt>
                <c:pt idx="5" formatCode="0.0%">
                  <c:v>0.1</c:v>
                </c:pt>
              </c:numCache>
            </c:numRef>
          </c:val>
          <c:extLst xmlns:c16r2="http://schemas.microsoft.com/office/drawing/2015/06/chart">
            <c:ext xmlns:c16="http://schemas.microsoft.com/office/drawing/2014/chart" uri="{C3380CC4-5D6E-409C-BE32-E72D297353CC}">
              <c16:uniqueId val="{00000004-F933-42C0-A8C1-241A88448B35}"/>
            </c:ext>
          </c:extLst>
        </c:ser>
        <c:dLbls>
          <c:showLegendKey val="0"/>
          <c:showVal val="0"/>
          <c:showCatName val="0"/>
          <c:showSerName val="0"/>
          <c:showPercent val="0"/>
          <c:showBubbleSize val="0"/>
        </c:dLbls>
        <c:gapWidth val="75"/>
        <c:overlap val="100"/>
        <c:axId val="157290880"/>
        <c:axId val="157292416"/>
      </c:barChart>
      <c:catAx>
        <c:axId val="157290880"/>
        <c:scaling>
          <c:orientation val="minMax"/>
        </c:scaling>
        <c:delete val="0"/>
        <c:axPos val="l"/>
        <c:numFmt formatCode="General" sourceLinked="0"/>
        <c:majorTickMark val="none"/>
        <c:minorTickMark val="none"/>
        <c:tickLblPos val="nextTo"/>
        <c:crossAx val="157292416"/>
        <c:crosses val="autoZero"/>
        <c:auto val="1"/>
        <c:lblAlgn val="ctr"/>
        <c:lblOffset val="100"/>
        <c:noMultiLvlLbl val="0"/>
      </c:catAx>
      <c:valAx>
        <c:axId val="157292416"/>
        <c:scaling>
          <c:orientation val="minMax"/>
          <c:max val="1"/>
        </c:scaling>
        <c:delete val="0"/>
        <c:axPos val="b"/>
        <c:majorGridlines/>
        <c:numFmt formatCode="0.0%" sourceLinked="1"/>
        <c:majorTickMark val="none"/>
        <c:minorTickMark val="none"/>
        <c:tickLblPos val="nextTo"/>
        <c:spPr>
          <a:ln w="9525">
            <a:noFill/>
          </a:ln>
        </c:spPr>
        <c:crossAx val="15729088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Status xmlns="CB139B86-3E0B-49B4-8CFC-56B2CF1FE6C9">Not Started</EC_Collab_Status>
    <_Status xmlns="http://schemas.microsoft.com/sharepoint/v3/fields">Not Started</_Status>
    <EC_Collab_Reference xmlns="CB139B86-3E0B-49B4-8CFC-56B2CF1FE6C9" xsi:nil="true"/>
    <EC_Collab_DocumentLanguage xmlns="CB139B86-3E0B-49B4-8CFC-56B2CF1FE6C9">EN</EC_Collab_DocumentLanguag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89656D43FD526045ADBF23FFD4EEEB73" ma:contentTypeVersion="0" ma:contentTypeDescription="Create a new document in this library." ma:contentTypeScope="" ma:versionID="1ae5f9bb8884fc60ffdcca3ec1b964a1">
  <xsd:schema xmlns:xsd="http://www.w3.org/2001/XMLSchema" xmlns:xs="http://www.w3.org/2001/XMLSchema" xmlns:p="http://schemas.microsoft.com/office/2006/metadata/properties" xmlns:ns2="http://schemas.microsoft.com/sharepoint/v3/fields" xmlns:ns3="CB139B86-3E0B-49B4-8CFC-56B2CF1FE6C9" targetNamespace="http://schemas.microsoft.com/office/2006/metadata/properties" ma:root="true" ma:fieldsID="dfdd2244bd50f1893e4f331050c0d17b" ns2:_="" ns3:_="">
    <xsd:import namespace="http://schemas.microsoft.com/sharepoint/v3/fields"/>
    <xsd:import namespace="CB139B86-3E0B-49B4-8CFC-56B2CF1FE6C9"/>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B139B86-3E0B-49B4-8CFC-56B2CF1FE6C9"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03071-62F3-4EF7-9821-5B03AE957B51}">
  <ds:schemaRefs>
    <ds:schemaRef ds:uri="http://purl.org/dc/dcmitype/"/>
    <ds:schemaRef ds:uri="CB139B86-3E0B-49B4-8CFC-56B2CF1FE6C9"/>
    <ds:schemaRef ds:uri="http://schemas.microsoft.com/office/2006/documentManagement/types"/>
    <ds:schemaRef ds:uri="http://purl.org/dc/elements/1.1/"/>
    <ds:schemaRef ds:uri="http://schemas.microsoft.com/office/2006/metadata/properties"/>
    <ds:schemaRef ds:uri="http://schemas.microsoft.com/sharepoint/v3/field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5D3047D4-AA05-4D07-8A9E-11D89F25E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B139B86-3E0B-49B4-8CFC-56B2CF1FE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DEB69C-BB5D-44C2-93F1-26F49B6B7006}">
  <ds:schemaRefs>
    <ds:schemaRef ds:uri="http://schemas.microsoft.com/sharepoint/v3/contenttype/forms"/>
  </ds:schemaRefs>
</ds:datastoreItem>
</file>

<file path=customXml/itemProps4.xml><?xml version="1.0" encoding="utf-8"?>
<ds:datastoreItem xmlns:ds="http://schemas.openxmlformats.org/officeDocument/2006/customXml" ds:itemID="{9F29117B-AA4D-42A7-8CDB-1701610C6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14132</Words>
  <Characters>73350</Characters>
  <Application>Microsoft Office Word</Application>
  <DocSecurity>0</DocSecurity>
  <Lines>1594</Lines>
  <Paragraphs>866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17</cp:revision>
  <cp:lastPrinted>2018-01-23T11:26:00Z</cp:lastPrinted>
  <dcterms:created xsi:type="dcterms:W3CDTF">2018-04-04T13:57:00Z</dcterms:created>
  <dcterms:modified xsi:type="dcterms:W3CDTF">2018-04-11T14:39:00Z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3</vt:lpwstr>
  </property>
  <property fmtid="{D5CDD505-2E9C-101B-9397-08002B2CF9AE}" pid="3" name="Total parts">
    <vt:lpwstr>3</vt:lpwstr>
  </property>
  <property fmtid="{D5CDD505-2E9C-101B-9397-08002B2CF9AE}" pid="4" name="ContentTypeId">
    <vt:lpwstr>0x010100258AA79CEB83498886A3A086811232500089656D43FD526045ADBF23FFD4EEEB73</vt:lpwstr>
  </property>
  <property fmtid="{D5CDD505-2E9C-101B-9397-08002B2CF9AE}" pid="5" name="Level of sensitivity">
    <vt:lpwstr>Standard treatment</vt:lpwstr>
  </property>
  <property fmtid="{D5CDD505-2E9C-101B-9397-08002B2CF9AE}" pid="6" name="DocStatus">
    <vt:lpwstr>Green</vt:lpwstr>
  </property>
</Properties>
</file>