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53AD3DE8-EC01-497E-9EF8-5AB4B6C0E3E2" style="width:450.8pt;height:452.65pt">
            <v:imagedata r:id="rId11" o:title=""/>
          </v:shape>
        </w:pict>
      </w:r>
    </w:p>
    <w:p>
      <w:pPr>
        <w:rPr>
          <w:noProof/>
        </w:rPr>
        <w:sectPr>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 I</w:t>
      </w:r>
    </w:p>
    <w:p>
      <w:pPr>
        <w:pStyle w:val="NormalCentered"/>
        <w:rPr>
          <w:noProof/>
        </w:rPr>
      </w:pPr>
      <w:r>
        <w:rPr>
          <w:noProof/>
        </w:rPr>
        <w:t>LIST OF PROVISIONS OF UNION LAW REFERRED TO IN ARTICLE 2(1)</w:t>
      </w:r>
    </w:p>
    <w:p>
      <w:pPr>
        <w:pStyle w:val="Point0number"/>
        <w:numPr>
          <w:ilvl w:val="0"/>
          <w:numId w:val="9"/>
        </w:numPr>
        <w:rPr>
          <w:noProof/>
          <w:szCs w:val="24"/>
        </w:rPr>
      </w:pPr>
      <w:r>
        <w:rPr>
          <w:noProof/>
        </w:rPr>
        <w:t>Council Directive 85/374/EEC of 25 July 1985 on the approximation of the laws, regulations and administrative provisions of the Member States concerning liability for defective products (OJ L 210 , 07.08.1985, p. 29 –33</w:t>
      </w:r>
      <w:r>
        <w:rPr>
          <w:noProof/>
          <w:szCs w:val="24"/>
        </w:rPr>
        <w:t>)</w:t>
      </w:r>
      <w:r>
        <w:rPr>
          <w:rStyle w:val="FootnoteReference"/>
          <w:noProof/>
          <w:szCs w:val="24"/>
        </w:rPr>
        <w:footnoteReference w:id="2"/>
      </w:r>
      <w:r>
        <w:rPr>
          <w:noProof/>
          <w:szCs w:val="24"/>
        </w:rPr>
        <w:t xml:space="preserve">. </w:t>
      </w:r>
    </w:p>
    <w:p>
      <w:pPr>
        <w:pStyle w:val="Point0number"/>
        <w:rPr>
          <w:noProof/>
        </w:rPr>
      </w:pPr>
      <w:r>
        <w:rPr>
          <w:noProof/>
        </w:rPr>
        <w:t>Council Directive 93/13/EEC of 5 April 1993 on unfair terms in consumer contracts (OJ L 95, 21.4.1993, p. 29).</w:t>
      </w:r>
    </w:p>
    <w:p>
      <w:pPr>
        <w:pStyle w:val="Point0number"/>
        <w:rPr>
          <w:noProof/>
        </w:rPr>
      </w:pPr>
      <w:r>
        <w:rPr>
          <w:noProof/>
        </w:rPr>
        <w:t>Directive 98/6/EC of the European Parliament and of the Council of 16 February 1998 on consumer protection in the indication of the prices of products offered to consumers (OJ L 80, 18.3.1998, p. 27).</w:t>
      </w:r>
    </w:p>
    <w:p>
      <w:pPr>
        <w:pStyle w:val="Point0number"/>
        <w:rPr>
          <w:noProof/>
        </w:rPr>
      </w:pPr>
      <w:r>
        <w:rPr>
          <w:noProof/>
        </w:rPr>
        <w:t>Directive 1999/44/EC of the European Parliament and of the Council of 25 May 1999 on certain aspects of the sale of consumer goods and associated guarantees (OJ L 171, 7.7.1999, p. 12).</w:t>
      </w:r>
    </w:p>
    <w:p>
      <w:pPr>
        <w:pStyle w:val="Point0number"/>
        <w:rPr>
          <w:noProof/>
        </w:rPr>
      </w:pPr>
      <w:r>
        <w:rPr>
          <w:noProof/>
        </w:rPr>
        <w:t>Directive 2000/31/EC of the European Parliament and of the Council of 8 June 2000 on certain legal aspects on information society services, in particular electronic commerce, in the internal market (Directive on electronic commerce) (OJ L 178, 17.7.2000, p. 1).</w:t>
      </w:r>
    </w:p>
    <w:p>
      <w:pPr>
        <w:pStyle w:val="Point0number"/>
        <w:rPr>
          <w:noProof/>
        </w:rPr>
      </w:pPr>
      <w:r>
        <w:rPr>
          <w:noProof/>
        </w:rPr>
        <w:t>Directive 2001/83/EC of the European Parliament and of the Council of 6 November 2001 on the Community code relating to medicinal products for human use: Articles 86 to 100 (OJ L 311, 28.11.2001, p. 67).</w:t>
      </w:r>
    </w:p>
    <w:p>
      <w:pPr>
        <w:pStyle w:val="Point0number"/>
        <w:rPr>
          <w:noProof/>
        </w:rPr>
      </w:pPr>
      <w:r>
        <w:rPr>
          <w:noProof/>
        </w:rPr>
        <w:t>Directive 2002/22/EC of the European Parliament and of the Council of 7 March 2002 on universal service and users' rights relating to electronic communications networks and services (Universal Service Directive) (OJ L 108, 24.4.2002, p. 51–77).</w:t>
      </w:r>
    </w:p>
    <w:p>
      <w:pPr>
        <w:pStyle w:val="Point0number"/>
        <w:rPr>
          <w:noProof/>
        </w:rPr>
      </w:pPr>
      <w:r>
        <w:rPr>
          <w:noProof/>
        </w:rPr>
        <w:t>Directive 2002/58/EC of the European Parliament and of the Council of 12 July 2002 concerning the processing of personal data and the protection of privacy in the electronic communications sector (Directive on privacy and electronic communications) (OJ L 201, 31.7.2002, p. 37): Article 13.</w:t>
      </w:r>
    </w:p>
    <w:p>
      <w:pPr>
        <w:pStyle w:val="Point0number"/>
        <w:rPr>
          <w:noProof/>
        </w:rPr>
      </w:pPr>
      <w:r>
        <w:rPr>
          <w:noProof/>
        </w:rPr>
        <w:t>Directive 2002/65/EC of the European Parliament and of the Council of 23 September 2002 concerning the distance marketing of consumer financial services (OJ L 271, 9.10.2002, p. 16).</w:t>
      </w:r>
    </w:p>
    <w:p>
      <w:pPr>
        <w:pStyle w:val="Point0number"/>
        <w:rPr>
          <w:noProof/>
        </w:rPr>
      </w:pPr>
      <w:r>
        <w:rPr>
          <w:noProof/>
        </w:rPr>
        <w:t>Regulation (EC) No 261/2004 of the European Parliament and of the Council of 11 February 2004 establishing common rules on compensation and assistance to passengers in the event of denied boarding and of cancellation or long delay of flights, and repealing Regulation (EEC) No 295/91 (OJ L 46, 17.2.2004, p. 1).</w:t>
      </w:r>
    </w:p>
    <w:p>
      <w:pPr>
        <w:pStyle w:val="Point0number"/>
        <w:rPr>
          <w:noProof/>
        </w:rPr>
      </w:pPr>
      <w:r>
        <w:rPr>
          <w:noProof/>
        </w:rPr>
        <w:t>Directive 2005/29/EC of the European Parliament and of the Council of 11 May 2005 concerning unfair business-to-consumer commercial practices in the internal market (OJ L 149, 11.6.2005, p. 22).</w:t>
      </w:r>
    </w:p>
    <w:p>
      <w:pPr>
        <w:pStyle w:val="Point0number"/>
        <w:rPr>
          <w:noProof/>
        </w:rPr>
      </w:pPr>
      <w:r>
        <w:rPr>
          <w:noProof/>
        </w:rPr>
        <w:t>Regulation (EC) No 1107/2006 of the European Parliament and of the Council of 5 July 2006 concerning the rights of disabled persons and persons with reduced mobility when travelling by air (OJ L 204, 26.7.2006, p. 1).</w:t>
      </w:r>
    </w:p>
    <w:p>
      <w:pPr>
        <w:pStyle w:val="Point0number"/>
        <w:rPr>
          <w:noProof/>
        </w:rPr>
      </w:pPr>
      <w:r>
        <w:rPr>
          <w:noProof/>
        </w:rPr>
        <w:lastRenderedPageBreak/>
        <w:t>Directive 2006/114/EC of the European Parliament and of the Council of 12 December 2006 concerning misleading and comparative advertising (OJ L 376, 27.12.2006, p. 21): Article 1, point (c) of Article 2 and Articles 4 to 8.</w:t>
      </w:r>
    </w:p>
    <w:p>
      <w:pPr>
        <w:pStyle w:val="Point0number"/>
        <w:rPr>
          <w:noProof/>
        </w:rPr>
      </w:pPr>
      <w:r>
        <w:rPr>
          <w:noProof/>
        </w:rPr>
        <w:t>Directive 2006/123/EC of the European Parliament and of the Council of 12 December 2006 on services in the internal market (OJ L 376, 27.12.2006, p. 36).</w:t>
      </w:r>
    </w:p>
    <w:p>
      <w:pPr>
        <w:pStyle w:val="Point0number"/>
        <w:rPr>
          <w:noProof/>
        </w:rPr>
      </w:pPr>
      <w:r>
        <w:rPr>
          <w:noProof/>
        </w:rPr>
        <w:t>Regulation (EC) No 1371/2007 of the European Parliament and of the Council of 23 October 2007 on rail passengers’ rights and obligations (OJ L 315, 3.12.2007, p. 14).</w:t>
      </w:r>
    </w:p>
    <w:p>
      <w:pPr>
        <w:pStyle w:val="Point0number"/>
        <w:rPr>
          <w:noProof/>
        </w:rPr>
      </w:pPr>
      <w:r>
        <w:rPr>
          <w:noProof/>
        </w:rPr>
        <w:t>Directive 2008/48/EC of the European Parliament and of the Council of 23 April 2008 on credit agreements for consumers and repealing Council Directive 87/102/EEC (OJ L 133, 22.5.2008, p. 66).</w:t>
      </w:r>
    </w:p>
    <w:p>
      <w:pPr>
        <w:pStyle w:val="Point0number"/>
        <w:rPr>
          <w:noProof/>
        </w:rPr>
      </w:pPr>
      <w:r>
        <w:rPr>
          <w:noProof/>
        </w:rPr>
        <w:t>Regulation (EC) No 1008/2008 of the European Parliament and of the Council of 24 September 2008 on common rules for the operation of air services in the Community (OJ L 293, 31.10.2008, p. 3): Articles 22, 23 and 24.</w:t>
      </w:r>
    </w:p>
    <w:p>
      <w:pPr>
        <w:pStyle w:val="Point0number"/>
        <w:rPr>
          <w:noProof/>
        </w:rPr>
      </w:pPr>
      <w:r>
        <w:rPr>
          <w:noProof/>
        </w:rPr>
        <w:t>Regulation (EC) No 1272/2008 of the European Parliament and of the Council of 16 December 2008 on classification, labelling and packaging of substances and mixtures, amending and repealing Directives 67/548/EEC and 1999/45/EC, and amending Regulation (EC) No 1907/2006 (OJ L 353, 31.12.2008, p. 1–1355).</w:t>
      </w:r>
    </w:p>
    <w:p>
      <w:pPr>
        <w:pStyle w:val="Point0number"/>
        <w:rPr>
          <w:noProof/>
        </w:rPr>
      </w:pPr>
      <w:r>
        <w:rPr>
          <w:noProof/>
        </w:rPr>
        <w:t>Directive 2008/122/EC of the European Parliament and of the Council of 14 January 2009 on the protection of consumers in respect of certain aspects of timeshare, long-term holiday product, resale and exchange contracts (OJ L 33, 3.2.2009, p. 10).</w:t>
      </w:r>
    </w:p>
    <w:p>
      <w:pPr>
        <w:pStyle w:val="Point0number"/>
        <w:rPr>
          <w:noProof/>
        </w:rPr>
      </w:pPr>
      <w:r>
        <w:rPr>
          <w:noProof/>
        </w:rPr>
        <w:t>Directive 2009/72/EC of the European Parliament and of the Council of 13 July 2009 concerning common rules for the internal market in electricity and repealing Directive 2003/54/EC (OJ L 211, 14.8.2009, p. 55–93).</w:t>
      </w:r>
    </w:p>
    <w:p>
      <w:pPr>
        <w:pStyle w:val="Point0number"/>
        <w:rPr>
          <w:noProof/>
        </w:rPr>
      </w:pPr>
      <w:r>
        <w:rPr>
          <w:noProof/>
        </w:rPr>
        <w:t>Directive 2009/73/EC of the European Parliament and of the Council of 13 July 2009 concerning common rules for the internal market in natural gas and repealing Directive 2003/55/EC (OJ L 211, 14.8.2009, p. 94–136).</w:t>
      </w:r>
    </w:p>
    <w:p>
      <w:pPr>
        <w:pStyle w:val="Point0number"/>
        <w:rPr>
          <w:noProof/>
        </w:rPr>
      </w:pPr>
      <w:r>
        <w:rPr>
          <w:noProof/>
        </w:rPr>
        <w:t>Directive 2009/65/EC of the European Parliament and of the Council of 13 July 2009 on the coordination of laws, regulations and administrative provisions relating to undertakings for collective investment in transferable securities (UCITS) (OJ L 302, 17.11.2009, p. 32–96).</w:t>
      </w:r>
    </w:p>
    <w:p>
      <w:pPr>
        <w:pStyle w:val="Point0number"/>
        <w:rPr>
          <w:noProof/>
        </w:rPr>
      </w:pPr>
      <w:r>
        <w:rPr>
          <w:noProof/>
        </w:rPr>
        <w:t>Regulation (EC) No 924/2009 of the European Parliament and of the Council of 16 September 2009 on cross-border payments in the Community and repealing Regulation (EC) No 2560/2001 (OJ L 266, 9.10.2009, p. 11–18).</w:t>
      </w:r>
    </w:p>
    <w:p>
      <w:pPr>
        <w:pStyle w:val="Point0number"/>
        <w:rPr>
          <w:noProof/>
        </w:rPr>
      </w:pPr>
      <w:r>
        <w:rPr>
          <w:noProof/>
        </w:rPr>
        <w:t>Directive 2009/110/EC of the European Parliament and of the Council of 16 September 2009 on the taking up, pursuit and prudential supervision of the business of electronic money institutions amending Directives 2005/60/EC and 2006/48/EC and repealing Directive 2000/46/EC (OJ L 267, 10.10.2009, p. 7–17).</w:t>
      </w:r>
    </w:p>
    <w:p>
      <w:pPr>
        <w:pStyle w:val="Point0number"/>
        <w:rPr>
          <w:noProof/>
        </w:rPr>
      </w:pPr>
      <w:r>
        <w:rPr>
          <w:noProof/>
        </w:rPr>
        <w:t>Directive 2009/125/EC of the European Parliament and of the Council of 21 October 2009 establishing a framework for the setting of ecodesign requirements for energy-related products (OJ L 285, 31.10.2009, p. 10–35).</w:t>
      </w:r>
    </w:p>
    <w:p>
      <w:pPr>
        <w:pStyle w:val="Point0number"/>
        <w:rPr>
          <w:noProof/>
        </w:rPr>
      </w:pPr>
      <w:r>
        <w:rPr>
          <w:noProof/>
        </w:rPr>
        <w:t>Regulation (EC) No 1222/2009 of the European Parliament and of the Council of 25 November 2009 on the labelling of tyres with respect to fuel efficiency and other essential parameters (OJ L 342, 22.12.2009, p. 46–58).</w:t>
      </w:r>
    </w:p>
    <w:p>
      <w:pPr>
        <w:pStyle w:val="Point0number"/>
        <w:rPr>
          <w:noProof/>
        </w:rPr>
      </w:pPr>
      <w:r>
        <w:rPr>
          <w:noProof/>
        </w:rPr>
        <w:t>Directive 2009/138/EC of the European Parliament and of the Council of 25 November 2009 on the taking-up and pursuit of the business of Insurance and Reinsurance (Solvency II) (OJ L 335, 17.12.2009, p. 1–155): Articles 183, 184, 185 and186.</w:t>
      </w:r>
    </w:p>
    <w:p>
      <w:pPr>
        <w:pStyle w:val="Point0number"/>
        <w:rPr>
          <w:noProof/>
        </w:rPr>
      </w:pPr>
      <w:r>
        <w:rPr>
          <w:noProof/>
        </w:rPr>
        <w:t>Directive 2010/13/EU of the European Parliament and of the Council of 10 March 2010 on the coordination of certain provisions laid down by law, regulation or administrative action in Member States concerning the provision of audiovisual media services (Audiovisual Media Services Directive) (OJ L 95, 15.4.2010, p. 1): Articles 9, 10, 11 and Articles 19 to 26.</w:t>
      </w:r>
    </w:p>
    <w:p>
      <w:pPr>
        <w:pStyle w:val="Point0number"/>
        <w:rPr>
          <w:noProof/>
        </w:rPr>
      </w:pPr>
      <w:r>
        <w:rPr>
          <w:noProof/>
        </w:rPr>
        <w:t>Directive 2010/31/EU of the European Parliament and of the Council of 19 May 2010 on the energy performance of buildings (OJ L 153, 18.6.2010, p. 13–35).</w:t>
      </w:r>
    </w:p>
    <w:p>
      <w:pPr>
        <w:pStyle w:val="Point0number"/>
        <w:rPr>
          <w:noProof/>
        </w:rPr>
      </w:pPr>
      <w:r>
        <w:rPr>
          <w:noProof/>
        </w:rPr>
        <w:t>Regulation (EC) No 66/2010 of the European Parliament and of the Council of 25 November 2009 on the EU Ecolabel (OJ L 27, 30.1.2010, p. 1–19).</w:t>
      </w:r>
    </w:p>
    <w:p>
      <w:pPr>
        <w:pStyle w:val="Point0number"/>
        <w:rPr>
          <w:noProof/>
        </w:rPr>
      </w:pPr>
      <w:r>
        <w:rPr>
          <w:noProof/>
        </w:rPr>
        <w:t xml:space="preserve">Regulation (EU) No 1177/2010 of the European Parliament and of the Council of 24 November 2010 concerning the rights of passengers when travelling by sea and inland waterway and amending Regulation (EC) No 2006/2004 (OJ L 334, 17.12.2010, p. 1). </w:t>
      </w:r>
    </w:p>
    <w:p>
      <w:pPr>
        <w:pStyle w:val="Point0number"/>
        <w:rPr>
          <w:noProof/>
        </w:rPr>
      </w:pPr>
      <w:r>
        <w:rPr>
          <w:noProof/>
        </w:rPr>
        <w:t>Regulation (EU) No 181/2011 of the European Parliament and of the Council of 16 February 2011 concerning the rights of passengers in bus and coach transport and amending Regulation (EC) No 2006/2004 (OJ L 55, 28.2.2011, p. 1).</w:t>
      </w:r>
    </w:p>
    <w:p>
      <w:pPr>
        <w:pStyle w:val="Point0number"/>
        <w:rPr>
          <w:noProof/>
        </w:rPr>
      </w:pPr>
      <w:r>
        <w:rPr>
          <w:noProof/>
        </w:rPr>
        <w:t>Directive 2011/24/EU of the European Parliament and of the Council of 9   March 2011 on the application of patients’ rights in cross-border healthcare (OJ L 88, 4.4.2011, p. 45–65).</w:t>
      </w:r>
    </w:p>
    <w:p>
      <w:pPr>
        <w:pStyle w:val="Point0number"/>
        <w:rPr>
          <w:noProof/>
        </w:rPr>
      </w:pPr>
      <w:r>
        <w:rPr>
          <w:noProof/>
        </w:rPr>
        <w:t>Directive 2011/61/EU of the European Parliament and of the Council of 8 June 2011 on Alternative Investment Fund Managers and amending Directives 2003/41/EC and 2009/65/EC and Regulations (EC) No 1060/2009 and (EU) No 1095/2010 (OJ L 174, 1.7.2011, p. 1–73).</w:t>
      </w:r>
    </w:p>
    <w:p>
      <w:pPr>
        <w:pStyle w:val="Point0number"/>
        <w:rPr>
          <w:noProof/>
        </w:rPr>
      </w:pPr>
      <w:r>
        <w:rPr>
          <w:noProof/>
        </w:rPr>
        <w:t>Directive 2011/83/EU of the European Parliament and of the Council of 25 October 2011 on consumer rights, amending Council Directive 93/13/EEC and Directive 1999/44/EC of the European Parliament and of the Council and repealing Council Directive 85/577/EEC and Directive 97/7/EC of the European Parliament and of the Council (OJ L 304, 22.11.2011, p. 64).</w:t>
      </w:r>
    </w:p>
    <w:p>
      <w:pPr>
        <w:pStyle w:val="Point0number"/>
        <w:rPr>
          <w:noProof/>
        </w:rPr>
      </w:pPr>
      <w:r>
        <w:rPr>
          <w:noProof/>
        </w:rPr>
        <w:t>Regulation (EU) No 1169/2011 of the European Parliament and of the Council of 25 October 2011 on the provision of food information to consumers, amending Regulations (EC) No 1924/2006 and (EC) No 1925/2006 of the European Parliament and of the Council, and repealing Commission Directive 87/250/EEC, Council Directive 90/496/EEC, Commission Directive 1999/10/EC, Directive 2000/13/EC of the European Parliament and of the Council, Commission Directives 2002/67/EC and 2008/5/EC and Commission Regulation (EC) No 608/2004 (OJ L 304, 22.11.2011, p. 18–63).</w:t>
      </w:r>
    </w:p>
    <w:p>
      <w:pPr>
        <w:pStyle w:val="Point0number"/>
        <w:rPr>
          <w:noProof/>
        </w:rPr>
      </w:pPr>
      <w:r>
        <w:rPr>
          <w:noProof/>
        </w:rPr>
        <w:t>Regulation (EU) No 260/2012 of the European Parliament and of the Council of 14 March 2012 establishing technical and business requirements for credit transfers and direct debits in euro and amending Regulation (EC) No 924/2009 (OJ L 94, 30.3.2012, p. 22–37).</w:t>
      </w:r>
    </w:p>
    <w:p>
      <w:pPr>
        <w:pStyle w:val="Point0number"/>
        <w:rPr>
          <w:noProof/>
        </w:rPr>
      </w:pPr>
      <w:r>
        <w:rPr>
          <w:noProof/>
        </w:rPr>
        <w:t>Regulation (EU) No 531/2012 of the European Parliament and of the Council of 13 June 2012 on roaming on public mobile communications networks within the Union (OJ L 172, 30.6.2012, p. 10–35).</w:t>
      </w:r>
    </w:p>
    <w:p>
      <w:pPr>
        <w:pStyle w:val="Point0number"/>
        <w:rPr>
          <w:noProof/>
        </w:rPr>
      </w:pPr>
      <w:r>
        <w:rPr>
          <w:noProof/>
        </w:rPr>
        <w:t>Directive 2012/27/EU of the European Parliament and of the Council of 25 October 2012 on energy efficiency, amending Directives 2009/125/EC and 2010/30/EU and repealing Directives 2004/8/EC and 2006/32/EC (OJ L 315, 14.11.2012, p. 1–56).</w:t>
      </w:r>
    </w:p>
    <w:p>
      <w:pPr>
        <w:pStyle w:val="Point0number"/>
        <w:rPr>
          <w:noProof/>
        </w:rPr>
      </w:pPr>
      <w:r>
        <w:rPr>
          <w:noProof/>
        </w:rPr>
        <w:t>Directive 2013/11/EU of the European Parliament and of the Council of 21 May 2013 on alternative dispute resolution for consumer disputes (OJ L 165, 18.6.2013, p. 63): Article 13.</w:t>
      </w:r>
    </w:p>
    <w:p>
      <w:pPr>
        <w:pStyle w:val="Point0number"/>
        <w:rPr>
          <w:noProof/>
        </w:rPr>
      </w:pPr>
      <w:r>
        <w:rPr>
          <w:noProof/>
        </w:rPr>
        <w:t>Regulation (EU) No 524/2013 of the European Parliament and of the Council of 21 May 2013 on online dispute resolution for consumer disputes (Regulation on consumer ODR) (OJ L 165, 18.6.2013, p. 1): Article 14.</w:t>
      </w:r>
    </w:p>
    <w:p>
      <w:pPr>
        <w:pStyle w:val="Point0number"/>
        <w:rPr>
          <w:noProof/>
        </w:rPr>
      </w:pPr>
      <w:r>
        <w:rPr>
          <w:noProof/>
        </w:rPr>
        <w:t>Regulation (EU) No 345/2013 of the European Parliament and of the Council of 17 April 2013 on European venture capital funds (OJ L 115, 25.4.2013, p. 1–17).</w:t>
      </w:r>
    </w:p>
    <w:p>
      <w:pPr>
        <w:pStyle w:val="Point0number"/>
        <w:rPr>
          <w:noProof/>
        </w:rPr>
      </w:pPr>
      <w:r>
        <w:rPr>
          <w:noProof/>
        </w:rPr>
        <w:t>Regulation (EU) No 346/2013 of the European Parliament and of the Council of 17 April 2013 on European social entrepreneurship funds (OJ L 115, 25.4.2013, p. 18–38).</w:t>
      </w:r>
    </w:p>
    <w:p>
      <w:pPr>
        <w:pStyle w:val="Point0number"/>
        <w:rPr>
          <w:noProof/>
        </w:rPr>
      </w:pPr>
      <w:r>
        <w:rPr>
          <w:noProof/>
        </w:rPr>
        <w:t>Directive 2014/17/EU of the European Parliament and of the Council of 4 February 2014 on credit agreements for consumers relating to residential immovable property and amending Directives 2008/48/EC and 2013/36/EU and Regulation (EU) No 1093/2010 (OJ L 60, 28.2.2014, p. 34): Articles 10, 11, 13, 14, 15, 16, 17, 18, 21, 22, 23, Chapter 10 and Annexes I and II.</w:t>
      </w:r>
    </w:p>
    <w:p>
      <w:pPr>
        <w:pStyle w:val="Point0number"/>
        <w:rPr>
          <w:noProof/>
        </w:rPr>
      </w:pPr>
      <w:r>
        <w:rPr>
          <w:noProof/>
        </w:rPr>
        <w:t>Directive 2014/65/EU of the European Parliament and of the Council of 15 May 2014 on markets in financial instruments and amending Directive 2002/92/EC and Directive 2011/61/EU (OJ L 173, 12.6.2014, p. 349–496).</w:t>
      </w:r>
    </w:p>
    <w:p>
      <w:pPr>
        <w:pStyle w:val="Point0number"/>
        <w:rPr>
          <w:noProof/>
        </w:rPr>
      </w:pPr>
      <w:r>
        <w:rPr>
          <w:noProof/>
        </w:rPr>
        <w:t>Directive 2014/92/EU of the European Parliament and of the Council of 23 July 2014 on the comparability of fees related to payment accounts, payment account switching and access to payment accounts with basic features (OJ L 257, 28.8.2014, p. 214): Articles 3 to 18 and Article 20(2).</w:t>
      </w:r>
    </w:p>
    <w:p>
      <w:pPr>
        <w:pStyle w:val="Point0number"/>
        <w:rPr>
          <w:noProof/>
        </w:rPr>
      </w:pPr>
      <w:r>
        <w:rPr>
          <w:noProof/>
        </w:rPr>
        <w:t>Directive (EU) 2015/2302 of the European Parliament and of the Council of 25 November 2015 on package travel and linked travel arrangements, amending Regulation (EC) No 2006/2004 and Directive 2011/83/EU of the European Parliament and of the Council and repealing Council Directive 90/314/EEC (OJ L 326, 11.12.2015, p. 1).</w:t>
      </w:r>
    </w:p>
    <w:p>
      <w:pPr>
        <w:pStyle w:val="Point0number"/>
        <w:rPr>
          <w:noProof/>
        </w:rPr>
      </w:pPr>
      <w:r>
        <w:rPr>
          <w:noProof/>
        </w:rPr>
        <w:t>Regulation (EU) No 1286/2014 of the European Parliament and of the Council of 26 November 2014 on key information documents for packaged retail and insurance-based investment products (PRIIPs) (OJ L 352, 9.12.2014, p. 1–23).</w:t>
      </w:r>
    </w:p>
    <w:p>
      <w:pPr>
        <w:pStyle w:val="Point0number"/>
        <w:rPr>
          <w:noProof/>
        </w:rPr>
      </w:pPr>
      <w:r>
        <w:rPr>
          <w:noProof/>
        </w:rPr>
        <w:t>Regulation (EU) 2015/760 of the European Parliament and of the Council of 29 April 2015 on European long-term investment funds (OJ L 123, 19.5.2015, p. 98–121).</w:t>
      </w:r>
    </w:p>
    <w:p>
      <w:pPr>
        <w:pStyle w:val="Point0number"/>
        <w:rPr>
          <w:noProof/>
        </w:rPr>
      </w:pPr>
      <w:r>
        <w:rPr>
          <w:noProof/>
        </w:rPr>
        <w:t>Directive (EU) 2015/2366 of the European Parliament and of the Council of 25 November 2015 on payment services in the internal market, amending Directives 2002/65/EC, 2009/110/EC and 2013/36/EU and Regulation (EU) No 1093/2010, and repealing Directive 2007/64/EC (OJ L 337, 23.12.2015, p. 35–127).</w:t>
      </w:r>
    </w:p>
    <w:p>
      <w:pPr>
        <w:pStyle w:val="Point0number"/>
        <w:rPr>
          <w:noProof/>
        </w:rPr>
      </w:pPr>
      <w:r>
        <w:rPr>
          <w:noProof/>
        </w:rPr>
        <w:t>Regulation (EU) 2015/2120 of the European Parliament and of the Council of 25 November 2015 laying down measures concerning open internet access and amending Directive 2002/22/EC on universal service and users’ rights relating to electronic communications networks and services and Regulation (EU) No 531/2012 on roaming on public mobile communications networks within the Union (OJ L 310, 26.11.2015, p. 1–18).</w:t>
      </w:r>
    </w:p>
    <w:p>
      <w:pPr>
        <w:pStyle w:val="Point0number"/>
        <w:rPr>
          <w:noProof/>
        </w:rPr>
      </w:pPr>
      <w:r>
        <w:rPr>
          <w:noProof/>
        </w:rPr>
        <w:t>Directive (EU) 2016/97 of the European Parliament and of the Council of 20 January 2016 on insurance distribution (recast) (OJ L 26, 2.2.2016, p. 19–59).</w:t>
      </w:r>
    </w:p>
    <w:p>
      <w:pPr>
        <w:pStyle w:val="Point0number"/>
        <w:rPr>
          <w:noProof/>
        </w:rPr>
      </w:pPr>
      <w:r>
        <w:rPr>
          <w:noProof/>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1–88).</w:t>
      </w:r>
    </w:p>
    <w:p>
      <w:pPr>
        <w:pStyle w:val="Point0number"/>
        <w:rPr>
          <w:noProof/>
        </w:rPr>
      </w:pPr>
      <w:r>
        <w:rPr>
          <w:noProof/>
        </w:rPr>
        <w:t>Directive (EU) 2016/2341 of the European Parliament and of the Council of 14 December 2016 on the activities and supervision of institutions for occupational retirement provision (IORPs) (OJ L 354, 23.12.2016, p. 37–85).</w:t>
      </w:r>
    </w:p>
    <w:p>
      <w:pPr>
        <w:pStyle w:val="Point0number"/>
        <w:rPr>
          <w:noProof/>
        </w:rPr>
      </w:pPr>
      <w:r>
        <w:rPr>
          <w:noProof/>
        </w:rPr>
        <w:t>Regulation (EU) 2017/1128 of the European Parliament and of the Council of 14 June 2017 on cross-border portability of online content services in the internal market (OJ L 168, 30.6.2017, p. 1).</w:t>
      </w:r>
    </w:p>
    <w:p>
      <w:pPr>
        <w:pStyle w:val="Point0number"/>
        <w:rPr>
          <w:noProof/>
        </w:rPr>
      </w:pPr>
      <w:r>
        <w:rPr>
          <w:noProof/>
        </w:rPr>
        <w:t>Regulation (EU) 2017/1129 of the European Parliament and of the Council of 14 June 2017 on the prospectus to be published when securities are offered to the public or admitted to trading on a regulated market, and repealing Directive 2003/71/EC (OJ L 168, 30.6.2017, p. 12–82).</w:t>
      </w:r>
    </w:p>
    <w:p>
      <w:pPr>
        <w:pStyle w:val="Point0number"/>
        <w:rPr>
          <w:noProof/>
        </w:rPr>
      </w:pPr>
      <w:r>
        <w:rPr>
          <w:noProof/>
        </w:rPr>
        <w:t>Regulation (EU) 2017/1131 of the European Parliament and of the Council of 14 June 2017 on money market funds (OJ L 169, 30.6.2017, p. 8–45).</w:t>
      </w:r>
    </w:p>
    <w:p>
      <w:pPr>
        <w:pStyle w:val="Point0number"/>
        <w:rPr>
          <w:noProof/>
        </w:rPr>
      </w:pPr>
      <w:r>
        <w:rPr>
          <w:noProof/>
        </w:rPr>
        <w:t>Regulation (EU) 2017/1369 of the European Parliament and of the Council of 4 July 2017 setting a framework for energy labelling and repealing Directive 2010/30/EU (OJ L 198, 28.7.2017, p. 1–23).</w:t>
      </w:r>
    </w:p>
    <w:p>
      <w:pPr>
        <w:pStyle w:val="Point0number"/>
        <w:rPr>
          <w:noProof/>
        </w:rPr>
        <w:sectPr>
          <w:footerReference w:type="default" r:id="rId18"/>
          <w:footerReference w:type="first" r:id="rId19"/>
          <w:pgSz w:w="11907" w:h="16839"/>
          <w:pgMar w:top="1134" w:right="1417" w:bottom="1134" w:left="1417" w:header="709" w:footer="709" w:gutter="0"/>
          <w:cols w:space="720"/>
          <w:docGrid w:linePitch="360"/>
        </w:sectPr>
      </w:pPr>
      <w:r>
        <w:rPr>
          <w:noProof/>
        </w:rPr>
        <w:t>Regulation (EU) 2018/302 of the European Parliament and of the Council of 28 February 2018 on addressing unjustified geo-blocking and other forms of discrimination based on customers' nationality, place of residence or place of establishment within the internal market and amending Regulations (EC) No 2006/2004 and (EU) 2017/2394 and Directive 2009/22/EC (OJ L 60, 02.03.2018, p. 1)</w:t>
      </w:r>
      <w:r>
        <w:rPr>
          <w:noProof/>
          <w:szCs w:val="24"/>
        </w:rPr>
        <w:t>.</w:t>
      </w:r>
      <w:r>
        <w:rPr>
          <w:noProof/>
        </w:rPr>
        <w:t xml:space="preserve"> </w:t>
      </w:r>
    </w:p>
    <w:p>
      <w:pPr>
        <w:pStyle w:val="Annexetitre"/>
        <w:rPr>
          <w:noProof/>
        </w:rPr>
      </w:pPr>
      <w:r>
        <w:rPr>
          <w:noProof/>
        </w:rPr>
        <w:t>ANNEX II</w:t>
      </w:r>
    </w:p>
    <w:p>
      <w:pPr>
        <w:pStyle w:val="NormalCentered"/>
        <w:rPr>
          <w:noProof/>
        </w:rPr>
      </w:pPr>
      <w:r>
        <w:rPr>
          <w:noProof/>
        </w:rPr>
        <w:t>CORRELATION TABLE</w:t>
      </w:r>
    </w:p>
    <w:tbl>
      <w:tblPr>
        <w:tblStyle w:val="TableGrid"/>
        <w:tblW w:w="0" w:type="auto"/>
        <w:tblLook w:val="04A0" w:firstRow="1" w:lastRow="0" w:firstColumn="1" w:lastColumn="0" w:noHBand="0" w:noVBand="1"/>
      </w:tblPr>
      <w:tblGrid>
        <w:gridCol w:w="4644"/>
        <w:gridCol w:w="4645"/>
      </w:tblGrid>
      <w:tr>
        <w:tc>
          <w:tcPr>
            <w:tcW w:w="4644" w:type="dxa"/>
          </w:tcPr>
          <w:p>
            <w:pPr>
              <w:pStyle w:val="NormalCentered"/>
              <w:rPr>
                <w:noProof/>
              </w:rPr>
            </w:pPr>
            <w:r>
              <w:rPr>
                <w:noProof/>
                <w:lang w:eastAsia="en-GB"/>
              </w:rPr>
              <w:t>Directive 2009/22/EC</w:t>
            </w:r>
          </w:p>
        </w:tc>
        <w:tc>
          <w:tcPr>
            <w:tcW w:w="4645" w:type="dxa"/>
          </w:tcPr>
          <w:p>
            <w:pPr>
              <w:jc w:val="center"/>
              <w:rPr>
                <w:noProof/>
              </w:rPr>
            </w:pPr>
            <w:r>
              <w:rPr>
                <w:noProof/>
              </w:rPr>
              <w:t xml:space="preserve">This Directive </w:t>
            </w:r>
          </w:p>
        </w:tc>
      </w:tr>
      <w:tr>
        <w:tc>
          <w:tcPr>
            <w:tcW w:w="4644" w:type="dxa"/>
          </w:tcPr>
          <w:p>
            <w:pPr>
              <w:jc w:val="center"/>
              <w:rPr>
                <w:noProof/>
              </w:rPr>
            </w:pPr>
            <w:r>
              <w:rPr>
                <w:noProof/>
              </w:rPr>
              <w:t>Article 1(1)</w:t>
            </w:r>
          </w:p>
        </w:tc>
        <w:tc>
          <w:tcPr>
            <w:tcW w:w="4645" w:type="dxa"/>
          </w:tcPr>
          <w:p>
            <w:pPr>
              <w:jc w:val="center"/>
              <w:rPr>
                <w:noProof/>
              </w:rPr>
            </w:pPr>
            <w:r>
              <w:rPr>
                <w:noProof/>
              </w:rPr>
              <w:t>Article 1(1)</w:t>
            </w:r>
          </w:p>
        </w:tc>
      </w:tr>
      <w:tr>
        <w:tc>
          <w:tcPr>
            <w:tcW w:w="4644" w:type="dxa"/>
          </w:tcPr>
          <w:p>
            <w:pPr>
              <w:jc w:val="center"/>
              <w:rPr>
                <w:noProof/>
              </w:rPr>
            </w:pPr>
            <w:r>
              <w:rPr>
                <w:noProof/>
              </w:rPr>
              <w:t>Article 1(2)</w:t>
            </w:r>
          </w:p>
        </w:tc>
        <w:tc>
          <w:tcPr>
            <w:tcW w:w="4645" w:type="dxa"/>
          </w:tcPr>
          <w:p>
            <w:pPr>
              <w:jc w:val="center"/>
              <w:rPr>
                <w:noProof/>
              </w:rPr>
            </w:pPr>
            <w:r>
              <w:rPr>
                <w:noProof/>
              </w:rPr>
              <w:t>Article 2(1)</w:t>
            </w:r>
          </w:p>
        </w:tc>
      </w:tr>
      <w:tr>
        <w:tc>
          <w:tcPr>
            <w:tcW w:w="4644" w:type="dxa"/>
          </w:tcPr>
          <w:p>
            <w:pPr>
              <w:jc w:val="center"/>
              <w:rPr>
                <w:noProof/>
              </w:rPr>
            </w:pPr>
            <w:r>
              <w:rPr>
                <w:noProof/>
              </w:rPr>
              <w:t>-</w:t>
            </w:r>
          </w:p>
        </w:tc>
        <w:tc>
          <w:tcPr>
            <w:tcW w:w="4645" w:type="dxa"/>
          </w:tcPr>
          <w:p>
            <w:pPr>
              <w:jc w:val="center"/>
              <w:rPr>
                <w:noProof/>
              </w:rPr>
            </w:pPr>
            <w:r>
              <w:rPr>
                <w:noProof/>
              </w:rPr>
              <w:t>Article 2(2)</w:t>
            </w:r>
          </w:p>
        </w:tc>
      </w:tr>
      <w:tr>
        <w:tc>
          <w:tcPr>
            <w:tcW w:w="4644" w:type="dxa"/>
          </w:tcPr>
          <w:p>
            <w:pPr>
              <w:jc w:val="center"/>
              <w:rPr>
                <w:noProof/>
              </w:rPr>
            </w:pPr>
            <w:r>
              <w:rPr>
                <w:noProof/>
              </w:rPr>
              <w:t>-</w:t>
            </w:r>
          </w:p>
        </w:tc>
        <w:tc>
          <w:tcPr>
            <w:tcW w:w="4645" w:type="dxa"/>
          </w:tcPr>
          <w:p>
            <w:pPr>
              <w:jc w:val="center"/>
              <w:rPr>
                <w:noProof/>
              </w:rPr>
            </w:pPr>
            <w:r>
              <w:rPr>
                <w:noProof/>
              </w:rPr>
              <w:t>Article 3</w:t>
            </w:r>
          </w:p>
        </w:tc>
      </w:tr>
      <w:tr>
        <w:tc>
          <w:tcPr>
            <w:tcW w:w="4644" w:type="dxa"/>
          </w:tcPr>
          <w:p>
            <w:pPr>
              <w:jc w:val="center"/>
              <w:rPr>
                <w:noProof/>
              </w:rPr>
            </w:pPr>
            <w:r>
              <w:rPr>
                <w:noProof/>
              </w:rPr>
              <w:t xml:space="preserve">Article 2(1) </w:t>
            </w:r>
          </w:p>
        </w:tc>
        <w:tc>
          <w:tcPr>
            <w:tcW w:w="4645" w:type="dxa"/>
          </w:tcPr>
          <w:p>
            <w:pPr>
              <w:jc w:val="center"/>
              <w:rPr>
                <w:noProof/>
              </w:rPr>
            </w:pPr>
            <w:r>
              <w:rPr>
                <w:noProof/>
              </w:rPr>
              <w:t>Article 5(1)</w:t>
            </w:r>
          </w:p>
        </w:tc>
      </w:tr>
      <w:tr>
        <w:tc>
          <w:tcPr>
            <w:tcW w:w="4644" w:type="dxa"/>
          </w:tcPr>
          <w:p>
            <w:pPr>
              <w:jc w:val="center"/>
              <w:rPr>
                <w:noProof/>
              </w:rPr>
            </w:pPr>
            <w:r>
              <w:rPr>
                <w:noProof/>
              </w:rPr>
              <w:t>Article 2(1) point (a)</w:t>
            </w:r>
          </w:p>
        </w:tc>
        <w:tc>
          <w:tcPr>
            <w:tcW w:w="4645" w:type="dxa"/>
          </w:tcPr>
          <w:p>
            <w:pPr>
              <w:jc w:val="center"/>
              <w:rPr>
                <w:noProof/>
                <w:lang w:val="fr-BE"/>
              </w:rPr>
            </w:pPr>
            <w:r>
              <w:rPr>
                <w:noProof/>
                <w:lang w:val="fr-BE"/>
              </w:rPr>
              <w:t>Article 5(2) points (a) and (b)</w:t>
            </w:r>
          </w:p>
          <w:p>
            <w:pPr>
              <w:jc w:val="center"/>
              <w:rPr>
                <w:noProof/>
                <w:lang w:val="fr-BE"/>
              </w:rPr>
            </w:pPr>
            <w:r>
              <w:rPr>
                <w:noProof/>
                <w:lang w:val="fr-BE"/>
              </w:rPr>
              <w:t>Article 12</w:t>
            </w:r>
          </w:p>
        </w:tc>
      </w:tr>
      <w:tr>
        <w:tc>
          <w:tcPr>
            <w:tcW w:w="4644" w:type="dxa"/>
          </w:tcPr>
          <w:p>
            <w:pPr>
              <w:jc w:val="center"/>
              <w:rPr>
                <w:noProof/>
              </w:rPr>
            </w:pPr>
            <w:r>
              <w:rPr>
                <w:noProof/>
              </w:rPr>
              <w:t>-</w:t>
            </w:r>
          </w:p>
        </w:tc>
        <w:tc>
          <w:tcPr>
            <w:tcW w:w="4645" w:type="dxa"/>
          </w:tcPr>
          <w:p>
            <w:pPr>
              <w:jc w:val="center"/>
              <w:rPr>
                <w:noProof/>
                <w:lang w:val="fr-BE"/>
              </w:rPr>
            </w:pPr>
            <w:r>
              <w:rPr>
                <w:noProof/>
                <w:lang w:val="fr-BE"/>
              </w:rPr>
              <w:t xml:space="preserve">Article 5(2) second subparagraph </w:t>
            </w:r>
          </w:p>
          <w:p>
            <w:pPr>
              <w:jc w:val="center"/>
              <w:rPr>
                <w:noProof/>
                <w:lang w:val="fr-BE"/>
              </w:rPr>
            </w:pPr>
          </w:p>
        </w:tc>
      </w:tr>
      <w:tr>
        <w:tc>
          <w:tcPr>
            <w:tcW w:w="4644" w:type="dxa"/>
          </w:tcPr>
          <w:p>
            <w:pPr>
              <w:jc w:val="center"/>
              <w:rPr>
                <w:noProof/>
              </w:rPr>
            </w:pPr>
            <w:r>
              <w:rPr>
                <w:noProof/>
              </w:rPr>
              <w:t>Article 2(1) point (b)</w:t>
            </w:r>
          </w:p>
        </w:tc>
        <w:tc>
          <w:tcPr>
            <w:tcW w:w="4645" w:type="dxa"/>
          </w:tcPr>
          <w:p>
            <w:pPr>
              <w:jc w:val="center"/>
              <w:rPr>
                <w:noProof/>
              </w:rPr>
            </w:pPr>
            <w:r>
              <w:rPr>
                <w:noProof/>
              </w:rPr>
              <w:t>Article 5(3)</w:t>
            </w:r>
          </w:p>
          <w:p>
            <w:pPr>
              <w:jc w:val="center"/>
              <w:rPr>
                <w:noProof/>
              </w:rPr>
            </w:pPr>
            <w:r>
              <w:rPr>
                <w:noProof/>
              </w:rPr>
              <w:t>Article 9</w:t>
            </w:r>
          </w:p>
        </w:tc>
      </w:tr>
      <w:tr>
        <w:tc>
          <w:tcPr>
            <w:tcW w:w="4644" w:type="dxa"/>
          </w:tcPr>
          <w:p>
            <w:pPr>
              <w:jc w:val="center"/>
              <w:rPr>
                <w:noProof/>
              </w:rPr>
            </w:pPr>
            <w:r>
              <w:rPr>
                <w:noProof/>
              </w:rPr>
              <w:t>Article 2(1) point (c)</w:t>
            </w:r>
          </w:p>
        </w:tc>
        <w:tc>
          <w:tcPr>
            <w:tcW w:w="4645" w:type="dxa"/>
          </w:tcPr>
          <w:p>
            <w:pPr>
              <w:jc w:val="center"/>
              <w:rPr>
                <w:noProof/>
              </w:rPr>
            </w:pPr>
            <w:r>
              <w:rPr>
                <w:noProof/>
              </w:rPr>
              <w:t>Article 14</w:t>
            </w:r>
          </w:p>
        </w:tc>
      </w:tr>
      <w:tr>
        <w:tc>
          <w:tcPr>
            <w:tcW w:w="4644" w:type="dxa"/>
          </w:tcPr>
          <w:p>
            <w:pPr>
              <w:jc w:val="center"/>
              <w:rPr>
                <w:noProof/>
              </w:rPr>
            </w:pPr>
            <w:r>
              <w:rPr>
                <w:noProof/>
              </w:rPr>
              <w:t>Article 2(2)</w:t>
            </w:r>
          </w:p>
        </w:tc>
        <w:tc>
          <w:tcPr>
            <w:tcW w:w="4645" w:type="dxa"/>
          </w:tcPr>
          <w:p>
            <w:pPr>
              <w:jc w:val="center"/>
              <w:rPr>
                <w:noProof/>
              </w:rPr>
            </w:pPr>
            <w:r>
              <w:rPr>
                <w:noProof/>
              </w:rPr>
              <w:t>Article 2(3)</w:t>
            </w:r>
          </w:p>
        </w:tc>
      </w:tr>
      <w:tr>
        <w:tc>
          <w:tcPr>
            <w:tcW w:w="4644" w:type="dxa"/>
          </w:tcPr>
          <w:p>
            <w:pPr>
              <w:jc w:val="center"/>
              <w:rPr>
                <w:noProof/>
              </w:rPr>
            </w:pPr>
            <w:r>
              <w:rPr>
                <w:noProof/>
              </w:rPr>
              <w:t>Article 3</w:t>
            </w:r>
          </w:p>
        </w:tc>
        <w:tc>
          <w:tcPr>
            <w:tcW w:w="4645" w:type="dxa"/>
          </w:tcPr>
          <w:p>
            <w:pPr>
              <w:jc w:val="center"/>
              <w:rPr>
                <w:noProof/>
              </w:rPr>
            </w:pPr>
            <w:r>
              <w:rPr>
                <w:noProof/>
              </w:rPr>
              <w:t>Article 4(1)-(3)</w:t>
            </w:r>
          </w:p>
        </w:tc>
      </w:tr>
      <w:tr>
        <w:tc>
          <w:tcPr>
            <w:tcW w:w="4644" w:type="dxa"/>
          </w:tcPr>
          <w:p>
            <w:pPr>
              <w:jc w:val="center"/>
              <w:rPr>
                <w:noProof/>
              </w:rPr>
            </w:pPr>
            <w:r>
              <w:rPr>
                <w:noProof/>
              </w:rPr>
              <w:t>-</w:t>
            </w:r>
          </w:p>
        </w:tc>
        <w:tc>
          <w:tcPr>
            <w:tcW w:w="4645" w:type="dxa"/>
          </w:tcPr>
          <w:p>
            <w:pPr>
              <w:jc w:val="center"/>
              <w:rPr>
                <w:noProof/>
              </w:rPr>
            </w:pPr>
            <w:r>
              <w:rPr>
                <w:noProof/>
              </w:rPr>
              <w:t xml:space="preserve">Article 4(4) </w:t>
            </w:r>
          </w:p>
        </w:tc>
      </w:tr>
      <w:tr>
        <w:tc>
          <w:tcPr>
            <w:tcW w:w="4644" w:type="dxa"/>
          </w:tcPr>
          <w:p>
            <w:pPr>
              <w:jc w:val="center"/>
              <w:rPr>
                <w:noProof/>
              </w:rPr>
            </w:pPr>
            <w:r>
              <w:rPr>
                <w:noProof/>
              </w:rPr>
              <w:t>-</w:t>
            </w:r>
          </w:p>
        </w:tc>
        <w:tc>
          <w:tcPr>
            <w:tcW w:w="4645" w:type="dxa"/>
          </w:tcPr>
          <w:p>
            <w:pPr>
              <w:jc w:val="center"/>
              <w:rPr>
                <w:noProof/>
              </w:rPr>
            </w:pPr>
            <w:r>
              <w:rPr>
                <w:noProof/>
              </w:rPr>
              <w:t>Article 4(5)</w:t>
            </w:r>
          </w:p>
        </w:tc>
      </w:tr>
      <w:tr>
        <w:tc>
          <w:tcPr>
            <w:tcW w:w="4644" w:type="dxa"/>
          </w:tcPr>
          <w:p>
            <w:pPr>
              <w:jc w:val="center"/>
              <w:rPr>
                <w:noProof/>
              </w:rPr>
            </w:pPr>
            <w:r>
              <w:rPr>
                <w:noProof/>
              </w:rPr>
              <w:t>-</w:t>
            </w:r>
          </w:p>
        </w:tc>
        <w:tc>
          <w:tcPr>
            <w:tcW w:w="4645" w:type="dxa"/>
          </w:tcPr>
          <w:p>
            <w:pPr>
              <w:jc w:val="center"/>
              <w:rPr>
                <w:noProof/>
              </w:rPr>
            </w:pPr>
            <w:r>
              <w:rPr>
                <w:noProof/>
              </w:rPr>
              <w:t>Article 5(4)</w:t>
            </w:r>
          </w:p>
          <w:p>
            <w:pPr>
              <w:rPr>
                <w:noProof/>
              </w:rPr>
            </w:pPr>
          </w:p>
        </w:tc>
      </w:tr>
      <w:tr>
        <w:tc>
          <w:tcPr>
            <w:tcW w:w="4644" w:type="dxa"/>
          </w:tcPr>
          <w:p>
            <w:pPr>
              <w:jc w:val="center"/>
              <w:rPr>
                <w:noProof/>
              </w:rPr>
            </w:pPr>
            <w:r>
              <w:rPr>
                <w:noProof/>
              </w:rPr>
              <w:t>-</w:t>
            </w:r>
          </w:p>
        </w:tc>
        <w:tc>
          <w:tcPr>
            <w:tcW w:w="4645" w:type="dxa"/>
          </w:tcPr>
          <w:p>
            <w:pPr>
              <w:jc w:val="center"/>
              <w:rPr>
                <w:noProof/>
              </w:rPr>
            </w:pPr>
            <w:r>
              <w:rPr>
                <w:noProof/>
              </w:rPr>
              <w:t>Article 6</w:t>
            </w:r>
          </w:p>
        </w:tc>
      </w:tr>
      <w:tr>
        <w:tc>
          <w:tcPr>
            <w:tcW w:w="4644" w:type="dxa"/>
          </w:tcPr>
          <w:p>
            <w:pPr>
              <w:jc w:val="center"/>
              <w:rPr>
                <w:noProof/>
              </w:rPr>
            </w:pPr>
            <w:r>
              <w:rPr>
                <w:noProof/>
              </w:rPr>
              <w:t>-</w:t>
            </w:r>
          </w:p>
        </w:tc>
        <w:tc>
          <w:tcPr>
            <w:tcW w:w="4645" w:type="dxa"/>
          </w:tcPr>
          <w:p>
            <w:pPr>
              <w:jc w:val="center"/>
              <w:rPr>
                <w:noProof/>
              </w:rPr>
            </w:pPr>
            <w:r>
              <w:rPr>
                <w:noProof/>
              </w:rPr>
              <w:t>Article 7</w:t>
            </w:r>
          </w:p>
        </w:tc>
      </w:tr>
      <w:tr>
        <w:tc>
          <w:tcPr>
            <w:tcW w:w="4644" w:type="dxa"/>
          </w:tcPr>
          <w:p>
            <w:pPr>
              <w:jc w:val="center"/>
              <w:rPr>
                <w:noProof/>
              </w:rPr>
            </w:pPr>
            <w:r>
              <w:rPr>
                <w:noProof/>
              </w:rPr>
              <w:t xml:space="preserve">- </w:t>
            </w:r>
          </w:p>
        </w:tc>
        <w:tc>
          <w:tcPr>
            <w:tcW w:w="4645" w:type="dxa"/>
          </w:tcPr>
          <w:p>
            <w:pPr>
              <w:jc w:val="center"/>
              <w:rPr>
                <w:noProof/>
              </w:rPr>
            </w:pPr>
            <w:r>
              <w:rPr>
                <w:noProof/>
              </w:rPr>
              <w:t>Article 8</w:t>
            </w:r>
          </w:p>
        </w:tc>
      </w:tr>
      <w:tr>
        <w:tc>
          <w:tcPr>
            <w:tcW w:w="4644" w:type="dxa"/>
          </w:tcPr>
          <w:p>
            <w:pPr>
              <w:jc w:val="center"/>
              <w:rPr>
                <w:noProof/>
              </w:rPr>
            </w:pPr>
            <w:r>
              <w:rPr>
                <w:noProof/>
              </w:rPr>
              <w:t>-</w:t>
            </w:r>
          </w:p>
        </w:tc>
        <w:tc>
          <w:tcPr>
            <w:tcW w:w="4645" w:type="dxa"/>
          </w:tcPr>
          <w:p>
            <w:pPr>
              <w:jc w:val="center"/>
              <w:rPr>
                <w:noProof/>
              </w:rPr>
            </w:pPr>
            <w:r>
              <w:rPr>
                <w:noProof/>
              </w:rPr>
              <w:t>Article 10</w:t>
            </w:r>
          </w:p>
        </w:tc>
      </w:tr>
      <w:tr>
        <w:tc>
          <w:tcPr>
            <w:tcW w:w="4644" w:type="dxa"/>
          </w:tcPr>
          <w:p>
            <w:pPr>
              <w:jc w:val="center"/>
              <w:rPr>
                <w:noProof/>
              </w:rPr>
            </w:pPr>
            <w:r>
              <w:rPr>
                <w:noProof/>
              </w:rPr>
              <w:t>-</w:t>
            </w:r>
          </w:p>
        </w:tc>
        <w:tc>
          <w:tcPr>
            <w:tcW w:w="4645" w:type="dxa"/>
          </w:tcPr>
          <w:p>
            <w:pPr>
              <w:jc w:val="center"/>
              <w:rPr>
                <w:noProof/>
              </w:rPr>
            </w:pPr>
            <w:r>
              <w:rPr>
                <w:noProof/>
              </w:rPr>
              <w:t>Article 11</w:t>
            </w:r>
          </w:p>
        </w:tc>
      </w:tr>
      <w:tr>
        <w:tc>
          <w:tcPr>
            <w:tcW w:w="4644" w:type="dxa"/>
          </w:tcPr>
          <w:p>
            <w:pPr>
              <w:jc w:val="center"/>
              <w:rPr>
                <w:noProof/>
              </w:rPr>
            </w:pPr>
            <w:r>
              <w:rPr>
                <w:noProof/>
              </w:rPr>
              <w:t>-</w:t>
            </w:r>
          </w:p>
        </w:tc>
        <w:tc>
          <w:tcPr>
            <w:tcW w:w="4645" w:type="dxa"/>
          </w:tcPr>
          <w:p>
            <w:pPr>
              <w:jc w:val="center"/>
              <w:rPr>
                <w:noProof/>
              </w:rPr>
            </w:pPr>
            <w:r>
              <w:rPr>
                <w:noProof/>
              </w:rPr>
              <w:t>Article 13</w:t>
            </w:r>
          </w:p>
        </w:tc>
      </w:tr>
      <w:tr>
        <w:tc>
          <w:tcPr>
            <w:tcW w:w="4644" w:type="dxa"/>
          </w:tcPr>
          <w:p>
            <w:pPr>
              <w:jc w:val="center"/>
              <w:rPr>
                <w:noProof/>
              </w:rPr>
            </w:pPr>
            <w:r>
              <w:rPr>
                <w:noProof/>
              </w:rPr>
              <w:t>-</w:t>
            </w:r>
          </w:p>
        </w:tc>
        <w:tc>
          <w:tcPr>
            <w:tcW w:w="4645" w:type="dxa"/>
          </w:tcPr>
          <w:p>
            <w:pPr>
              <w:jc w:val="center"/>
              <w:rPr>
                <w:noProof/>
              </w:rPr>
            </w:pPr>
            <w:r>
              <w:rPr>
                <w:noProof/>
              </w:rPr>
              <w:t>Article 15</w:t>
            </w:r>
          </w:p>
        </w:tc>
      </w:tr>
      <w:tr>
        <w:tc>
          <w:tcPr>
            <w:tcW w:w="4644" w:type="dxa"/>
          </w:tcPr>
          <w:p>
            <w:pPr>
              <w:jc w:val="center"/>
              <w:rPr>
                <w:noProof/>
              </w:rPr>
            </w:pPr>
            <w:r>
              <w:rPr>
                <w:noProof/>
              </w:rPr>
              <w:t>Article 4</w:t>
            </w:r>
          </w:p>
        </w:tc>
        <w:tc>
          <w:tcPr>
            <w:tcW w:w="4645" w:type="dxa"/>
          </w:tcPr>
          <w:p>
            <w:pPr>
              <w:jc w:val="center"/>
              <w:rPr>
                <w:noProof/>
              </w:rPr>
            </w:pPr>
            <w:r>
              <w:rPr>
                <w:noProof/>
              </w:rPr>
              <w:t>Article 16</w:t>
            </w:r>
          </w:p>
        </w:tc>
      </w:tr>
      <w:tr>
        <w:tc>
          <w:tcPr>
            <w:tcW w:w="4644" w:type="dxa"/>
          </w:tcPr>
          <w:p>
            <w:pPr>
              <w:jc w:val="center"/>
              <w:rPr>
                <w:noProof/>
              </w:rPr>
            </w:pPr>
            <w:r>
              <w:rPr>
                <w:noProof/>
              </w:rPr>
              <w:t>Article 5</w:t>
            </w:r>
          </w:p>
        </w:tc>
        <w:tc>
          <w:tcPr>
            <w:tcW w:w="4645" w:type="dxa"/>
          </w:tcPr>
          <w:p>
            <w:pPr>
              <w:jc w:val="center"/>
              <w:rPr>
                <w:noProof/>
              </w:rPr>
            </w:pPr>
            <w:r>
              <w:rPr>
                <w:noProof/>
              </w:rPr>
              <w:t>-</w:t>
            </w:r>
          </w:p>
        </w:tc>
      </w:tr>
      <w:tr>
        <w:tc>
          <w:tcPr>
            <w:tcW w:w="4644" w:type="dxa"/>
          </w:tcPr>
          <w:p>
            <w:pPr>
              <w:jc w:val="center"/>
              <w:rPr>
                <w:noProof/>
              </w:rPr>
            </w:pPr>
            <w:r>
              <w:rPr>
                <w:noProof/>
              </w:rPr>
              <w:t>Article 6</w:t>
            </w:r>
          </w:p>
        </w:tc>
        <w:tc>
          <w:tcPr>
            <w:tcW w:w="4645" w:type="dxa"/>
          </w:tcPr>
          <w:p>
            <w:pPr>
              <w:jc w:val="center"/>
              <w:rPr>
                <w:noProof/>
              </w:rPr>
            </w:pPr>
            <w:r>
              <w:rPr>
                <w:noProof/>
              </w:rPr>
              <w:t>Article 18</w:t>
            </w:r>
          </w:p>
        </w:tc>
      </w:tr>
      <w:tr>
        <w:tc>
          <w:tcPr>
            <w:tcW w:w="4644" w:type="dxa"/>
          </w:tcPr>
          <w:p>
            <w:pPr>
              <w:jc w:val="center"/>
              <w:rPr>
                <w:noProof/>
              </w:rPr>
            </w:pPr>
            <w:r>
              <w:rPr>
                <w:noProof/>
              </w:rPr>
              <w:t>Article 7</w:t>
            </w:r>
          </w:p>
        </w:tc>
        <w:tc>
          <w:tcPr>
            <w:tcW w:w="4645" w:type="dxa"/>
          </w:tcPr>
          <w:p>
            <w:pPr>
              <w:jc w:val="center"/>
              <w:rPr>
                <w:noProof/>
              </w:rPr>
            </w:pPr>
            <w:r>
              <w:rPr>
                <w:noProof/>
              </w:rPr>
              <w:t>Article 1(2)</w:t>
            </w:r>
          </w:p>
        </w:tc>
      </w:tr>
      <w:tr>
        <w:tc>
          <w:tcPr>
            <w:tcW w:w="4644" w:type="dxa"/>
          </w:tcPr>
          <w:p>
            <w:pPr>
              <w:jc w:val="center"/>
              <w:rPr>
                <w:noProof/>
              </w:rPr>
            </w:pPr>
            <w:r>
              <w:rPr>
                <w:noProof/>
              </w:rPr>
              <w:t>Article 8</w:t>
            </w:r>
          </w:p>
        </w:tc>
        <w:tc>
          <w:tcPr>
            <w:tcW w:w="4645" w:type="dxa"/>
          </w:tcPr>
          <w:p>
            <w:pPr>
              <w:jc w:val="center"/>
              <w:rPr>
                <w:noProof/>
              </w:rPr>
            </w:pPr>
            <w:r>
              <w:rPr>
                <w:noProof/>
              </w:rPr>
              <w:t>Article 19</w:t>
            </w:r>
          </w:p>
        </w:tc>
      </w:tr>
      <w:tr>
        <w:tc>
          <w:tcPr>
            <w:tcW w:w="4644" w:type="dxa"/>
          </w:tcPr>
          <w:p>
            <w:pPr>
              <w:jc w:val="center"/>
              <w:rPr>
                <w:noProof/>
              </w:rPr>
            </w:pPr>
            <w:r>
              <w:rPr>
                <w:noProof/>
              </w:rPr>
              <w:t>Article 9</w:t>
            </w:r>
          </w:p>
        </w:tc>
        <w:tc>
          <w:tcPr>
            <w:tcW w:w="4645" w:type="dxa"/>
          </w:tcPr>
          <w:p>
            <w:pPr>
              <w:jc w:val="center"/>
              <w:rPr>
                <w:noProof/>
              </w:rPr>
            </w:pPr>
            <w:r>
              <w:rPr>
                <w:noProof/>
              </w:rPr>
              <w:t>Article 17</w:t>
            </w:r>
          </w:p>
        </w:tc>
      </w:tr>
      <w:tr>
        <w:tc>
          <w:tcPr>
            <w:tcW w:w="4644" w:type="dxa"/>
          </w:tcPr>
          <w:p>
            <w:pPr>
              <w:jc w:val="center"/>
              <w:rPr>
                <w:noProof/>
              </w:rPr>
            </w:pPr>
            <w:r>
              <w:rPr>
                <w:noProof/>
              </w:rPr>
              <w:t>-</w:t>
            </w:r>
          </w:p>
        </w:tc>
        <w:tc>
          <w:tcPr>
            <w:tcW w:w="4645" w:type="dxa"/>
          </w:tcPr>
          <w:p>
            <w:pPr>
              <w:jc w:val="center"/>
              <w:rPr>
                <w:noProof/>
              </w:rPr>
            </w:pPr>
            <w:r>
              <w:rPr>
                <w:noProof/>
              </w:rPr>
              <w:t>Article 20</w:t>
            </w:r>
          </w:p>
        </w:tc>
      </w:tr>
      <w:tr>
        <w:tc>
          <w:tcPr>
            <w:tcW w:w="4644" w:type="dxa"/>
          </w:tcPr>
          <w:p>
            <w:pPr>
              <w:jc w:val="center"/>
              <w:rPr>
                <w:noProof/>
              </w:rPr>
            </w:pPr>
            <w:r>
              <w:rPr>
                <w:noProof/>
              </w:rPr>
              <w:t>Article 10</w:t>
            </w:r>
          </w:p>
        </w:tc>
        <w:tc>
          <w:tcPr>
            <w:tcW w:w="4645" w:type="dxa"/>
          </w:tcPr>
          <w:p>
            <w:pPr>
              <w:jc w:val="center"/>
              <w:rPr>
                <w:noProof/>
              </w:rPr>
            </w:pPr>
            <w:r>
              <w:rPr>
                <w:noProof/>
              </w:rPr>
              <w:t>Article 21</w:t>
            </w:r>
          </w:p>
        </w:tc>
      </w:tr>
      <w:tr>
        <w:tc>
          <w:tcPr>
            <w:tcW w:w="4644" w:type="dxa"/>
          </w:tcPr>
          <w:p>
            <w:pPr>
              <w:jc w:val="center"/>
              <w:rPr>
                <w:noProof/>
              </w:rPr>
            </w:pPr>
            <w:r>
              <w:rPr>
                <w:noProof/>
              </w:rPr>
              <w:t>Article 11</w:t>
            </w:r>
          </w:p>
        </w:tc>
        <w:tc>
          <w:tcPr>
            <w:tcW w:w="4645" w:type="dxa"/>
          </w:tcPr>
          <w:p>
            <w:pPr>
              <w:jc w:val="center"/>
              <w:rPr>
                <w:noProof/>
              </w:rPr>
            </w:pPr>
            <w:r>
              <w:rPr>
                <w:noProof/>
              </w:rPr>
              <w:t>Article 22</w:t>
            </w:r>
          </w:p>
        </w:tc>
      </w:tr>
    </w:tbl>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The said Directive was amended by Directive 1999/34/EC of the European Parliament and of the Council of 10 May 1999 amending Council Directive 85/374/EEC on the approximation of the laws, regulations and administrative provisions of the Member States concerning liability for defective products (OJ L 141, 04.06.1999, p. 20 - 21).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91A345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33C649C"/>
    <w:lvl w:ilvl="0">
      <w:start w:val="1"/>
      <w:numFmt w:val="decimal"/>
      <w:pStyle w:val="ListNumber3"/>
      <w:lvlText w:val="%1."/>
      <w:lvlJc w:val="left"/>
      <w:pPr>
        <w:tabs>
          <w:tab w:val="num" w:pos="926"/>
        </w:tabs>
        <w:ind w:left="926" w:hanging="360"/>
      </w:pPr>
    </w:lvl>
  </w:abstractNum>
  <w:abstractNum w:abstractNumId="2">
    <w:nsid w:val="FFFFFF7F"/>
    <w:multiLevelType w:val="singleLevel"/>
    <w:tmpl w:val="9D345C1E"/>
    <w:lvl w:ilvl="0">
      <w:start w:val="1"/>
      <w:numFmt w:val="decimal"/>
      <w:pStyle w:val="ListNumber2"/>
      <w:lvlText w:val="%1."/>
      <w:lvlJc w:val="left"/>
      <w:pPr>
        <w:tabs>
          <w:tab w:val="num" w:pos="643"/>
        </w:tabs>
        <w:ind w:left="643" w:hanging="360"/>
      </w:pPr>
    </w:lvl>
  </w:abstractNum>
  <w:abstractNum w:abstractNumId="3">
    <w:nsid w:val="FFFFFF81"/>
    <w:multiLevelType w:val="singleLevel"/>
    <w:tmpl w:val="45B6C3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73A105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C7C28A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ABE6764"/>
    <w:lvl w:ilvl="0">
      <w:start w:val="1"/>
      <w:numFmt w:val="decimal"/>
      <w:pStyle w:val="ListNumber"/>
      <w:lvlText w:val="%1."/>
      <w:lvlJc w:val="left"/>
      <w:pPr>
        <w:tabs>
          <w:tab w:val="num" w:pos="360"/>
        </w:tabs>
        <w:ind w:left="360" w:hanging="360"/>
      </w:pPr>
    </w:lvl>
  </w:abstractNum>
  <w:abstractNum w:abstractNumId="7">
    <w:nsid w:val="FFFFFF89"/>
    <w:multiLevelType w:val="singleLevel"/>
    <w:tmpl w:val="B6D0F25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11 09:31:5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1"/>
    <w:docVar w:name="LW_ANNEX_NBR_LAST" w:val="2"/>
    <w:docVar w:name="LW_ANNEX_UNIQUE" w:val="0"/>
    <w:docVar w:name="LW_CORRIGENDUM" w:val="&lt;UNUSED&gt;"/>
    <w:docVar w:name="LW_COVERPAGE_EXISTS" w:val="True"/>
    <w:docVar w:name="LW_COVERPAGE_GUID" w:val="53AD3DE8-EC01-497E-9EF8-5AB4B6C0E3E2"/>
    <w:docVar w:name="LW_COVERPAGE_TYPE" w:val="1"/>
    <w:docVar w:name="LW_CROSSREFERENCE" w:val="{SWD(2018) 96 final}_x000b_{SWD(2018) 98 final}"/>
    <w:docVar w:name="LW_DocType" w:val="ANNEX"/>
    <w:docVar w:name="LW_EMISSION" w:val="11.4.2018"/>
    <w:docVar w:name="LW_EMISSION_ISODATE" w:val="2018-04-11"/>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representative actions for the protection of the collective interests of consumers, and repealing Directive 2009/22/EC_x000b__x000b__x000b_(Text with EEA relevance)"/>
    <w:docVar w:name="LW_OBJETACTEPRINCIPAL.CP" w:val="on representative actions for the protection of the collective interests of consumers, and repealing Directive 2009/22/EC_x000b__x000b__x000b_(Text with EEA relevance)"/>
    <w:docVar w:name="LW_PART_NBR" w:val="&lt;UNUSED&gt;"/>
    <w:docVar w:name="LW_PART_NBR_TOTAL" w:val="&lt;UNUSED&gt;"/>
    <w:docVar w:name="LW_REF.INST.NEW" w:val="COM"/>
    <w:docVar w:name="LW_REF.INST.NEW_ADOPTED" w:val="final"/>
    <w:docVar w:name="LW_REF.INST.NEW_TEXT" w:val="(2018) 1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al for a DIRECTIVE OF THE EUROPEAN PARLIAMENT AND OF THE COUNCIL"/>
    <w:docVar w:name="LW_TYPEACTEPRINCIPAL.CP" w:val="Proposal for a DIRECTIVE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 Paragraph,List Paragraph1,Lettre d'introduction,Numbered paragraph 1,Paragrafo elenco,1st level - Bullet List Paragraph,Medium Grid 1 - Accent 21,Normal bullet 2,Numbered List,Elenco a colori - Colore 11,Fiche List Paragraph,L"/>
    <w:basedOn w:val="Normal"/>
    <w:link w:val="ListParagraphChar"/>
    <w:uiPriority w:val="34"/>
    <w:qFormat/>
    <w:pPr>
      <w:spacing w:before="0" w:after="0"/>
      <w:ind w:left="720"/>
      <w:contextualSpacing/>
      <w:jc w:val="left"/>
    </w:pPr>
    <w:rPr>
      <w:rFonts w:asciiTheme="minorHAnsi" w:hAnsiTheme="minorHAnsi" w:cstheme="minorBidi"/>
      <w:sz w:val="22"/>
    </w:rPr>
  </w:style>
  <w:style w:type="character" w:customStyle="1" w:styleId="ListParagraphChar">
    <w:name w:val="List Paragraph Char"/>
    <w:aliases w:val="Bullet List Paragraph Char,List Paragraph1 Char,Lettre d'introduction Char,Numbered paragraph 1 Char,Paragrafo elenco Char,1st level - Bullet List Paragraph Char,Medium Grid 1 - Accent 21 Char,Normal bullet 2 Char,Numbered List Char"/>
    <w:basedOn w:val="DefaultParagraphFont"/>
    <w:link w:val="ListParagraph"/>
    <w:uiPriority w:val="34"/>
    <w:qFormat/>
    <w:rPr>
      <w:lang w:val="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 Paragraph,List Paragraph1,Lettre d'introduction,Numbered paragraph 1,Paragrafo elenco,1st level - Bullet List Paragraph,Medium Grid 1 - Accent 21,Normal bullet 2,Numbered List,Elenco a colori - Colore 11,Fiche List Paragraph,L"/>
    <w:basedOn w:val="Normal"/>
    <w:link w:val="ListParagraphChar"/>
    <w:uiPriority w:val="34"/>
    <w:qFormat/>
    <w:pPr>
      <w:spacing w:before="0" w:after="0"/>
      <w:ind w:left="720"/>
      <w:contextualSpacing/>
      <w:jc w:val="left"/>
    </w:pPr>
    <w:rPr>
      <w:rFonts w:asciiTheme="minorHAnsi" w:hAnsiTheme="minorHAnsi" w:cstheme="minorBidi"/>
      <w:sz w:val="22"/>
    </w:rPr>
  </w:style>
  <w:style w:type="character" w:customStyle="1" w:styleId="ListParagraphChar">
    <w:name w:val="List Paragraph Char"/>
    <w:aliases w:val="Bullet List Paragraph Char,List Paragraph1 Char,Lettre d'introduction Char,Numbered paragraph 1 Char,Paragrafo elenco Char,1st level - Bullet List Paragraph Char,Medium Grid 1 - Accent 21 Char,Normal bullet 2 Char,Numbered List Char"/>
    <w:basedOn w:val="DefaultParagraphFont"/>
    <w:link w:val="ListParagraph"/>
    <w:uiPriority w:val="34"/>
    <w:qFormat/>
    <w:rPr>
      <w:lang w:val="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56744">
      <w:bodyDiv w:val="1"/>
      <w:marLeft w:val="0"/>
      <w:marRight w:val="0"/>
      <w:marTop w:val="0"/>
      <w:marBottom w:val="0"/>
      <w:divBdr>
        <w:top w:val="none" w:sz="0" w:space="0" w:color="auto"/>
        <w:left w:val="none" w:sz="0" w:space="0" w:color="auto"/>
        <w:bottom w:val="none" w:sz="0" w:space="0" w:color="auto"/>
        <w:right w:val="none" w:sz="0" w:space="0" w:color="auto"/>
      </w:divBdr>
      <w:divsChild>
        <w:div w:id="1654413695">
          <w:marLeft w:val="0"/>
          <w:marRight w:val="0"/>
          <w:marTop w:val="0"/>
          <w:marBottom w:val="0"/>
          <w:divBdr>
            <w:top w:val="none" w:sz="0" w:space="0" w:color="auto"/>
            <w:left w:val="none" w:sz="0" w:space="0" w:color="auto"/>
            <w:bottom w:val="none" w:sz="0" w:space="0" w:color="auto"/>
            <w:right w:val="none" w:sz="0" w:space="0" w:color="auto"/>
          </w:divBdr>
          <w:divsChild>
            <w:div w:id="1253391737">
              <w:marLeft w:val="0"/>
              <w:marRight w:val="0"/>
              <w:marTop w:val="0"/>
              <w:marBottom w:val="0"/>
              <w:divBdr>
                <w:top w:val="none" w:sz="0" w:space="0" w:color="auto"/>
                <w:left w:val="none" w:sz="0" w:space="0" w:color="auto"/>
                <w:bottom w:val="none" w:sz="0" w:space="0" w:color="auto"/>
                <w:right w:val="none" w:sz="0" w:space="0" w:color="auto"/>
              </w:divBdr>
              <w:divsChild>
                <w:div w:id="406534760">
                  <w:marLeft w:val="0"/>
                  <w:marRight w:val="0"/>
                  <w:marTop w:val="0"/>
                  <w:marBottom w:val="0"/>
                  <w:divBdr>
                    <w:top w:val="none" w:sz="0" w:space="0" w:color="auto"/>
                    <w:left w:val="none" w:sz="0" w:space="0" w:color="auto"/>
                    <w:bottom w:val="none" w:sz="0" w:space="0" w:color="auto"/>
                    <w:right w:val="none" w:sz="0" w:space="0" w:color="auto"/>
                  </w:divBdr>
                  <w:divsChild>
                    <w:div w:id="1520074128">
                      <w:marLeft w:val="1"/>
                      <w:marRight w:val="1"/>
                      <w:marTop w:val="0"/>
                      <w:marBottom w:val="0"/>
                      <w:divBdr>
                        <w:top w:val="none" w:sz="0" w:space="0" w:color="auto"/>
                        <w:left w:val="none" w:sz="0" w:space="0" w:color="auto"/>
                        <w:bottom w:val="none" w:sz="0" w:space="0" w:color="auto"/>
                        <w:right w:val="none" w:sz="0" w:space="0" w:color="auto"/>
                      </w:divBdr>
                      <w:divsChild>
                        <w:div w:id="1244801813">
                          <w:marLeft w:val="0"/>
                          <w:marRight w:val="0"/>
                          <w:marTop w:val="0"/>
                          <w:marBottom w:val="0"/>
                          <w:divBdr>
                            <w:top w:val="none" w:sz="0" w:space="0" w:color="auto"/>
                            <w:left w:val="none" w:sz="0" w:space="0" w:color="auto"/>
                            <w:bottom w:val="none" w:sz="0" w:space="0" w:color="auto"/>
                            <w:right w:val="none" w:sz="0" w:space="0" w:color="auto"/>
                          </w:divBdr>
                          <w:divsChild>
                            <w:div w:id="1334069448">
                              <w:marLeft w:val="0"/>
                              <w:marRight w:val="0"/>
                              <w:marTop w:val="0"/>
                              <w:marBottom w:val="360"/>
                              <w:divBdr>
                                <w:top w:val="none" w:sz="0" w:space="0" w:color="auto"/>
                                <w:left w:val="none" w:sz="0" w:space="0" w:color="auto"/>
                                <w:bottom w:val="none" w:sz="0" w:space="0" w:color="auto"/>
                                <w:right w:val="none" w:sz="0" w:space="0" w:color="auto"/>
                              </w:divBdr>
                              <w:divsChild>
                                <w:div w:id="746614764">
                                  <w:marLeft w:val="0"/>
                                  <w:marRight w:val="0"/>
                                  <w:marTop w:val="0"/>
                                  <w:marBottom w:val="0"/>
                                  <w:divBdr>
                                    <w:top w:val="none" w:sz="0" w:space="0" w:color="auto"/>
                                    <w:left w:val="none" w:sz="0" w:space="0" w:color="auto"/>
                                    <w:bottom w:val="none" w:sz="0" w:space="0" w:color="auto"/>
                                    <w:right w:val="none" w:sz="0" w:space="0" w:color="auto"/>
                                  </w:divBdr>
                                  <w:divsChild>
                                    <w:div w:id="1050616527">
                                      <w:marLeft w:val="0"/>
                                      <w:marRight w:val="0"/>
                                      <w:marTop w:val="0"/>
                                      <w:marBottom w:val="0"/>
                                      <w:divBdr>
                                        <w:top w:val="none" w:sz="0" w:space="0" w:color="auto"/>
                                        <w:left w:val="none" w:sz="0" w:space="0" w:color="auto"/>
                                        <w:bottom w:val="none" w:sz="0" w:space="0" w:color="auto"/>
                                        <w:right w:val="none" w:sz="0" w:space="0" w:color="auto"/>
                                      </w:divBdr>
                                      <w:divsChild>
                                        <w:div w:id="1564868907">
                                          <w:marLeft w:val="0"/>
                                          <w:marRight w:val="0"/>
                                          <w:marTop w:val="0"/>
                                          <w:marBottom w:val="0"/>
                                          <w:divBdr>
                                            <w:top w:val="none" w:sz="0" w:space="0" w:color="auto"/>
                                            <w:left w:val="none" w:sz="0" w:space="0" w:color="auto"/>
                                            <w:bottom w:val="none" w:sz="0" w:space="0" w:color="auto"/>
                                            <w:right w:val="none" w:sz="0" w:space="0" w:color="auto"/>
                                          </w:divBdr>
                                        </w:div>
                                        <w:div w:id="145177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747919">
      <w:bodyDiv w:val="1"/>
      <w:marLeft w:val="0"/>
      <w:marRight w:val="0"/>
      <w:marTop w:val="0"/>
      <w:marBottom w:val="0"/>
      <w:divBdr>
        <w:top w:val="none" w:sz="0" w:space="0" w:color="auto"/>
        <w:left w:val="none" w:sz="0" w:space="0" w:color="auto"/>
        <w:bottom w:val="none" w:sz="0" w:space="0" w:color="auto"/>
        <w:right w:val="none" w:sz="0" w:space="0" w:color="auto"/>
      </w:divBdr>
      <w:divsChild>
        <w:div w:id="1314987837">
          <w:marLeft w:val="0"/>
          <w:marRight w:val="0"/>
          <w:marTop w:val="0"/>
          <w:marBottom w:val="0"/>
          <w:divBdr>
            <w:top w:val="none" w:sz="0" w:space="0" w:color="auto"/>
            <w:left w:val="none" w:sz="0" w:space="0" w:color="auto"/>
            <w:bottom w:val="none" w:sz="0" w:space="0" w:color="auto"/>
            <w:right w:val="none" w:sz="0" w:space="0" w:color="auto"/>
          </w:divBdr>
          <w:divsChild>
            <w:div w:id="653609097">
              <w:marLeft w:val="0"/>
              <w:marRight w:val="0"/>
              <w:marTop w:val="0"/>
              <w:marBottom w:val="0"/>
              <w:divBdr>
                <w:top w:val="none" w:sz="0" w:space="0" w:color="auto"/>
                <w:left w:val="none" w:sz="0" w:space="0" w:color="auto"/>
                <w:bottom w:val="none" w:sz="0" w:space="0" w:color="auto"/>
                <w:right w:val="none" w:sz="0" w:space="0" w:color="auto"/>
              </w:divBdr>
              <w:divsChild>
                <w:div w:id="1071385135">
                  <w:marLeft w:val="0"/>
                  <w:marRight w:val="0"/>
                  <w:marTop w:val="0"/>
                  <w:marBottom w:val="0"/>
                  <w:divBdr>
                    <w:top w:val="none" w:sz="0" w:space="0" w:color="auto"/>
                    <w:left w:val="none" w:sz="0" w:space="0" w:color="auto"/>
                    <w:bottom w:val="none" w:sz="0" w:space="0" w:color="auto"/>
                    <w:right w:val="none" w:sz="0" w:space="0" w:color="auto"/>
                  </w:divBdr>
                  <w:divsChild>
                    <w:div w:id="1972203449">
                      <w:marLeft w:val="1"/>
                      <w:marRight w:val="1"/>
                      <w:marTop w:val="0"/>
                      <w:marBottom w:val="0"/>
                      <w:divBdr>
                        <w:top w:val="none" w:sz="0" w:space="0" w:color="auto"/>
                        <w:left w:val="none" w:sz="0" w:space="0" w:color="auto"/>
                        <w:bottom w:val="none" w:sz="0" w:space="0" w:color="auto"/>
                        <w:right w:val="none" w:sz="0" w:space="0" w:color="auto"/>
                      </w:divBdr>
                      <w:divsChild>
                        <w:div w:id="189536771">
                          <w:marLeft w:val="0"/>
                          <w:marRight w:val="0"/>
                          <w:marTop w:val="0"/>
                          <w:marBottom w:val="0"/>
                          <w:divBdr>
                            <w:top w:val="none" w:sz="0" w:space="0" w:color="auto"/>
                            <w:left w:val="none" w:sz="0" w:space="0" w:color="auto"/>
                            <w:bottom w:val="none" w:sz="0" w:space="0" w:color="auto"/>
                            <w:right w:val="none" w:sz="0" w:space="0" w:color="auto"/>
                          </w:divBdr>
                          <w:divsChild>
                            <w:div w:id="1355574647">
                              <w:marLeft w:val="0"/>
                              <w:marRight w:val="0"/>
                              <w:marTop w:val="0"/>
                              <w:marBottom w:val="0"/>
                              <w:divBdr>
                                <w:top w:val="none" w:sz="0" w:space="0" w:color="auto"/>
                                <w:left w:val="none" w:sz="0" w:space="0" w:color="auto"/>
                                <w:bottom w:val="none" w:sz="0" w:space="0" w:color="auto"/>
                                <w:right w:val="none" w:sz="0" w:space="0" w:color="auto"/>
                              </w:divBdr>
                              <w:divsChild>
                                <w:div w:id="729311418">
                                  <w:marLeft w:val="0"/>
                                  <w:marRight w:val="0"/>
                                  <w:marTop w:val="0"/>
                                  <w:marBottom w:val="360"/>
                                  <w:divBdr>
                                    <w:top w:val="none" w:sz="0" w:space="0" w:color="auto"/>
                                    <w:left w:val="none" w:sz="0" w:space="0" w:color="auto"/>
                                    <w:bottom w:val="none" w:sz="0" w:space="0" w:color="auto"/>
                                    <w:right w:val="none" w:sz="0" w:space="0" w:color="auto"/>
                                  </w:divBdr>
                                  <w:divsChild>
                                    <w:div w:id="566961516">
                                      <w:marLeft w:val="0"/>
                                      <w:marRight w:val="0"/>
                                      <w:marTop w:val="0"/>
                                      <w:marBottom w:val="0"/>
                                      <w:divBdr>
                                        <w:top w:val="none" w:sz="0" w:space="0" w:color="auto"/>
                                        <w:left w:val="none" w:sz="0" w:space="0" w:color="auto"/>
                                        <w:bottom w:val="none" w:sz="0" w:space="0" w:color="auto"/>
                                        <w:right w:val="none" w:sz="0" w:space="0" w:color="auto"/>
                                      </w:divBdr>
                                      <w:divsChild>
                                        <w:div w:id="1337152289">
                                          <w:marLeft w:val="0"/>
                                          <w:marRight w:val="0"/>
                                          <w:marTop w:val="0"/>
                                          <w:marBottom w:val="0"/>
                                          <w:divBdr>
                                            <w:top w:val="none" w:sz="0" w:space="0" w:color="auto"/>
                                            <w:left w:val="none" w:sz="0" w:space="0" w:color="auto"/>
                                            <w:bottom w:val="none" w:sz="0" w:space="0" w:color="auto"/>
                                            <w:right w:val="none" w:sz="0" w:space="0" w:color="auto"/>
                                          </w:divBdr>
                                          <w:divsChild>
                                            <w:div w:id="1816019517">
                                              <w:marLeft w:val="0"/>
                                              <w:marRight w:val="0"/>
                                              <w:marTop w:val="0"/>
                                              <w:marBottom w:val="0"/>
                                              <w:divBdr>
                                                <w:top w:val="none" w:sz="0" w:space="0" w:color="auto"/>
                                                <w:left w:val="none" w:sz="0" w:space="0" w:color="auto"/>
                                                <w:bottom w:val="none" w:sz="0" w:space="0" w:color="auto"/>
                                                <w:right w:val="none" w:sz="0" w:space="0" w:color="auto"/>
                                              </w:divBdr>
                                            </w:div>
                                            <w:div w:id="66617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139316">
      <w:bodyDiv w:val="1"/>
      <w:marLeft w:val="0"/>
      <w:marRight w:val="0"/>
      <w:marTop w:val="0"/>
      <w:marBottom w:val="0"/>
      <w:divBdr>
        <w:top w:val="none" w:sz="0" w:space="0" w:color="auto"/>
        <w:left w:val="none" w:sz="0" w:space="0" w:color="auto"/>
        <w:bottom w:val="none" w:sz="0" w:space="0" w:color="auto"/>
        <w:right w:val="none" w:sz="0" w:space="0" w:color="auto"/>
      </w:divBdr>
      <w:divsChild>
        <w:div w:id="1335297952">
          <w:marLeft w:val="0"/>
          <w:marRight w:val="0"/>
          <w:marTop w:val="0"/>
          <w:marBottom w:val="0"/>
          <w:divBdr>
            <w:top w:val="none" w:sz="0" w:space="0" w:color="auto"/>
            <w:left w:val="none" w:sz="0" w:space="0" w:color="auto"/>
            <w:bottom w:val="none" w:sz="0" w:space="0" w:color="auto"/>
            <w:right w:val="none" w:sz="0" w:space="0" w:color="auto"/>
          </w:divBdr>
          <w:divsChild>
            <w:div w:id="1077703947">
              <w:marLeft w:val="0"/>
              <w:marRight w:val="0"/>
              <w:marTop w:val="0"/>
              <w:marBottom w:val="0"/>
              <w:divBdr>
                <w:top w:val="none" w:sz="0" w:space="0" w:color="auto"/>
                <w:left w:val="none" w:sz="0" w:space="0" w:color="auto"/>
                <w:bottom w:val="none" w:sz="0" w:space="0" w:color="auto"/>
                <w:right w:val="none" w:sz="0" w:space="0" w:color="auto"/>
              </w:divBdr>
              <w:divsChild>
                <w:div w:id="281811808">
                  <w:marLeft w:val="0"/>
                  <w:marRight w:val="0"/>
                  <w:marTop w:val="0"/>
                  <w:marBottom w:val="0"/>
                  <w:divBdr>
                    <w:top w:val="none" w:sz="0" w:space="0" w:color="auto"/>
                    <w:left w:val="none" w:sz="0" w:space="0" w:color="auto"/>
                    <w:bottom w:val="none" w:sz="0" w:space="0" w:color="auto"/>
                    <w:right w:val="none" w:sz="0" w:space="0" w:color="auto"/>
                  </w:divBdr>
                  <w:divsChild>
                    <w:div w:id="1648893808">
                      <w:marLeft w:val="1"/>
                      <w:marRight w:val="1"/>
                      <w:marTop w:val="0"/>
                      <w:marBottom w:val="0"/>
                      <w:divBdr>
                        <w:top w:val="none" w:sz="0" w:space="0" w:color="auto"/>
                        <w:left w:val="none" w:sz="0" w:space="0" w:color="auto"/>
                        <w:bottom w:val="none" w:sz="0" w:space="0" w:color="auto"/>
                        <w:right w:val="none" w:sz="0" w:space="0" w:color="auto"/>
                      </w:divBdr>
                      <w:divsChild>
                        <w:div w:id="1323579755">
                          <w:marLeft w:val="0"/>
                          <w:marRight w:val="0"/>
                          <w:marTop w:val="0"/>
                          <w:marBottom w:val="0"/>
                          <w:divBdr>
                            <w:top w:val="none" w:sz="0" w:space="0" w:color="auto"/>
                            <w:left w:val="none" w:sz="0" w:space="0" w:color="auto"/>
                            <w:bottom w:val="none" w:sz="0" w:space="0" w:color="auto"/>
                            <w:right w:val="none" w:sz="0" w:space="0" w:color="auto"/>
                          </w:divBdr>
                          <w:divsChild>
                            <w:div w:id="417867087">
                              <w:marLeft w:val="0"/>
                              <w:marRight w:val="0"/>
                              <w:marTop w:val="0"/>
                              <w:marBottom w:val="0"/>
                              <w:divBdr>
                                <w:top w:val="none" w:sz="0" w:space="0" w:color="auto"/>
                                <w:left w:val="none" w:sz="0" w:space="0" w:color="auto"/>
                                <w:bottom w:val="none" w:sz="0" w:space="0" w:color="auto"/>
                                <w:right w:val="none" w:sz="0" w:space="0" w:color="auto"/>
                              </w:divBdr>
                              <w:divsChild>
                                <w:div w:id="838426801">
                                  <w:marLeft w:val="0"/>
                                  <w:marRight w:val="0"/>
                                  <w:marTop w:val="0"/>
                                  <w:marBottom w:val="360"/>
                                  <w:divBdr>
                                    <w:top w:val="none" w:sz="0" w:space="0" w:color="auto"/>
                                    <w:left w:val="none" w:sz="0" w:space="0" w:color="auto"/>
                                    <w:bottom w:val="none" w:sz="0" w:space="0" w:color="auto"/>
                                    <w:right w:val="none" w:sz="0" w:space="0" w:color="auto"/>
                                  </w:divBdr>
                                  <w:divsChild>
                                    <w:div w:id="1837454513">
                                      <w:marLeft w:val="0"/>
                                      <w:marRight w:val="0"/>
                                      <w:marTop w:val="0"/>
                                      <w:marBottom w:val="0"/>
                                      <w:divBdr>
                                        <w:top w:val="none" w:sz="0" w:space="0" w:color="auto"/>
                                        <w:left w:val="none" w:sz="0" w:space="0" w:color="auto"/>
                                        <w:bottom w:val="none" w:sz="0" w:space="0" w:color="auto"/>
                                        <w:right w:val="none" w:sz="0" w:space="0" w:color="auto"/>
                                      </w:divBdr>
                                      <w:divsChild>
                                        <w:div w:id="159393916">
                                          <w:marLeft w:val="0"/>
                                          <w:marRight w:val="0"/>
                                          <w:marTop w:val="0"/>
                                          <w:marBottom w:val="0"/>
                                          <w:divBdr>
                                            <w:top w:val="none" w:sz="0" w:space="0" w:color="auto"/>
                                            <w:left w:val="none" w:sz="0" w:space="0" w:color="auto"/>
                                            <w:bottom w:val="none" w:sz="0" w:space="0" w:color="auto"/>
                                            <w:right w:val="none" w:sz="0" w:space="0" w:color="auto"/>
                                          </w:divBdr>
                                          <w:divsChild>
                                            <w:div w:id="743648515">
                                              <w:marLeft w:val="0"/>
                                              <w:marRight w:val="0"/>
                                              <w:marTop w:val="0"/>
                                              <w:marBottom w:val="0"/>
                                              <w:divBdr>
                                                <w:top w:val="none" w:sz="0" w:space="0" w:color="auto"/>
                                                <w:left w:val="none" w:sz="0" w:space="0" w:color="auto"/>
                                                <w:bottom w:val="none" w:sz="0" w:space="0" w:color="auto"/>
                                                <w:right w:val="none" w:sz="0" w:space="0" w:color="auto"/>
                                              </w:divBdr>
                                            </w:div>
                                            <w:div w:id="16621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5958769">
      <w:bodyDiv w:val="1"/>
      <w:marLeft w:val="0"/>
      <w:marRight w:val="0"/>
      <w:marTop w:val="0"/>
      <w:marBottom w:val="0"/>
      <w:divBdr>
        <w:top w:val="none" w:sz="0" w:space="0" w:color="auto"/>
        <w:left w:val="none" w:sz="0" w:space="0" w:color="auto"/>
        <w:bottom w:val="none" w:sz="0" w:space="0" w:color="auto"/>
        <w:right w:val="none" w:sz="0" w:space="0" w:color="auto"/>
      </w:divBdr>
      <w:divsChild>
        <w:div w:id="624458724">
          <w:marLeft w:val="0"/>
          <w:marRight w:val="0"/>
          <w:marTop w:val="0"/>
          <w:marBottom w:val="0"/>
          <w:divBdr>
            <w:top w:val="none" w:sz="0" w:space="0" w:color="auto"/>
            <w:left w:val="none" w:sz="0" w:space="0" w:color="auto"/>
            <w:bottom w:val="none" w:sz="0" w:space="0" w:color="auto"/>
            <w:right w:val="none" w:sz="0" w:space="0" w:color="auto"/>
          </w:divBdr>
          <w:divsChild>
            <w:div w:id="1557740245">
              <w:marLeft w:val="0"/>
              <w:marRight w:val="0"/>
              <w:marTop w:val="0"/>
              <w:marBottom w:val="0"/>
              <w:divBdr>
                <w:top w:val="none" w:sz="0" w:space="0" w:color="auto"/>
                <w:left w:val="none" w:sz="0" w:space="0" w:color="auto"/>
                <w:bottom w:val="none" w:sz="0" w:space="0" w:color="auto"/>
                <w:right w:val="none" w:sz="0" w:space="0" w:color="auto"/>
              </w:divBdr>
              <w:divsChild>
                <w:div w:id="154297063">
                  <w:marLeft w:val="0"/>
                  <w:marRight w:val="0"/>
                  <w:marTop w:val="0"/>
                  <w:marBottom w:val="0"/>
                  <w:divBdr>
                    <w:top w:val="none" w:sz="0" w:space="0" w:color="auto"/>
                    <w:left w:val="none" w:sz="0" w:space="0" w:color="auto"/>
                    <w:bottom w:val="none" w:sz="0" w:space="0" w:color="auto"/>
                    <w:right w:val="none" w:sz="0" w:space="0" w:color="auto"/>
                  </w:divBdr>
                  <w:divsChild>
                    <w:div w:id="757169071">
                      <w:marLeft w:val="1"/>
                      <w:marRight w:val="1"/>
                      <w:marTop w:val="0"/>
                      <w:marBottom w:val="0"/>
                      <w:divBdr>
                        <w:top w:val="none" w:sz="0" w:space="0" w:color="auto"/>
                        <w:left w:val="none" w:sz="0" w:space="0" w:color="auto"/>
                        <w:bottom w:val="none" w:sz="0" w:space="0" w:color="auto"/>
                        <w:right w:val="none" w:sz="0" w:space="0" w:color="auto"/>
                      </w:divBdr>
                      <w:divsChild>
                        <w:div w:id="980884106">
                          <w:marLeft w:val="0"/>
                          <w:marRight w:val="0"/>
                          <w:marTop w:val="0"/>
                          <w:marBottom w:val="0"/>
                          <w:divBdr>
                            <w:top w:val="none" w:sz="0" w:space="0" w:color="auto"/>
                            <w:left w:val="none" w:sz="0" w:space="0" w:color="auto"/>
                            <w:bottom w:val="none" w:sz="0" w:space="0" w:color="auto"/>
                            <w:right w:val="none" w:sz="0" w:space="0" w:color="auto"/>
                          </w:divBdr>
                          <w:divsChild>
                            <w:div w:id="1400907937">
                              <w:marLeft w:val="0"/>
                              <w:marRight w:val="0"/>
                              <w:marTop w:val="0"/>
                              <w:marBottom w:val="0"/>
                              <w:divBdr>
                                <w:top w:val="none" w:sz="0" w:space="0" w:color="auto"/>
                                <w:left w:val="none" w:sz="0" w:space="0" w:color="auto"/>
                                <w:bottom w:val="none" w:sz="0" w:space="0" w:color="auto"/>
                                <w:right w:val="none" w:sz="0" w:space="0" w:color="auto"/>
                              </w:divBdr>
                              <w:divsChild>
                                <w:div w:id="1621061051">
                                  <w:marLeft w:val="0"/>
                                  <w:marRight w:val="0"/>
                                  <w:marTop w:val="0"/>
                                  <w:marBottom w:val="360"/>
                                  <w:divBdr>
                                    <w:top w:val="none" w:sz="0" w:space="0" w:color="auto"/>
                                    <w:left w:val="none" w:sz="0" w:space="0" w:color="auto"/>
                                    <w:bottom w:val="none" w:sz="0" w:space="0" w:color="auto"/>
                                    <w:right w:val="none" w:sz="0" w:space="0" w:color="auto"/>
                                  </w:divBdr>
                                  <w:divsChild>
                                    <w:div w:id="248999376">
                                      <w:marLeft w:val="0"/>
                                      <w:marRight w:val="0"/>
                                      <w:marTop w:val="0"/>
                                      <w:marBottom w:val="0"/>
                                      <w:divBdr>
                                        <w:top w:val="none" w:sz="0" w:space="0" w:color="auto"/>
                                        <w:left w:val="none" w:sz="0" w:space="0" w:color="auto"/>
                                        <w:bottom w:val="none" w:sz="0" w:space="0" w:color="auto"/>
                                        <w:right w:val="none" w:sz="0" w:space="0" w:color="auto"/>
                                      </w:divBdr>
                                      <w:divsChild>
                                        <w:div w:id="267936494">
                                          <w:marLeft w:val="0"/>
                                          <w:marRight w:val="0"/>
                                          <w:marTop w:val="0"/>
                                          <w:marBottom w:val="0"/>
                                          <w:divBdr>
                                            <w:top w:val="none" w:sz="0" w:space="0" w:color="auto"/>
                                            <w:left w:val="none" w:sz="0" w:space="0" w:color="auto"/>
                                            <w:bottom w:val="none" w:sz="0" w:space="0" w:color="auto"/>
                                            <w:right w:val="none" w:sz="0" w:space="0" w:color="auto"/>
                                          </w:divBdr>
                                          <w:divsChild>
                                            <w:div w:id="1350448139">
                                              <w:marLeft w:val="0"/>
                                              <w:marRight w:val="0"/>
                                              <w:marTop w:val="0"/>
                                              <w:marBottom w:val="0"/>
                                              <w:divBdr>
                                                <w:top w:val="none" w:sz="0" w:space="0" w:color="auto"/>
                                                <w:left w:val="none" w:sz="0" w:space="0" w:color="auto"/>
                                                <w:bottom w:val="none" w:sz="0" w:space="0" w:color="auto"/>
                                                <w:right w:val="none" w:sz="0" w:space="0" w:color="auto"/>
                                              </w:divBdr>
                                            </w:div>
                                            <w:div w:id="81140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4697916">
      <w:bodyDiv w:val="1"/>
      <w:marLeft w:val="0"/>
      <w:marRight w:val="0"/>
      <w:marTop w:val="0"/>
      <w:marBottom w:val="0"/>
      <w:divBdr>
        <w:top w:val="none" w:sz="0" w:space="0" w:color="auto"/>
        <w:left w:val="none" w:sz="0" w:space="0" w:color="auto"/>
        <w:bottom w:val="none" w:sz="0" w:space="0" w:color="auto"/>
        <w:right w:val="none" w:sz="0" w:space="0" w:color="auto"/>
      </w:divBdr>
      <w:divsChild>
        <w:div w:id="714933342">
          <w:marLeft w:val="0"/>
          <w:marRight w:val="0"/>
          <w:marTop w:val="0"/>
          <w:marBottom w:val="0"/>
          <w:divBdr>
            <w:top w:val="none" w:sz="0" w:space="0" w:color="auto"/>
            <w:left w:val="none" w:sz="0" w:space="0" w:color="auto"/>
            <w:bottom w:val="none" w:sz="0" w:space="0" w:color="auto"/>
            <w:right w:val="none" w:sz="0" w:space="0" w:color="auto"/>
          </w:divBdr>
          <w:divsChild>
            <w:div w:id="1162771552">
              <w:marLeft w:val="0"/>
              <w:marRight w:val="0"/>
              <w:marTop w:val="0"/>
              <w:marBottom w:val="0"/>
              <w:divBdr>
                <w:top w:val="none" w:sz="0" w:space="0" w:color="auto"/>
                <w:left w:val="none" w:sz="0" w:space="0" w:color="auto"/>
                <w:bottom w:val="none" w:sz="0" w:space="0" w:color="auto"/>
                <w:right w:val="none" w:sz="0" w:space="0" w:color="auto"/>
              </w:divBdr>
              <w:divsChild>
                <w:div w:id="24135440">
                  <w:marLeft w:val="0"/>
                  <w:marRight w:val="0"/>
                  <w:marTop w:val="0"/>
                  <w:marBottom w:val="0"/>
                  <w:divBdr>
                    <w:top w:val="none" w:sz="0" w:space="0" w:color="auto"/>
                    <w:left w:val="none" w:sz="0" w:space="0" w:color="auto"/>
                    <w:bottom w:val="none" w:sz="0" w:space="0" w:color="auto"/>
                    <w:right w:val="none" w:sz="0" w:space="0" w:color="auto"/>
                  </w:divBdr>
                  <w:divsChild>
                    <w:div w:id="14158205">
                      <w:marLeft w:val="1"/>
                      <w:marRight w:val="1"/>
                      <w:marTop w:val="0"/>
                      <w:marBottom w:val="0"/>
                      <w:divBdr>
                        <w:top w:val="none" w:sz="0" w:space="0" w:color="auto"/>
                        <w:left w:val="none" w:sz="0" w:space="0" w:color="auto"/>
                        <w:bottom w:val="none" w:sz="0" w:space="0" w:color="auto"/>
                        <w:right w:val="none" w:sz="0" w:space="0" w:color="auto"/>
                      </w:divBdr>
                      <w:divsChild>
                        <w:div w:id="1516111662">
                          <w:marLeft w:val="0"/>
                          <w:marRight w:val="0"/>
                          <w:marTop w:val="0"/>
                          <w:marBottom w:val="0"/>
                          <w:divBdr>
                            <w:top w:val="none" w:sz="0" w:space="0" w:color="auto"/>
                            <w:left w:val="none" w:sz="0" w:space="0" w:color="auto"/>
                            <w:bottom w:val="none" w:sz="0" w:space="0" w:color="auto"/>
                            <w:right w:val="none" w:sz="0" w:space="0" w:color="auto"/>
                          </w:divBdr>
                          <w:divsChild>
                            <w:div w:id="771780154">
                              <w:marLeft w:val="0"/>
                              <w:marRight w:val="0"/>
                              <w:marTop w:val="0"/>
                              <w:marBottom w:val="0"/>
                              <w:divBdr>
                                <w:top w:val="none" w:sz="0" w:space="0" w:color="auto"/>
                                <w:left w:val="none" w:sz="0" w:space="0" w:color="auto"/>
                                <w:bottom w:val="none" w:sz="0" w:space="0" w:color="auto"/>
                                <w:right w:val="none" w:sz="0" w:space="0" w:color="auto"/>
                              </w:divBdr>
                              <w:divsChild>
                                <w:div w:id="90050949">
                                  <w:marLeft w:val="0"/>
                                  <w:marRight w:val="0"/>
                                  <w:marTop w:val="0"/>
                                  <w:marBottom w:val="360"/>
                                  <w:divBdr>
                                    <w:top w:val="none" w:sz="0" w:space="0" w:color="auto"/>
                                    <w:left w:val="none" w:sz="0" w:space="0" w:color="auto"/>
                                    <w:bottom w:val="none" w:sz="0" w:space="0" w:color="auto"/>
                                    <w:right w:val="none" w:sz="0" w:space="0" w:color="auto"/>
                                  </w:divBdr>
                                  <w:divsChild>
                                    <w:div w:id="2001880956">
                                      <w:marLeft w:val="0"/>
                                      <w:marRight w:val="0"/>
                                      <w:marTop w:val="0"/>
                                      <w:marBottom w:val="0"/>
                                      <w:divBdr>
                                        <w:top w:val="none" w:sz="0" w:space="0" w:color="auto"/>
                                        <w:left w:val="none" w:sz="0" w:space="0" w:color="auto"/>
                                        <w:bottom w:val="none" w:sz="0" w:space="0" w:color="auto"/>
                                        <w:right w:val="none" w:sz="0" w:space="0" w:color="auto"/>
                                      </w:divBdr>
                                      <w:divsChild>
                                        <w:div w:id="2712342">
                                          <w:marLeft w:val="0"/>
                                          <w:marRight w:val="0"/>
                                          <w:marTop w:val="0"/>
                                          <w:marBottom w:val="0"/>
                                          <w:divBdr>
                                            <w:top w:val="none" w:sz="0" w:space="0" w:color="auto"/>
                                            <w:left w:val="none" w:sz="0" w:space="0" w:color="auto"/>
                                            <w:bottom w:val="none" w:sz="0" w:space="0" w:color="auto"/>
                                            <w:right w:val="none" w:sz="0" w:space="0" w:color="auto"/>
                                          </w:divBdr>
                                          <w:divsChild>
                                            <w:div w:id="878711266">
                                              <w:marLeft w:val="0"/>
                                              <w:marRight w:val="0"/>
                                              <w:marTop w:val="0"/>
                                              <w:marBottom w:val="0"/>
                                              <w:divBdr>
                                                <w:top w:val="none" w:sz="0" w:space="0" w:color="auto"/>
                                                <w:left w:val="none" w:sz="0" w:space="0" w:color="auto"/>
                                                <w:bottom w:val="none" w:sz="0" w:space="0" w:color="auto"/>
                                                <w:right w:val="none" w:sz="0" w:space="0" w:color="auto"/>
                                              </w:divBdr>
                                            </w:div>
                                            <w:div w:id="25991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297373">
      <w:bodyDiv w:val="1"/>
      <w:marLeft w:val="0"/>
      <w:marRight w:val="0"/>
      <w:marTop w:val="0"/>
      <w:marBottom w:val="0"/>
      <w:divBdr>
        <w:top w:val="none" w:sz="0" w:space="0" w:color="auto"/>
        <w:left w:val="none" w:sz="0" w:space="0" w:color="auto"/>
        <w:bottom w:val="none" w:sz="0" w:space="0" w:color="auto"/>
        <w:right w:val="none" w:sz="0" w:space="0" w:color="auto"/>
      </w:divBdr>
      <w:divsChild>
        <w:div w:id="142623450">
          <w:marLeft w:val="0"/>
          <w:marRight w:val="0"/>
          <w:marTop w:val="0"/>
          <w:marBottom w:val="0"/>
          <w:divBdr>
            <w:top w:val="none" w:sz="0" w:space="0" w:color="auto"/>
            <w:left w:val="none" w:sz="0" w:space="0" w:color="auto"/>
            <w:bottom w:val="none" w:sz="0" w:space="0" w:color="auto"/>
            <w:right w:val="none" w:sz="0" w:space="0" w:color="auto"/>
          </w:divBdr>
          <w:divsChild>
            <w:div w:id="1730228571">
              <w:marLeft w:val="0"/>
              <w:marRight w:val="0"/>
              <w:marTop w:val="0"/>
              <w:marBottom w:val="0"/>
              <w:divBdr>
                <w:top w:val="none" w:sz="0" w:space="0" w:color="auto"/>
                <w:left w:val="none" w:sz="0" w:space="0" w:color="auto"/>
                <w:bottom w:val="none" w:sz="0" w:space="0" w:color="auto"/>
                <w:right w:val="none" w:sz="0" w:space="0" w:color="auto"/>
              </w:divBdr>
              <w:divsChild>
                <w:div w:id="1038898445">
                  <w:marLeft w:val="0"/>
                  <w:marRight w:val="0"/>
                  <w:marTop w:val="0"/>
                  <w:marBottom w:val="0"/>
                  <w:divBdr>
                    <w:top w:val="none" w:sz="0" w:space="0" w:color="auto"/>
                    <w:left w:val="none" w:sz="0" w:space="0" w:color="auto"/>
                    <w:bottom w:val="none" w:sz="0" w:space="0" w:color="auto"/>
                    <w:right w:val="none" w:sz="0" w:space="0" w:color="auto"/>
                  </w:divBdr>
                  <w:divsChild>
                    <w:div w:id="1687125039">
                      <w:marLeft w:val="1"/>
                      <w:marRight w:val="1"/>
                      <w:marTop w:val="0"/>
                      <w:marBottom w:val="0"/>
                      <w:divBdr>
                        <w:top w:val="none" w:sz="0" w:space="0" w:color="auto"/>
                        <w:left w:val="none" w:sz="0" w:space="0" w:color="auto"/>
                        <w:bottom w:val="none" w:sz="0" w:space="0" w:color="auto"/>
                        <w:right w:val="none" w:sz="0" w:space="0" w:color="auto"/>
                      </w:divBdr>
                      <w:divsChild>
                        <w:div w:id="2026050951">
                          <w:marLeft w:val="0"/>
                          <w:marRight w:val="0"/>
                          <w:marTop w:val="0"/>
                          <w:marBottom w:val="0"/>
                          <w:divBdr>
                            <w:top w:val="none" w:sz="0" w:space="0" w:color="auto"/>
                            <w:left w:val="none" w:sz="0" w:space="0" w:color="auto"/>
                            <w:bottom w:val="none" w:sz="0" w:space="0" w:color="auto"/>
                            <w:right w:val="none" w:sz="0" w:space="0" w:color="auto"/>
                          </w:divBdr>
                          <w:divsChild>
                            <w:div w:id="1106584605">
                              <w:marLeft w:val="0"/>
                              <w:marRight w:val="0"/>
                              <w:marTop w:val="0"/>
                              <w:marBottom w:val="0"/>
                              <w:divBdr>
                                <w:top w:val="none" w:sz="0" w:space="0" w:color="auto"/>
                                <w:left w:val="none" w:sz="0" w:space="0" w:color="auto"/>
                                <w:bottom w:val="none" w:sz="0" w:space="0" w:color="auto"/>
                                <w:right w:val="none" w:sz="0" w:space="0" w:color="auto"/>
                              </w:divBdr>
                              <w:divsChild>
                                <w:div w:id="225839533">
                                  <w:marLeft w:val="0"/>
                                  <w:marRight w:val="0"/>
                                  <w:marTop w:val="0"/>
                                  <w:marBottom w:val="360"/>
                                  <w:divBdr>
                                    <w:top w:val="none" w:sz="0" w:space="0" w:color="auto"/>
                                    <w:left w:val="none" w:sz="0" w:space="0" w:color="auto"/>
                                    <w:bottom w:val="none" w:sz="0" w:space="0" w:color="auto"/>
                                    <w:right w:val="none" w:sz="0" w:space="0" w:color="auto"/>
                                  </w:divBdr>
                                  <w:divsChild>
                                    <w:div w:id="52319608">
                                      <w:marLeft w:val="0"/>
                                      <w:marRight w:val="0"/>
                                      <w:marTop w:val="0"/>
                                      <w:marBottom w:val="0"/>
                                      <w:divBdr>
                                        <w:top w:val="none" w:sz="0" w:space="0" w:color="auto"/>
                                        <w:left w:val="none" w:sz="0" w:space="0" w:color="auto"/>
                                        <w:bottom w:val="none" w:sz="0" w:space="0" w:color="auto"/>
                                        <w:right w:val="none" w:sz="0" w:space="0" w:color="auto"/>
                                      </w:divBdr>
                                      <w:divsChild>
                                        <w:div w:id="2057700836">
                                          <w:marLeft w:val="0"/>
                                          <w:marRight w:val="0"/>
                                          <w:marTop w:val="0"/>
                                          <w:marBottom w:val="0"/>
                                          <w:divBdr>
                                            <w:top w:val="none" w:sz="0" w:space="0" w:color="auto"/>
                                            <w:left w:val="none" w:sz="0" w:space="0" w:color="auto"/>
                                            <w:bottom w:val="none" w:sz="0" w:space="0" w:color="auto"/>
                                            <w:right w:val="none" w:sz="0" w:space="0" w:color="auto"/>
                                          </w:divBdr>
                                          <w:divsChild>
                                            <w:div w:id="562565097">
                                              <w:marLeft w:val="0"/>
                                              <w:marRight w:val="0"/>
                                              <w:marTop w:val="0"/>
                                              <w:marBottom w:val="0"/>
                                              <w:divBdr>
                                                <w:top w:val="none" w:sz="0" w:space="0" w:color="auto"/>
                                                <w:left w:val="none" w:sz="0" w:space="0" w:color="auto"/>
                                                <w:bottom w:val="none" w:sz="0" w:space="0" w:color="auto"/>
                                                <w:right w:val="none" w:sz="0" w:space="0" w:color="auto"/>
                                              </w:divBdr>
                                            </w:div>
                                            <w:div w:id="204782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722701">
      <w:bodyDiv w:val="1"/>
      <w:marLeft w:val="0"/>
      <w:marRight w:val="0"/>
      <w:marTop w:val="0"/>
      <w:marBottom w:val="0"/>
      <w:divBdr>
        <w:top w:val="none" w:sz="0" w:space="0" w:color="auto"/>
        <w:left w:val="none" w:sz="0" w:space="0" w:color="auto"/>
        <w:bottom w:val="none" w:sz="0" w:space="0" w:color="auto"/>
        <w:right w:val="none" w:sz="0" w:space="0" w:color="auto"/>
      </w:divBdr>
      <w:divsChild>
        <w:div w:id="20127331">
          <w:marLeft w:val="0"/>
          <w:marRight w:val="0"/>
          <w:marTop w:val="0"/>
          <w:marBottom w:val="0"/>
          <w:divBdr>
            <w:top w:val="none" w:sz="0" w:space="0" w:color="auto"/>
            <w:left w:val="none" w:sz="0" w:space="0" w:color="auto"/>
            <w:bottom w:val="none" w:sz="0" w:space="0" w:color="auto"/>
            <w:right w:val="none" w:sz="0" w:space="0" w:color="auto"/>
          </w:divBdr>
          <w:divsChild>
            <w:div w:id="1702172704">
              <w:marLeft w:val="0"/>
              <w:marRight w:val="0"/>
              <w:marTop w:val="0"/>
              <w:marBottom w:val="0"/>
              <w:divBdr>
                <w:top w:val="none" w:sz="0" w:space="0" w:color="auto"/>
                <w:left w:val="none" w:sz="0" w:space="0" w:color="auto"/>
                <w:bottom w:val="none" w:sz="0" w:space="0" w:color="auto"/>
                <w:right w:val="none" w:sz="0" w:space="0" w:color="auto"/>
              </w:divBdr>
              <w:divsChild>
                <w:div w:id="613100940">
                  <w:marLeft w:val="0"/>
                  <w:marRight w:val="0"/>
                  <w:marTop w:val="0"/>
                  <w:marBottom w:val="0"/>
                  <w:divBdr>
                    <w:top w:val="none" w:sz="0" w:space="0" w:color="auto"/>
                    <w:left w:val="none" w:sz="0" w:space="0" w:color="auto"/>
                    <w:bottom w:val="none" w:sz="0" w:space="0" w:color="auto"/>
                    <w:right w:val="none" w:sz="0" w:space="0" w:color="auto"/>
                  </w:divBdr>
                  <w:divsChild>
                    <w:div w:id="1851407075">
                      <w:marLeft w:val="1"/>
                      <w:marRight w:val="1"/>
                      <w:marTop w:val="0"/>
                      <w:marBottom w:val="0"/>
                      <w:divBdr>
                        <w:top w:val="none" w:sz="0" w:space="0" w:color="auto"/>
                        <w:left w:val="none" w:sz="0" w:space="0" w:color="auto"/>
                        <w:bottom w:val="none" w:sz="0" w:space="0" w:color="auto"/>
                        <w:right w:val="none" w:sz="0" w:space="0" w:color="auto"/>
                      </w:divBdr>
                      <w:divsChild>
                        <w:div w:id="1737166855">
                          <w:marLeft w:val="0"/>
                          <w:marRight w:val="0"/>
                          <w:marTop w:val="0"/>
                          <w:marBottom w:val="0"/>
                          <w:divBdr>
                            <w:top w:val="none" w:sz="0" w:space="0" w:color="auto"/>
                            <w:left w:val="none" w:sz="0" w:space="0" w:color="auto"/>
                            <w:bottom w:val="none" w:sz="0" w:space="0" w:color="auto"/>
                            <w:right w:val="none" w:sz="0" w:space="0" w:color="auto"/>
                          </w:divBdr>
                          <w:divsChild>
                            <w:div w:id="262155453">
                              <w:marLeft w:val="0"/>
                              <w:marRight w:val="0"/>
                              <w:marTop w:val="0"/>
                              <w:marBottom w:val="360"/>
                              <w:divBdr>
                                <w:top w:val="none" w:sz="0" w:space="0" w:color="auto"/>
                                <w:left w:val="none" w:sz="0" w:space="0" w:color="auto"/>
                                <w:bottom w:val="none" w:sz="0" w:space="0" w:color="auto"/>
                                <w:right w:val="none" w:sz="0" w:space="0" w:color="auto"/>
                              </w:divBdr>
                              <w:divsChild>
                                <w:div w:id="104467334">
                                  <w:marLeft w:val="0"/>
                                  <w:marRight w:val="0"/>
                                  <w:marTop w:val="0"/>
                                  <w:marBottom w:val="0"/>
                                  <w:divBdr>
                                    <w:top w:val="none" w:sz="0" w:space="0" w:color="auto"/>
                                    <w:left w:val="none" w:sz="0" w:space="0" w:color="auto"/>
                                    <w:bottom w:val="none" w:sz="0" w:space="0" w:color="auto"/>
                                    <w:right w:val="none" w:sz="0" w:space="0" w:color="auto"/>
                                  </w:divBdr>
                                  <w:divsChild>
                                    <w:div w:id="8022895">
                                      <w:marLeft w:val="0"/>
                                      <w:marRight w:val="0"/>
                                      <w:marTop w:val="0"/>
                                      <w:marBottom w:val="0"/>
                                      <w:divBdr>
                                        <w:top w:val="none" w:sz="0" w:space="0" w:color="auto"/>
                                        <w:left w:val="none" w:sz="0" w:space="0" w:color="auto"/>
                                        <w:bottom w:val="none" w:sz="0" w:space="0" w:color="auto"/>
                                        <w:right w:val="none" w:sz="0" w:space="0" w:color="auto"/>
                                      </w:divBdr>
                                      <w:divsChild>
                                        <w:div w:id="143358801">
                                          <w:marLeft w:val="0"/>
                                          <w:marRight w:val="0"/>
                                          <w:marTop w:val="0"/>
                                          <w:marBottom w:val="0"/>
                                          <w:divBdr>
                                            <w:top w:val="none" w:sz="0" w:space="0" w:color="auto"/>
                                            <w:left w:val="none" w:sz="0" w:space="0" w:color="auto"/>
                                            <w:bottom w:val="none" w:sz="0" w:space="0" w:color="auto"/>
                                            <w:right w:val="none" w:sz="0" w:space="0" w:color="auto"/>
                                          </w:divBdr>
                                        </w:div>
                                        <w:div w:id="190560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0831013">
      <w:bodyDiv w:val="1"/>
      <w:marLeft w:val="0"/>
      <w:marRight w:val="0"/>
      <w:marTop w:val="0"/>
      <w:marBottom w:val="0"/>
      <w:divBdr>
        <w:top w:val="none" w:sz="0" w:space="0" w:color="auto"/>
        <w:left w:val="none" w:sz="0" w:space="0" w:color="auto"/>
        <w:bottom w:val="none" w:sz="0" w:space="0" w:color="auto"/>
        <w:right w:val="none" w:sz="0" w:space="0" w:color="auto"/>
      </w:divBdr>
      <w:divsChild>
        <w:div w:id="417795508">
          <w:marLeft w:val="0"/>
          <w:marRight w:val="0"/>
          <w:marTop w:val="0"/>
          <w:marBottom w:val="0"/>
          <w:divBdr>
            <w:top w:val="none" w:sz="0" w:space="0" w:color="auto"/>
            <w:left w:val="none" w:sz="0" w:space="0" w:color="auto"/>
            <w:bottom w:val="none" w:sz="0" w:space="0" w:color="auto"/>
            <w:right w:val="none" w:sz="0" w:space="0" w:color="auto"/>
          </w:divBdr>
          <w:divsChild>
            <w:div w:id="1791587527">
              <w:marLeft w:val="0"/>
              <w:marRight w:val="0"/>
              <w:marTop w:val="0"/>
              <w:marBottom w:val="0"/>
              <w:divBdr>
                <w:top w:val="none" w:sz="0" w:space="0" w:color="auto"/>
                <w:left w:val="none" w:sz="0" w:space="0" w:color="auto"/>
                <w:bottom w:val="none" w:sz="0" w:space="0" w:color="auto"/>
                <w:right w:val="none" w:sz="0" w:space="0" w:color="auto"/>
              </w:divBdr>
              <w:divsChild>
                <w:div w:id="888372255">
                  <w:marLeft w:val="0"/>
                  <w:marRight w:val="0"/>
                  <w:marTop w:val="0"/>
                  <w:marBottom w:val="0"/>
                  <w:divBdr>
                    <w:top w:val="none" w:sz="0" w:space="0" w:color="auto"/>
                    <w:left w:val="none" w:sz="0" w:space="0" w:color="auto"/>
                    <w:bottom w:val="none" w:sz="0" w:space="0" w:color="auto"/>
                    <w:right w:val="none" w:sz="0" w:space="0" w:color="auto"/>
                  </w:divBdr>
                  <w:divsChild>
                    <w:div w:id="292105741">
                      <w:marLeft w:val="1"/>
                      <w:marRight w:val="1"/>
                      <w:marTop w:val="0"/>
                      <w:marBottom w:val="0"/>
                      <w:divBdr>
                        <w:top w:val="none" w:sz="0" w:space="0" w:color="auto"/>
                        <w:left w:val="none" w:sz="0" w:space="0" w:color="auto"/>
                        <w:bottom w:val="none" w:sz="0" w:space="0" w:color="auto"/>
                        <w:right w:val="none" w:sz="0" w:space="0" w:color="auto"/>
                      </w:divBdr>
                      <w:divsChild>
                        <w:div w:id="883176739">
                          <w:marLeft w:val="0"/>
                          <w:marRight w:val="0"/>
                          <w:marTop w:val="0"/>
                          <w:marBottom w:val="0"/>
                          <w:divBdr>
                            <w:top w:val="none" w:sz="0" w:space="0" w:color="auto"/>
                            <w:left w:val="none" w:sz="0" w:space="0" w:color="auto"/>
                            <w:bottom w:val="none" w:sz="0" w:space="0" w:color="auto"/>
                            <w:right w:val="none" w:sz="0" w:space="0" w:color="auto"/>
                          </w:divBdr>
                          <w:divsChild>
                            <w:div w:id="745226926">
                              <w:marLeft w:val="0"/>
                              <w:marRight w:val="0"/>
                              <w:marTop w:val="0"/>
                              <w:marBottom w:val="360"/>
                              <w:divBdr>
                                <w:top w:val="none" w:sz="0" w:space="0" w:color="auto"/>
                                <w:left w:val="none" w:sz="0" w:space="0" w:color="auto"/>
                                <w:bottom w:val="none" w:sz="0" w:space="0" w:color="auto"/>
                                <w:right w:val="none" w:sz="0" w:space="0" w:color="auto"/>
                              </w:divBdr>
                              <w:divsChild>
                                <w:div w:id="1728527942">
                                  <w:marLeft w:val="0"/>
                                  <w:marRight w:val="0"/>
                                  <w:marTop w:val="0"/>
                                  <w:marBottom w:val="0"/>
                                  <w:divBdr>
                                    <w:top w:val="none" w:sz="0" w:space="0" w:color="auto"/>
                                    <w:left w:val="none" w:sz="0" w:space="0" w:color="auto"/>
                                    <w:bottom w:val="none" w:sz="0" w:space="0" w:color="auto"/>
                                    <w:right w:val="none" w:sz="0" w:space="0" w:color="auto"/>
                                  </w:divBdr>
                                  <w:divsChild>
                                    <w:div w:id="1473592411">
                                      <w:marLeft w:val="0"/>
                                      <w:marRight w:val="0"/>
                                      <w:marTop w:val="0"/>
                                      <w:marBottom w:val="0"/>
                                      <w:divBdr>
                                        <w:top w:val="none" w:sz="0" w:space="0" w:color="auto"/>
                                        <w:left w:val="none" w:sz="0" w:space="0" w:color="auto"/>
                                        <w:bottom w:val="none" w:sz="0" w:space="0" w:color="auto"/>
                                        <w:right w:val="none" w:sz="0" w:space="0" w:color="auto"/>
                                      </w:divBdr>
                                      <w:divsChild>
                                        <w:div w:id="227573306">
                                          <w:marLeft w:val="0"/>
                                          <w:marRight w:val="0"/>
                                          <w:marTop w:val="0"/>
                                          <w:marBottom w:val="0"/>
                                          <w:divBdr>
                                            <w:top w:val="none" w:sz="0" w:space="0" w:color="auto"/>
                                            <w:left w:val="none" w:sz="0" w:space="0" w:color="auto"/>
                                            <w:bottom w:val="none" w:sz="0" w:space="0" w:color="auto"/>
                                            <w:right w:val="none" w:sz="0" w:space="0" w:color="auto"/>
                                          </w:divBdr>
                                        </w:div>
                                        <w:div w:id="5751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631873">
      <w:bodyDiv w:val="1"/>
      <w:marLeft w:val="0"/>
      <w:marRight w:val="0"/>
      <w:marTop w:val="0"/>
      <w:marBottom w:val="0"/>
      <w:divBdr>
        <w:top w:val="none" w:sz="0" w:space="0" w:color="auto"/>
        <w:left w:val="none" w:sz="0" w:space="0" w:color="auto"/>
        <w:bottom w:val="none" w:sz="0" w:space="0" w:color="auto"/>
        <w:right w:val="none" w:sz="0" w:space="0" w:color="auto"/>
      </w:divBdr>
      <w:divsChild>
        <w:div w:id="802117106">
          <w:marLeft w:val="0"/>
          <w:marRight w:val="0"/>
          <w:marTop w:val="0"/>
          <w:marBottom w:val="0"/>
          <w:divBdr>
            <w:top w:val="none" w:sz="0" w:space="0" w:color="auto"/>
            <w:left w:val="none" w:sz="0" w:space="0" w:color="auto"/>
            <w:bottom w:val="none" w:sz="0" w:space="0" w:color="auto"/>
            <w:right w:val="none" w:sz="0" w:space="0" w:color="auto"/>
          </w:divBdr>
          <w:divsChild>
            <w:div w:id="865748504">
              <w:marLeft w:val="0"/>
              <w:marRight w:val="0"/>
              <w:marTop w:val="0"/>
              <w:marBottom w:val="0"/>
              <w:divBdr>
                <w:top w:val="none" w:sz="0" w:space="0" w:color="auto"/>
                <w:left w:val="none" w:sz="0" w:space="0" w:color="auto"/>
                <w:bottom w:val="none" w:sz="0" w:space="0" w:color="auto"/>
                <w:right w:val="none" w:sz="0" w:space="0" w:color="auto"/>
              </w:divBdr>
              <w:divsChild>
                <w:div w:id="1750300168">
                  <w:marLeft w:val="0"/>
                  <w:marRight w:val="0"/>
                  <w:marTop w:val="0"/>
                  <w:marBottom w:val="0"/>
                  <w:divBdr>
                    <w:top w:val="none" w:sz="0" w:space="0" w:color="auto"/>
                    <w:left w:val="none" w:sz="0" w:space="0" w:color="auto"/>
                    <w:bottom w:val="none" w:sz="0" w:space="0" w:color="auto"/>
                    <w:right w:val="none" w:sz="0" w:space="0" w:color="auto"/>
                  </w:divBdr>
                  <w:divsChild>
                    <w:div w:id="1461997750">
                      <w:marLeft w:val="1"/>
                      <w:marRight w:val="1"/>
                      <w:marTop w:val="0"/>
                      <w:marBottom w:val="0"/>
                      <w:divBdr>
                        <w:top w:val="none" w:sz="0" w:space="0" w:color="auto"/>
                        <w:left w:val="none" w:sz="0" w:space="0" w:color="auto"/>
                        <w:bottom w:val="none" w:sz="0" w:space="0" w:color="auto"/>
                        <w:right w:val="none" w:sz="0" w:space="0" w:color="auto"/>
                      </w:divBdr>
                      <w:divsChild>
                        <w:div w:id="558708602">
                          <w:marLeft w:val="0"/>
                          <w:marRight w:val="0"/>
                          <w:marTop w:val="0"/>
                          <w:marBottom w:val="0"/>
                          <w:divBdr>
                            <w:top w:val="none" w:sz="0" w:space="0" w:color="auto"/>
                            <w:left w:val="none" w:sz="0" w:space="0" w:color="auto"/>
                            <w:bottom w:val="none" w:sz="0" w:space="0" w:color="auto"/>
                            <w:right w:val="none" w:sz="0" w:space="0" w:color="auto"/>
                          </w:divBdr>
                          <w:divsChild>
                            <w:div w:id="1356073772">
                              <w:marLeft w:val="0"/>
                              <w:marRight w:val="0"/>
                              <w:marTop w:val="0"/>
                              <w:marBottom w:val="360"/>
                              <w:divBdr>
                                <w:top w:val="none" w:sz="0" w:space="0" w:color="auto"/>
                                <w:left w:val="none" w:sz="0" w:space="0" w:color="auto"/>
                                <w:bottom w:val="none" w:sz="0" w:space="0" w:color="auto"/>
                                <w:right w:val="none" w:sz="0" w:space="0" w:color="auto"/>
                              </w:divBdr>
                              <w:divsChild>
                                <w:div w:id="770975916">
                                  <w:marLeft w:val="0"/>
                                  <w:marRight w:val="0"/>
                                  <w:marTop w:val="0"/>
                                  <w:marBottom w:val="0"/>
                                  <w:divBdr>
                                    <w:top w:val="none" w:sz="0" w:space="0" w:color="auto"/>
                                    <w:left w:val="none" w:sz="0" w:space="0" w:color="auto"/>
                                    <w:bottom w:val="none" w:sz="0" w:space="0" w:color="auto"/>
                                    <w:right w:val="none" w:sz="0" w:space="0" w:color="auto"/>
                                  </w:divBdr>
                                  <w:divsChild>
                                    <w:div w:id="362707431">
                                      <w:marLeft w:val="0"/>
                                      <w:marRight w:val="0"/>
                                      <w:marTop w:val="0"/>
                                      <w:marBottom w:val="0"/>
                                      <w:divBdr>
                                        <w:top w:val="none" w:sz="0" w:space="0" w:color="auto"/>
                                        <w:left w:val="none" w:sz="0" w:space="0" w:color="auto"/>
                                        <w:bottom w:val="none" w:sz="0" w:space="0" w:color="auto"/>
                                        <w:right w:val="none" w:sz="0" w:space="0" w:color="auto"/>
                                      </w:divBdr>
                                      <w:divsChild>
                                        <w:div w:id="1971745108">
                                          <w:marLeft w:val="0"/>
                                          <w:marRight w:val="0"/>
                                          <w:marTop w:val="0"/>
                                          <w:marBottom w:val="0"/>
                                          <w:divBdr>
                                            <w:top w:val="none" w:sz="0" w:space="0" w:color="auto"/>
                                            <w:left w:val="none" w:sz="0" w:space="0" w:color="auto"/>
                                            <w:bottom w:val="none" w:sz="0" w:space="0" w:color="auto"/>
                                            <w:right w:val="none" w:sz="0" w:space="0" w:color="auto"/>
                                          </w:divBdr>
                                        </w:div>
                                        <w:div w:id="118562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597541">
      <w:bodyDiv w:val="1"/>
      <w:marLeft w:val="0"/>
      <w:marRight w:val="0"/>
      <w:marTop w:val="0"/>
      <w:marBottom w:val="0"/>
      <w:divBdr>
        <w:top w:val="none" w:sz="0" w:space="0" w:color="auto"/>
        <w:left w:val="none" w:sz="0" w:space="0" w:color="auto"/>
        <w:bottom w:val="none" w:sz="0" w:space="0" w:color="auto"/>
        <w:right w:val="none" w:sz="0" w:space="0" w:color="auto"/>
      </w:divBdr>
      <w:divsChild>
        <w:div w:id="1840581274">
          <w:marLeft w:val="0"/>
          <w:marRight w:val="0"/>
          <w:marTop w:val="0"/>
          <w:marBottom w:val="0"/>
          <w:divBdr>
            <w:top w:val="none" w:sz="0" w:space="0" w:color="auto"/>
            <w:left w:val="none" w:sz="0" w:space="0" w:color="auto"/>
            <w:bottom w:val="none" w:sz="0" w:space="0" w:color="auto"/>
            <w:right w:val="none" w:sz="0" w:space="0" w:color="auto"/>
          </w:divBdr>
          <w:divsChild>
            <w:div w:id="936866540">
              <w:marLeft w:val="0"/>
              <w:marRight w:val="0"/>
              <w:marTop w:val="0"/>
              <w:marBottom w:val="0"/>
              <w:divBdr>
                <w:top w:val="none" w:sz="0" w:space="0" w:color="auto"/>
                <w:left w:val="none" w:sz="0" w:space="0" w:color="auto"/>
                <w:bottom w:val="none" w:sz="0" w:space="0" w:color="auto"/>
                <w:right w:val="none" w:sz="0" w:space="0" w:color="auto"/>
              </w:divBdr>
              <w:divsChild>
                <w:div w:id="448937006">
                  <w:marLeft w:val="0"/>
                  <w:marRight w:val="0"/>
                  <w:marTop w:val="0"/>
                  <w:marBottom w:val="0"/>
                  <w:divBdr>
                    <w:top w:val="none" w:sz="0" w:space="0" w:color="auto"/>
                    <w:left w:val="none" w:sz="0" w:space="0" w:color="auto"/>
                    <w:bottom w:val="none" w:sz="0" w:space="0" w:color="auto"/>
                    <w:right w:val="none" w:sz="0" w:space="0" w:color="auto"/>
                  </w:divBdr>
                  <w:divsChild>
                    <w:div w:id="98378795">
                      <w:marLeft w:val="1"/>
                      <w:marRight w:val="1"/>
                      <w:marTop w:val="0"/>
                      <w:marBottom w:val="0"/>
                      <w:divBdr>
                        <w:top w:val="none" w:sz="0" w:space="0" w:color="auto"/>
                        <w:left w:val="none" w:sz="0" w:space="0" w:color="auto"/>
                        <w:bottom w:val="none" w:sz="0" w:space="0" w:color="auto"/>
                        <w:right w:val="none" w:sz="0" w:space="0" w:color="auto"/>
                      </w:divBdr>
                      <w:divsChild>
                        <w:div w:id="1857769087">
                          <w:marLeft w:val="0"/>
                          <w:marRight w:val="0"/>
                          <w:marTop w:val="0"/>
                          <w:marBottom w:val="0"/>
                          <w:divBdr>
                            <w:top w:val="none" w:sz="0" w:space="0" w:color="auto"/>
                            <w:left w:val="none" w:sz="0" w:space="0" w:color="auto"/>
                            <w:bottom w:val="none" w:sz="0" w:space="0" w:color="auto"/>
                            <w:right w:val="none" w:sz="0" w:space="0" w:color="auto"/>
                          </w:divBdr>
                          <w:divsChild>
                            <w:div w:id="943457210">
                              <w:marLeft w:val="0"/>
                              <w:marRight w:val="0"/>
                              <w:marTop w:val="0"/>
                              <w:marBottom w:val="360"/>
                              <w:divBdr>
                                <w:top w:val="none" w:sz="0" w:space="0" w:color="auto"/>
                                <w:left w:val="none" w:sz="0" w:space="0" w:color="auto"/>
                                <w:bottom w:val="none" w:sz="0" w:space="0" w:color="auto"/>
                                <w:right w:val="none" w:sz="0" w:space="0" w:color="auto"/>
                              </w:divBdr>
                              <w:divsChild>
                                <w:div w:id="1094277304">
                                  <w:marLeft w:val="0"/>
                                  <w:marRight w:val="0"/>
                                  <w:marTop w:val="0"/>
                                  <w:marBottom w:val="0"/>
                                  <w:divBdr>
                                    <w:top w:val="none" w:sz="0" w:space="0" w:color="auto"/>
                                    <w:left w:val="none" w:sz="0" w:space="0" w:color="auto"/>
                                    <w:bottom w:val="none" w:sz="0" w:space="0" w:color="auto"/>
                                    <w:right w:val="none" w:sz="0" w:space="0" w:color="auto"/>
                                  </w:divBdr>
                                  <w:divsChild>
                                    <w:div w:id="725954350">
                                      <w:marLeft w:val="0"/>
                                      <w:marRight w:val="0"/>
                                      <w:marTop w:val="0"/>
                                      <w:marBottom w:val="0"/>
                                      <w:divBdr>
                                        <w:top w:val="none" w:sz="0" w:space="0" w:color="auto"/>
                                        <w:left w:val="none" w:sz="0" w:space="0" w:color="auto"/>
                                        <w:bottom w:val="none" w:sz="0" w:space="0" w:color="auto"/>
                                        <w:right w:val="none" w:sz="0" w:space="0" w:color="auto"/>
                                      </w:divBdr>
                                      <w:divsChild>
                                        <w:div w:id="902564944">
                                          <w:marLeft w:val="0"/>
                                          <w:marRight w:val="0"/>
                                          <w:marTop w:val="0"/>
                                          <w:marBottom w:val="0"/>
                                          <w:divBdr>
                                            <w:top w:val="none" w:sz="0" w:space="0" w:color="auto"/>
                                            <w:left w:val="none" w:sz="0" w:space="0" w:color="auto"/>
                                            <w:bottom w:val="none" w:sz="0" w:space="0" w:color="auto"/>
                                            <w:right w:val="none" w:sz="0" w:space="0" w:color="auto"/>
                                          </w:divBdr>
                                        </w:div>
                                        <w:div w:id="16608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176470">
      <w:bodyDiv w:val="1"/>
      <w:marLeft w:val="0"/>
      <w:marRight w:val="0"/>
      <w:marTop w:val="0"/>
      <w:marBottom w:val="0"/>
      <w:divBdr>
        <w:top w:val="none" w:sz="0" w:space="0" w:color="auto"/>
        <w:left w:val="none" w:sz="0" w:space="0" w:color="auto"/>
        <w:bottom w:val="none" w:sz="0" w:space="0" w:color="auto"/>
        <w:right w:val="none" w:sz="0" w:space="0" w:color="auto"/>
      </w:divBdr>
      <w:divsChild>
        <w:div w:id="380783823">
          <w:marLeft w:val="0"/>
          <w:marRight w:val="0"/>
          <w:marTop w:val="0"/>
          <w:marBottom w:val="0"/>
          <w:divBdr>
            <w:top w:val="none" w:sz="0" w:space="0" w:color="auto"/>
            <w:left w:val="none" w:sz="0" w:space="0" w:color="auto"/>
            <w:bottom w:val="none" w:sz="0" w:space="0" w:color="auto"/>
            <w:right w:val="none" w:sz="0" w:space="0" w:color="auto"/>
          </w:divBdr>
          <w:divsChild>
            <w:div w:id="2119249113">
              <w:marLeft w:val="0"/>
              <w:marRight w:val="0"/>
              <w:marTop w:val="0"/>
              <w:marBottom w:val="0"/>
              <w:divBdr>
                <w:top w:val="none" w:sz="0" w:space="0" w:color="auto"/>
                <w:left w:val="none" w:sz="0" w:space="0" w:color="auto"/>
                <w:bottom w:val="none" w:sz="0" w:space="0" w:color="auto"/>
                <w:right w:val="none" w:sz="0" w:space="0" w:color="auto"/>
              </w:divBdr>
              <w:divsChild>
                <w:div w:id="964043918">
                  <w:marLeft w:val="0"/>
                  <w:marRight w:val="0"/>
                  <w:marTop w:val="0"/>
                  <w:marBottom w:val="0"/>
                  <w:divBdr>
                    <w:top w:val="none" w:sz="0" w:space="0" w:color="auto"/>
                    <w:left w:val="none" w:sz="0" w:space="0" w:color="auto"/>
                    <w:bottom w:val="none" w:sz="0" w:space="0" w:color="auto"/>
                    <w:right w:val="none" w:sz="0" w:space="0" w:color="auto"/>
                  </w:divBdr>
                  <w:divsChild>
                    <w:div w:id="417872995">
                      <w:marLeft w:val="1"/>
                      <w:marRight w:val="1"/>
                      <w:marTop w:val="0"/>
                      <w:marBottom w:val="0"/>
                      <w:divBdr>
                        <w:top w:val="none" w:sz="0" w:space="0" w:color="auto"/>
                        <w:left w:val="none" w:sz="0" w:space="0" w:color="auto"/>
                        <w:bottom w:val="none" w:sz="0" w:space="0" w:color="auto"/>
                        <w:right w:val="none" w:sz="0" w:space="0" w:color="auto"/>
                      </w:divBdr>
                      <w:divsChild>
                        <w:div w:id="161046972">
                          <w:marLeft w:val="0"/>
                          <w:marRight w:val="0"/>
                          <w:marTop w:val="0"/>
                          <w:marBottom w:val="0"/>
                          <w:divBdr>
                            <w:top w:val="none" w:sz="0" w:space="0" w:color="auto"/>
                            <w:left w:val="none" w:sz="0" w:space="0" w:color="auto"/>
                            <w:bottom w:val="none" w:sz="0" w:space="0" w:color="auto"/>
                            <w:right w:val="none" w:sz="0" w:space="0" w:color="auto"/>
                          </w:divBdr>
                          <w:divsChild>
                            <w:div w:id="977609897">
                              <w:marLeft w:val="0"/>
                              <w:marRight w:val="0"/>
                              <w:marTop w:val="0"/>
                              <w:marBottom w:val="0"/>
                              <w:divBdr>
                                <w:top w:val="none" w:sz="0" w:space="0" w:color="auto"/>
                                <w:left w:val="none" w:sz="0" w:space="0" w:color="auto"/>
                                <w:bottom w:val="none" w:sz="0" w:space="0" w:color="auto"/>
                                <w:right w:val="none" w:sz="0" w:space="0" w:color="auto"/>
                              </w:divBdr>
                              <w:divsChild>
                                <w:div w:id="739981588">
                                  <w:marLeft w:val="0"/>
                                  <w:marRight w:val="0"/>
                                  <w:marTop w:val="0"/>
                                  <w:marBottom w:val="360"/>
                                  <w:divBdr>
                                    <w:top w:val="none" w:sz="0" w:space="0" w:color="auto"/>
                                    <w:left w:val="none" w:sz="0" w:space="0" w:color="auto"/>
                                    <w:bottom w:val="none" w:sz="0" w:space="0" w:color="auto"/>
                                    <w:right w:val="none" w:sz="0" w:space="0" w:color="auto"/>
                                  </w:divBdr>
                                  <w:divsChild>
                                    <w:div w:id="243687735">
                                      <w:marLeft w:val="0"/>
                                      <w:marRight w:val="0"/>
                                      <w:marTop w:val="0"/>
                                      <w:marBottom w:val="0"/>
                                      <w:divBdr>
                                        <w:top w:val="none" w:sz="0" w:space="0" w:color="auto"/>
                                        <w:left w:val="none" w:sz="0" w:space="0" w:color="auto"/>
                                        <w:bottom w:val="none" w:sz="0" w:space="0" w:color="auto"/>
                                        <w:right w:val="none" w:sz="0" w:space="0" w:color="auto"/>
                                      </w:divBdr>
                                      <w:divsChild>
                                        <w:div w:id="936596690">
                                          <w:marLeft w:val="0"/>
                                          <w:marRight w:val="0"/>
                                          <w:marTop w:val="0"/>
                                          <w:marBottom w:val="0"/>
                                          <w:divBdr>
                                            <w:top w:val="none" w:sz="0" w:space="0" w:color="auto"/>
                                            <w:left w:val="none" w:sz="0" w:space="0" w:color="auto"/>
                                            <w:bottom w:val="none" w:sz="0" w:space="0" w:color="auto"/>
                                            <w:right w:val="none" w:sz="0" w:space="0" w:color="auto"/>
                                          </w:divBdr>
                                          <w:divsChild>
                                            <w:div w:id="271860016">
                                              <w:marLeft w:val="0"/>
                                              <w:marRight w:val="0"/>
                                              <w:marTop w:val="0"/>
                                              <w:marBottom w:val="0"/>
                                              <w:divBdr>
                                                <w:top w:val="none" w:sz="0" w:space="0" w:color="auto"/>
                                                <w:left w:val="none" w:sz="0" w:space="0" w:color="auto"/>
                                                <w:bottom w:val="none" w:sz="0" w:space="0" w:color="auto"/>
                                                <w:right w:val="none" w:sz="0" w:space="0" w:color="auto"/>
                                              </w:divBdr>
                                            </w:div>
                                            <w:div w:id="156179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173995">
      <w:bodyDiv w:val="1"/>
      <w:marLeft w:val="0"/>
      <w:marRight w:val="0"/>
      <w:marTop w:val="0"/>
      <w:marBottom w:val="0"/>
      <w:divBdr>
        <w:top w:val="none" w:sz="0" w:space="0" w:color="auto"/>
        <w:left w:val="none" w:sz="0" w:space="0" w:color="auto"/>
        <w:bottom w:val="none" w:sz="0" w:space="0" w:color="auto"/>
        <w:right w:val="none" w:sz="0" w:space="0" w:color="auto"/>
      </w:divBdr>
      <w:divsChild>
        <w:div w:id="1152067870">
          <w:marLeft w:val="0"/>
          <w:marRight w:val="0"/>
          <w:marTop w:val="0"/>
          <w:marBottom w:val="0"/>
          <w:divBdr>
            <w:top w:val="none" w:sz="0" w:space="0" w:color="auto"/>
            <w:left w:val="none" w:sz="0" w:space="0" w:color="auto"/>
            <w:bottom w:val="none" w:sz="0" w:space="0" w:color="auto"/>
            <w:right w:val="none" w:sz="0" w:space="0" w:color="auto"/>
          </w:divBdr>
          <w:divsChild>
            <w:div w:id="1858806044">
              <w:marLeft w:val="0"/>
              <w:marRight w:val="0"/>
              <w:marTop w:val="0"/>
              <w:marBottom w:val="0"/>
              <w:divBdr>
                <w:top w:val="none" w:sz="0" w:space="0" w:color="auto"/>
                <w:left w:val="none" w:sz="0" w:space="0" w:color="auto"/>
                <w:bottom w:val="none" w:sz="0" w:space="0" w:color="auto"/>
                <w:right w:val="none" w:sz="0" w:space="0" w:color="auto"/>
              </w:divBdr>
              <w:divsChild>
                <w:div w:id="1809743377">
                  <w:marLeft w:val="0"/>
                  <w:marRight w:val="0"/>
                  <w:marTop w:val="0"/>
                  <w:marBottom w:val="0"/>
                  <w:divBdr>
                    <w:top w:val="none" w:sz="0" w:space="0" w:color="auto"/>
                    <w:left w:val="none" w:sz="0" w:space="0" w:color="auto"/>
                    <w:bottom w:val="none" w:sz="0" w:space="0" w:color="auto"/>
                    <w:right w:val="none" w:sz="0" w:space="0" w:color="auto"/>
                  </w:divBdr>
                  <w:divsChild>
                    <w:div w:id="1279096906">
                      <w:marLeft w:val="1"/>
                      <w:marRight w:val="1"/>
                      <w:marTop w:val="0"/>
                      <w:marBottom w:val="0"/>
                      <w:divBdr>
                        <w:top w:val="none" w:sz="0" w:space="0" w:color="auto"/>
                        <w:left w:val="none" w:sz="0" w:space="0" w:color="auto"/>
                        <w:bottom w:val="none" w:sz="0" w:space="0" w:color="auto"/>
                        <w:right w:val="none" w:sz="0" w:space="0" w:color="auto"/>
                      </w:divBdr>
                      <w:divsChild>
                        <w:div w:id="1540896390">
                          <w:marLeft w:val="0"/>
                          <w:marRight w:val="0"/>
                          <w:marTop w:val="0"/>
                          <w:marBottom w:val="0"/>
                          <w:divBdr>
                            <w:top w:val="none" w:sz="0" w:space="0" w:color="auto"/>
                            <w:left w:val="none" w:sz="0" w:space="0" w:color="auto"/>
                            <w:bottom w:val="none" w:sz="0" w:space="0" w:color="auto"/>
                            <w:right w:val="none" w:sz="0" w:space="0" w:color="auto"/>
                          </w:divBdr>
                          <w:divsChild>
                            <w:div w:id="1656180984">
                              <w:marLeft w:val="0"/>
                              <w:marRight w:val="0"/>
                              <w:marTop w:val="0"/>
                              <w:marBottom w:val="360"/>
                              <w:divBdr>
                                <w:top w:val="none" w:sz="0" w:space="0" w:color="auto"/>
                                <w:left w:val="none" w:sz="0" w:space="0" w:color="auto"/>
                                <w:bottom w:val="none" w:sz="0" w:space="0" w:color="auto"/>
                                <w:right w:val="none" w:sz="0" w:space="0" w:color="auto"/>
                              </w:divBdr>
                              <w:divsChild>
                                <w:div w:id="1545481568">
                                  <w:marLeft w:val="0"/>
                                  <w:marRight w:val="0"/>
                                  <w:marTop w:val="0"/>
                                  <w:marBottom w:val="0"/>
                                  <w:divBdr>
                                    <w:top w:val="none" w:sz="0" w:space="0" w:color="auto"/>
                                    <w:left w:val="none" w:sz="0" w:space="0" w:color="auto"/>
                                    <w:bottom w:val="none" w:sz="0" w:space="0" w:color="auto"/>
                                    <w:right w:val="none" w:sz="0" w:space="0" w:color="auto"/>
                                  </w:divBdr>
                                  <w:divsChild>
                                    <w:div w:id="1004627845">
                                      <w:marLeft w:val="0"/>
                                      <w:marRight w:val="0"/>
                                      <w:marTop w:val="0"/>
                                      <w:marBottom w:val="0"/>
                                      <w:divBdr>
                                        <w:top w:val="none" w:sz="0" w:space="0" w:color="auto"/>
                                        <w:left w:val="none" w:sz="0" w:space="0" w:color="auto"/>
                                        <w:bottom w:val="none" w:sz="0" w:space="0" w:color="auto"/>
                                        <w:right w:val="none" w:sz="0" w:space="0" w:color="auto"/>
                                      </w:divBdr>
                                      <w:divsChild>
                                        <w:div w:id="163978864">
                                          <w:marLeft w:val="0"/>
                                          <w:marRight w:val="0"/>
                                          <w:marTop w:val="0"/>
                                          <w:marBottom w:val="0"/>
                                          <w:divBdr>
                                            <w:top w:val="none" w:sz="0" w:space="0" w:color="auto"/>
                                            <w:left w:val="none" w:sz="0" w:space="0" w:color="auto"/>
                                            <w:bottom w:val="none" w:sz="0" w:space="0" w:color="auto"/>
                                            <w:right w:val="none" w:sz="0" w:space="0" w:color="auto"/>
                                          </w:divBdr>
                                        </w:div>
                                        <w:div w:id="132331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0147171">
      <w:bodyDiv w:val="1"/>
      <w:marLeft w:val="0"/>
      <w:marRight w:val="0"/>
      <w:marTop w:val="0"/>
      <w:marBottom w:val="0"/>
      <w:divBdr>
        <w:top w:val="none" w:sz="0" w:space="0" w:color="auto"/>
        <w:left w:val="none" w:sz="0" w:space="0" w:color="auto"/>
        <w:bottom w:val="none" w:sz="0" w:space="0" w:color="auto"/>
        <w:right w:val="none" w:sz="0" w:space="0" w:color="auto"/>
      </w:divBdr>
      <w:divsChild>
        <w:div w:id="1976065093">
          <w:marLeft w:val="0"/>
          <w:marRight w:val="0"/>
          <w:marTop w:val="0"/>
          <w:marBottom w:val="0"/>
          <w:divBdr>
            <w:top w:val="none" w:sz="0" w:space="0" w:color="auto"/>
            <w:left w:val="none" w:sz="0" w:space="0" w:color="auto"/>
            <w:bottom w:val="none" w:sz="0" w:space="0" w:color="auto"/>
            <w:right w:val="none" w:sz="0" w:space="0" w:color="auto"/>
          </w:divBdr>
          <w:divsChild>
            <w:div w:id="1007446330">
              <w:marLeft w:val="0"/>
              <w:marRight w:val="0"/>
              <w:marTop w:val="0"/>
              <w:marBottom w:val="0"/>
              <w:divBdr>
                <w:top w:val="none" w:sz="0" w:space="0" w:color="auto"/>
                <w:left w:val="none" w:sz="0" w:space="0" w:color="auto"/>
                <w:bottom w:val="none" w:sz="0" w:space="0" w:color="auto"/>
                <w:right w:val="none" w:sz="0" w:space="0" w:color="auto"/>
              </w:divBdr>
              <w:divsChild>
                <w:div w:id="26298511">
                  <w:marLeft w:val="0"/>
                  <w:marRight w:val="0"/>
                  <w:marTop w:val="0"/>
                  <w:marBottom w:val="0"/>
                  <w:divBdr>
                    <w:top w:val="none" w:sz="0" w:space="0" w:color="auto"/>
                    <w:left w:val="none" w:sz="0" w:space="0" w:color="auto"/>
                    <w:bottom w:val="none" w:sz="0" w:space="0" w:color="auto"/>
                    <w:right w:val="none" w:sz="0" w:space="0" w:color="auto"/>
                  </w:divBdr>
                  <w:divsChild>
                    <w:div w:id="937561276">
                      <w:marLeft w:val="1"/>
                      <w:marRight w:val="1"/>
                      <w:marTop w:val="0"/>
                      <w:marBottom w:val="0"/>
                      <w:divBdr>
                        <w:top w:val="none" w:sz="0" w:space="0" w:color="auto"/>
                        <w:left w:val="none" w:sz="0" w:space="0" w:color="auto"/>
                        <w:bottom w:val="none" w:sz="0" w:space="0" w:color="auto"/>
                        <w:right w:val="none" w:sz="0" w:space="0" w:color="auto"/>
                      </w:divBdr>
                      <w:divsChild>
                        <w:div w:id="1840390528">
                          <w:marLeft w:val="0"/>
                          <w:marRight w:val="0"/>
                          <w:marTop w:val="0"/>
                          <w:marBottom w:val="0"/>
                          <w:divBdr>
                            <w:top w:val="none" w:sz="0" w:space="0" w:color="auto"/>
                            <w:left w:val="none" w:sz="0" w:space="0" w:color="auto"/>
                            <w:bottom w:val="none" w:sz="0" w:space="0" w:color="auto"/>
                            <w:right w:val="none" w:sz="0" w:space="0" w:color="auto"/>
                          </w:divBdr>
                          <w:divsChild>
                            <w:div w:id="2128115900">
                              <w:marLeft w:val="0"/>
                              <w:marRight w:val="0"/>
                              <w:marTop w:val="0"/>
                              <w:marBottom w:val="0"/>
                              <w:divBdr>
                                <w:top w:val="none" w:sz="0" w:space="0" w:color="auto"/>
                                <w:left w:val="none" w:sz="0" w:space="0" w:color="auto"/>
                                <w:bottom w:val="none" w:sz="0" w:space="0" w:color="auto"/>
                                <w:right w:val="none" w:sz="0" w:space="0" w:color="auto"/>
                              </w:divBdr>
                              <w:divsChild>
                                <w:div w:id="709113129">
                                  <w:marLeft w:val="0"/>
                                  <w:marRight w:val="0"/>
                                  <w:marTop w:val="0"/>
                                  <w:marBottom w:val="360"/>
                                  <w:divBdr>
                                    <w:top w:val="none" w:sz="0" w:space="0" w:color="auto"/>
                                    <w:left w:val="none" w:sz="0" w:space="0" w:color="auto"/>
                                    <w:bottom w:val="none" w:sz="0" w:space="0" w:color="auto"/>
                                    <w:right w:val="none" w:sz="0" w:space="0" w:color="auto"/>
                                  </w:divBdr>
                                  <w:divsChild>
                                    <w:div w:id="683096790">
                                      <w:marLeft w:val="0"/>
                                      <w:marRight w:val="0"/>
                                      <w:marTop w:val="0"/>
                                      <w:marBottom w:val="0"/>
                                      <w:divBdr>
                                        <w:top w:val="none" w:sz="0" w:space="0" w:color="auto"/>
                                        <w:left w:val="none" w:sz="0" w:space="0" w:color="auto"/>
                                        <w:bottom w:val="none" w:sz="0" w:space="0" w:color="auto"/>
                                        <w:right w:val="none" w:sz="0" w:space="0" w:color="auto"/>
                                      </w:divBdr>
                                      <w:divsChild>
                                        <w:div w:id="2012176497">
                                          <w:marLeft w:val="0"/>
                                          <w:marRight w:val="0"/>
                                          <w:marTop w:val="0"/>
                                          <w:marBottom w:val="0"/>
                                          <w:divBdr>
                                            <w:top w:val="none" w:sz="0" w:space="0" w:color="auto"/>
                                            <w:left w:val="none" w:sz="0" w:space="0" w:color="auto"/>
                                            <w:bottom w:val="none" w:sz="0" w:space="0" w:color="auto"/>
                                            <w:right w:val="none" w:sz="0" w:space="0" w:color="auto"/>
                                          </w:divBdr>
                                          <w:divsChild>
                                            <w:div w:id="290285997">
                                              <w:marLeft w:val="0"/>
                                              <w:marRight w:val="0"/>
                                              <w:marTop w:val="0"/>
                                              <w:marBottom w:val="0"/>
                                              <w:divBdr>
                                                <w:top w:val="none" w:sz="0" w:space="0" w:color="auto"/>
                                                <w:left w:val="none" w:sz="0" w:space="0" w:color="auto"/>
                                                <w:bottom w:val="none" w:sz="0" w:space="0" w:color="auto"/>
                                                <w:right w:val="none" w:sz="0" w:space="0" w:color="auto"/>
                                              </w:divBdr>
                                            </w:div>
                                            <w:div w:id="119053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1219438">
      <w:bodyDiv w:val="1"/>
      <w:marLeft w:val="0"/>
      <w:marRight w:val="0"/>
      <w:marTop w:val="0"/>
      <w:marBottom w:val="0"/>
      <w:divBdr>
        <w:top w:val="none" w:sz="0" w:space="0" w:color="auto"/>
        <w:left w:val="none" w:sz="0" w:space="0" w:color="auto"/>
        <w:bottom w:val="none" w:sz="0" w:space="0" w:color="auto"/>
        <w:right w:val="none" w:sz="0" w:space="0" w:color="auto"/>
      </w:divBdr>
      <w:divsChild>
        <w:div w:id="313220519">
          <w:marLeft w:val="0"/>
          <w:marRight w:val="0"/>
          <w:marTop w:val="0"/>
          <w:marBottom w:val="0"/>
          <w:divBdr>
            <w:top w:val="none" w:sz="0" w:space="0" w:color="auto"/>
            <w:left w:val="none" w:sz="0" w:space="0" w:color="auto"/>
            <w:bottom w:val="none" w:sz="0" w:space="0" w:color="auto"/>
            <w:right w:val="none" w:sz="0" w:space="0" w:color="auto"/>
          </w:divBdr>
          <w:divsChild>
            <w:div w:id="820388757">
              <w:marLeft w:val="0"/>
              <w:marRight w:val="0"/>
              <w:marTop w:val="0"/>
              <w:marBottom w:val="0"/>
              <w:divBdr>
                <w:top w:val="none" w:sz="0" w:space="0" w:color="auto"/>
                <w:left w:val="none" w:sz="0" w:space="0" w:color="auto"/>
                <w:bottom w:val="none" w:sz="0" w:space="0" w:color="auto"/>
                <w:right w:val="none" w:sz="0" w:space="0" w:color="auto"/>
              </w:divBdr>
              <w:divsChild>
                <w:div w:id="94132588">
                  <w:marLeft w:val="0"/>
                  <w:marRight w:val="0"/>
                  <w:marTop w:val="0"/>
                  <w:marBottom w:val="0"/>
                  <w:divBdr>
                    <w:top w:val="none" w:sz="0" w:space="0" w:color="auto"/>
                    <w:left w:val="none" w:sz="0" w:space="0" w:color="auto"/>
                    <w:bottom w:val="none" w:sz="0" w:space="0" w:color="auto"/>
                    <w:right w:val="none" w:sz="0" w:space="0" w:color="auto"/>
                  </w:divBdr>
                  <w:divsChild>
                    <w:div w:id="740567116">
                      <w:marLeft w:val="1"/>
                      <w:marRight w:val="1"/>
                      <w:marTop w:val="0"/>
                      <w:marBottom w:val="0"/>
                      <w:divBdr>
                        <w:top w:val="none" w:sz="0" w:space="0" w:color="auto"/>
                        <w:left w:val="none" w:sz="0" w:space="0" w:color="auto"/>
                        <w:bottom w:val="none" w:sz="0" w:space="0" w:color="auto"/>
                        <w:right w:val="none" w:sz="0" w:space="0" w:color="auto"/>
                      </w:divBdr>
                      <w:divsChild>
                        <w:div w:id="1642149983">
                          <w:marLeft w:val="0"/>
                          <w:marRight w:val="0"/>
                          <w:marTop w:val="0"/>
                          <w:marBottom w:val="0"/>
                          <w:divBdr>
                            <w:top w:val="none" w:sz="0" w:space="0" w:color="auto"/>
                            <w:left w:val="none" w:sz="0" w:space="0" w:color="auto"/>
                            <w:bottom w:val="none" w:sz="0" w:space="0" w:color="auto"/>
                            <w:right w:val="none" w:sz="0" w:space="0" w:color="auto"/>
                          </w:divBdr>
                          <w:divsChild>
                            <w:div w:id="345403532">
                              <w:marLeft w:val="0"/>
                              <w:marRight w:val="0"/>
                              <w:marTop w:val="0"/>
                              <w:marBottom w:val="0"/>
                              <w:divBdr>
                                <w:top w:val="none" w:sz="0" w:space="0" w:color="auto"/>
                                <w:left w:val="none" w:sz="0" w:space="0" w:color="auto"/>
                                <w:bottom w:val="none" w:sz="0" w:space="0" w:color="auto"/>
                                <w:right w:val="none" w:sz="0" w:space="0" w:color="auto"/>
                              </w:divBdr>
                              <w:divsChild>
                                <w:div w:id="1119421070">
                                  <w:marLeft w:val="0"/>
                                  <w:marRight w:val="0"/>
                                  <w:marTop w:val="0"/>
                                  <w:marBottom w:val="360"/>
                                  <w:divBdr>
                                    <w:top w:val="none" w:sz="0" w:space="0" w:color="auto"/>
                                    <w:left w:val="none" w:sz="0" w:space="0" w:color="auto"/>
                                    <w:bottom w:val="none" w:sz="0" w:space="0" w:color="auto"/>
                                    <w:right w:val="none" w:sz="0" w:space="0" w:color="auto"/>
                                  </w:divBdr>
                                  <w:divsChild>
                                    <w:div w:id="1210537651">
                                      <w:marLeft w:val="0"/>
                                      <w:marRight w:val="0"/>
                                      <w:marTop w:val="0"/>
                                      <w:marBottom w:val="0"/>
                                      <w:divBdr>
                                        <w:top w:val="none" w:sz="0" w:space="0" w:color="auto"/>
                                        <w:left w:val="none" w:sz="0" w:space="0" w:color="auto"/>
                                        <w:bottom w:val="none" w:sz="0" w:space="0" w:color="auto"/>
                                        <w:right w:val="none" w:sz="0" w:space="0" w:color="auto"/>
                                      </w:divBdr>
                                      <w:divsChild>
                                        <w:div w:id="1777871133">
                                          <w:marLeft w:val="0"/>
                                          <w:marRight w:val="0"/>
                                          <w:marTop w:val="0"/>
                                          <w:marBottom w:val="0"/>
                                          <w:divBdr>
                                            <w:top w:val="none" w:sz="0" w:space="0" w:color="auto"/>
                                            <w:left w:val="none" w:sz="0" w:space="0" w:color="auto"/>
                                            <w:bottom w:val="none" w:sz="0" w:space="0" w:color="auto"/>
                                            <w:right w:val="none" w:sz="0" w:space="0" w:color="auto"/>
                                          </w:divBdr>
                                          <w:divsChild>
                                            <w:div w:id="168181775">
                                              <w:marLeft w:val="0"/>
                                              <w:marRight w:val="0"/>
                                              <w:marTop w:val="0"/>
                                              <w:marBottom w:val="0"/>
                                              <w:divBdr>
                                                <w:top w:val="none" w:sz="0" w:space="0" w:color="auto"/>
                                                <w:left w:val="none" w:sz="0" w:space="0" w:color="auto"/>
                                                <w:bottom w:val="none" w:sz="0" w:space="0" w:color="auto"/>
                                                <w:right w:val="none" w:sz="0" w:space="0" w:color="auto"/>
                                              </w:divBdr>
                                            </w:div>
                                            <w:div w:id="60072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7F79090A4EED54B9565DA1B083712D8" ma:contentTypeVersion="0" ma:contentTypeDescription="Create a new document in this library." ma:contentTypeScope="" ma:versionID="acc170ae29c4033156b46acd2cb31a7b">
  <xsd:schema xmlns:xsd="http://www.w3.org/2001/XMLSchema" xmlns:xs="http://www.w3.org/2001/XMLSchema" xmlns:p="http://schemas.microsoft.com/office/2006/metadata/properties" xmlns:ns2="http://schemas.microsoft.com/sharepoint/v3/fields" xmlns:ns3="4f503d93-73c1-4597-96f4-f7a992e3c63a" targetNamespace="http://schemas.microsoft.com/office/2006/metadata/properties" ma:root="true" ma:fieldsID="0897e21abd97d55d745b11144d28b977" ns2:_="" ns3:_="">
    <xsd:import namespace="http://schemas.microsoft.com/sharepoint/v3/fields"/>
    <xsd:import namespace="4f503d93-73c1-4597-96f4-f7a992e3c63a"/>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f503d93-73c1-4597-96f4-f7a992e3c63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Status xmlns="4f503d93-73c1-4597-96f4-f7a992e3c63a">Not Started</EC_Collab_Status>
    <EC_Collab_Reference xmlns="4f503d93-73c1-4597-96f4-f7a992e3c63a" xsi:nil="true"/>
    <_Status xmlns="http://schemas.microsoft.com/sharepoint/v3/fields">Not Started</_Status>
    <EC_Collab_DocumentLanguage xmlns="4f503d93-73c1-4597-96f4-f7a992e3c63a">EN</EC_Collab_DocumentLanguage>
  </documentManagement>
</p:properties>
</file>

<file path=customXml/itemProps1.xml><?xml version="1.0" encoding="utf-8"?>
<ds:datastoreItem xmlns:ds="http://schemas.openxmlformats.org/officeDocument/2006/customXml" ds:itemID="{A693A595-5C7A-4851-907A-CB50E819F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f503d93-73c1-4597-96f4-f7a992e3c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8A0839-0427-451A-93EB-E48BD823563F}">
  <ds:schemaRefs>
    <ds:schemaRef ds:uri="http://schemas.microsoft.com/sharepoint/v3/contenttype/forms"/>
  </ds:schemaRefs>
</ds:datastoreItem>
</file>

<file path=customXml/itemProps3.xml><?xml version="1.0" encoding="utf-8"?>
<ds:datastoreItem xmlns:ds="http://schemas.openxmlformats.org/officeDocument/2006/customXml" ds:itemID="{FAF32CF3-06DA-4F90-8E5C-23AA58666746}">
  <ds:schemaRefs>
    <ds:schemaRef ds:uri="http://www.w3.org/XML/1998/namespace"/>
    <ds:schemaRef ds:uri="http://schemas.microsoft.com/office/2006/documentManagement/types"/>
    <ds:schemaRef ds:uri="http://purl.org/dc/dcmitype/"/>
    <ds:schemaRef ds:uri="4f503d93-73c1-4597-96f4-f7a992e3c63a"/>
    <ds:schemaRef ds:uri="http://purl.org/dc/elements/1.1/"/>
    <ds:schemaRef ds:uri="http://purl.org/dc/terms/"/>
    <ds:schemaRef ds:uri="http://schemas.microsoft.com/office/infopath/2007/PartnerControls"/>
    <ds:schemaRef ds:uri="http://schemas.openxmlformats.org/package/2006/metadata/core-properties"/>
    <ds:schemaRef ds:uri="http://schemas.microsoft.com/sharepoint/v3/field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8</Pages>
  <Words>2407</Words>
  <Characters>12495</Characters>
  <Application>Microsoft Office Word</Application>
  <DocSecurity>0</DocSecurity>
  <Lines>271</Lines>
  <Paragraphs>147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PATRASCU Ioana (HOME)</dc:creator>
  <cp:lastModifiedBy>DIGIT/A3</cp:lastModifiedBy>
  <cp:revision>7</cp:revision>
  <dcterms:created xsi:type="dcterms:W3CDTF">2018-04-11T13:38:00Z</dcterms:created>
  <dcterms:modified xsi:type="dcterms:W3CDTF">2018-04-11T14:34:00Z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0x010100258AA79CEB83498886A3A0868112325000C7F79090A4EED54B9565DA1B083712D8</vt:lpwstr>
  </property>
  <property fmtid="{D5CDD505-2E9C-101B-9397-08002B2CF9AE}" pid="14" name="DQCStatus">
    <vt:lpwstr>Yellow (DQC version 03)</vt:lpwstr>
  </property>
</Properties>
</file>