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E2F5DC8-9A97-4D55-B5A2-10FFFC3F9390" style="width:450.8pt;height:320.8pt">
            <v:imagedata r:id="rId9" o:title=""/>
          </v:shape>
        </w:pict>
      </w:r>
    </w:p>
    <w:bookmarkEnd w:id="0"/>
    <w:p>
      <w:pPr>
        <w:pStyle w:val="Text"/>
        <w:rPr>
          <w:noProof/>
          <w:color w:val="auto"/>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numPr>
          <w:ilvl w:val="0"/>
          <w:numId w:val="39"/>
        </w:numPr>
        <w:ind w:left="426" w:hanging="426"/>
        <w:jc w:val="both"/>
        <w:rPr>
          <w:rFonts w:ascii="Times New Roman" w:hAnsi="Times New Roman" w:cs="Times New Roman"/>
          <w:noProof/>
          <w:color w:val="auto"/>
        </w:rPr>
      </w:pPr>
      <w:bookmarkStart w:id="1" w:name="_GoBack"/>
      <w:bookmarkEnd w:id="1"/>
      <w:r>
        <w:rPr>
          <w:rFonts w:ascii="Times New Roman" w:hAnsi="Times New Roman"/>
          <w:noProof/>
          <w:color w:val="auto"/>
        </w:rPr>
        <w:lastRenderedPageBreak/>
        <w:t xml:space="preserve">Докладване относно спазването на нормите за съдържанието на сяра, оценяване на необходимостта от допълнително засилване на разпоредбите на Директивата и разглеждане на потенциала за допълнително намаляване на замърсяването на въздуха </w:t>
      </w:r>
    </w:p>
    <w:p>
      <w:pPr>
        <w:rPr>
          <w:noProof/>
        </w:rPr>
      </w:pPr>
    </w:p>
    <w:p>
      <w:pPr>
        <w:jc w:val="both"/>
        <w:rPr>
          <w:rFonts w:eastAsia="Times New Roman"/>
          <w:noProof/>
          <w:bdr w:val="none" w:sz="0" w:space="0" w:color="auto"/>
        </w:rPr>
      </w:pPr>
      <w:r>
        <w:rPr>
          <w:noProof/>
        </w:rPr>
        <w:t>Директива 1999/32/ЕО на Съвета относно намаляването на съдържанието на сяра в определени течни горива</w:t>
      </w:r>
      <w:r>
        <w:rPr>
          <w:noProof/>
          <w:bdr w:val="none" w:sz="0" w:space="0" w:color="auto"/>
          <w:vertAlign w:val="superscript"/>
        </w:rPr>
        <w:footnoteReference w:id="2"/>
      </w:r>
      <w:r>
        <w:rPr>
          <w:noProof/>
        </w:rPr>
        <w:t xml:space="preserve"> е била няколкократно съществено изменяна, последно с Директива 2012/33/ЕС</w:t>
      </w:r>
      <w:r>
        <w:rPr>
          <w:noProof/>
          <w:bdr w:val="none" w:sz="0" w:space="0" w:color="auto"/>
          <w:vertAlign w:val="superscript"/>
        </w:rPr>
        <w:t xml:space="preserve"> </w:t>
      </w:r>
      <w:r>
        <w:rPr>
          <w:noProof/>
        </w:rPr>
        <w:t>от 21 ноември 2012 г. по отношение на съдържанието на сяра в корабните горива</w:t>
      </w:r>
      <w:r>
        <w:rPr>
          <w:noProof/>
          <w:bdr w:val="none" w:sz="0" w:space="0" w:color="auto"/>
          <w:vertAlign w:val="superscript"/>
        </w:rPr>
        <w:footnoteReference w:id="3"/>
      </w:r>
      <w:r>
        <w:rPr>
          <w:noProof/>
        </w:rPr>
        <w:t>, която влезе в сила на 17 декември 2012 г. и трябваше да бъде транспонирана до 18 юни 2014 г. С оглед запазване на яснотата и рационалността след различните съществени изменения на Директива 1999/32/ЕО на Съвета тя е кодифицирана като Директива (ЕС) 2016/802 от 11 май 2016 г. относно намаляването на съдържанието на сяра в определени течни горива</w:t>
      </w:r>
      <w:r>
        <w:rPr>
          <w:noProof/>
          <w:bdr w:val="none" w:sz="0" w:space="0" w:color="auto"/>
          <w:vertAlign w:val="superscript"/>
        </w:rPr>
        <w:footnoteReference w:id="4"/>
      </w:r>
      <w:r>
        <w:rPr>
          <w:noProof/>
        </w:rPr>
        <w:t xml:space="preserve"> (наричана по-нататък „Директивата за съдържанието на сяра“). </w:t>
      </w:r>
    </w:p>
    <w:p>
      <w:pPr>
        <w:jc w:val="both"/>
        <w:rPr>
          <w:rFonts w:eastAsia="Times New Roman"/>
          <w:noProof/>
          <w:bdr w:val="none" w:sz="0" w:space="0" w:color="auto"/>
        </w:rPr>
      </w:pPr>
    </w:p>
    <w:p>
      <w:pPr>
        <w:jc w:val="both"/>
        <w:rPr>
          <w:rFonts w:eastAsia="Times New Roman"/>
          <w:noProof/>
          <w:bdr w:val="none" w:sz="0" w:space="0" w:color="auto"/>
        </w:rPr>
      </w:pPr>
      <w:r>
        <w:rPr>
          <w:noProof/>
        </w:rPr>
        <w:t>Основната цел на Директивата за съдържанието на сяра е да бъдат намалени вредните въздействия върху здравето и щетите върху околната среда, причинени от емисиите на серен диоксид (SO</w:t>
      </w:r>
      <w:r>
        <w:rPr>
          <w:noProof/>
          <w:bdr w:val="none" w:sz="0" w:space="0" w:color="auto"/>
          <w:vertAlign w:val="subscript"/>
        </w:rPr>
        <w:t>2</w:t>
      </w:r>
      <w:r>
        <w:rPr>
          <w:noProof/>
        </w:rPr>
        <w:t>), получени при изгарянето на определени видове течни горива. Независимо от разпоредбите на членове 3 и 4, с които се урежда съдържанието на сяра в тежките горива (HFO) и в газьола, използвани в някои горивни инсталации, разположени върху сушата, понастоящем с директивата се урежда главно съдържанието на сяра в течните горива, използвани от кораби („корабни горива“).</w:t>
      </w:r>
    </w:p>
    <w:p>
      <w:pPr>
        <w:jc w:val="both"/>
        <w:rPr>
          <w:rFonts w:eastAsia="Times New Roman"/>
          <w:noProof/>
          <w:bdr w:val="none" w:sz="0" w:space="0" w:color="auto"/>
        </w:rPr>
      </w:pPr>
    </w:p>
    <w:p>
      <w:pPr>
        <w:jc w:val="both"/>
        <w:rPr>
          <w:rFonts w:eastAsia="Times New Roman"/>
          <w:noProof/>
          <w:bdr w:val="none" w:sz="0" w:space="0" w:color="auto"/>
        </w:rPr>
      </w:pPr>
      <w:r>
        <w:rPr>
          <w:noProof/>
        </w:rPr>
        <w:t>Съгласно член 14, параграф 1 от Директива (ЕС) 2016/802 до 30 юни всяка година от държавите членки се изисква въз основа на проведените през предходната година проверки да представят пред Комисията доклад, в който се разглежда спазването на нормите за съдържанието на сяра в течните горива, попадащи в приложното поле на директивата. Въз основа на тези национални доклади и на уведомленията относно липсата на корабни горива Комисията всяка година изготвя доклад относно изпълнението на директивата. Освен това съгласно член 14, параграф 1 Комисията трябва да оцени необходимостта от допълнително засилване на съответните разпоредби на директивата и да внесе евентуални законодателни предложения за тази цел.</w:t>
      </w:r>
    </w:p>
    <w:p>
      <w:pPr>
        <w:jc w:val="both"/>
        <w:rPr>
          <w:rFonts w:eastAsia="Times New Roman"/>
          <w:noProof/>
          <w:bdr w:val="none" w:sz="0" w:space="0" w:color="auto"/>
        </w:rPr>
      </w:pPr>
    </w:p>
    <w:p>
      <w:pPr>
        <w:jc w:val="both"/>
        <w:rPr>
          <w:rFonts w:eastAsia="Times New Roman"/>
          <w:noProof/>
          <w:bdr w:val="none" w:sz="0" w:space="0" w:color="auto"/>
        </w:rPr>
      </w:pPr>
      <w:r>
        <w:rPr>
          <w:noProof/>
        </w:rPr>
        <w:t>Крайният срок за транспониране на Директива 2012/33/ЕС беше 18 юни 2014 г. Независимо от това основната промяна, внесена с Директива 2012/33/ЕС, а именно задължителното използване на нискосернисти корабни горива в Балтийско и Северно море, които са определени за зони за контрол на емисиите на серни оксиди („европейски зони за контрол на</w:t>
      </w:r>
      <w:r>
        <w:rPr>
          <w:noProof/>
          <w:bdr w:val="none" w:sz="0" w:space="0" w:color="auto"/>
          <w:vertAlign w:val="subscript"/>
        </w:rPr>
        <w:t xml:space="preserve"> </w:t>
      </w:r>
      <w:r>
        <w:rPr>
          <w:noProof/>
        </w:rPr>
        <w:t>емисиите на серни оксиди“), влезе в сила едва на 1 януари 2015 г. Поради това Комисията получи първите доклади от държавите членки относно спазването на новите изисквания за съдържанието на сяра в европейските</w:t>
      </w:r>
      <w:r>
        <w:rPr>
          <w:noProof/>
          <w:bdr w:val="none" w:sz="0" w:space="0" w:color="auto"/>
          <w:vertAlign w:val="subscript"/>
        </w:rPr>
        <w:t xml:space="preserve"> </w:t>
      </w:r>
      <w:r>
        <w:rPr>
          <w:noProof/>
        </w:rPr>
        <w:t xml:space="preserve">зони за контрол на емисиите на серни оксиди не по-рано от 30 юни 2016 г. Като се има предвид обаче, че не всички държави членки са използвали за докладите си за 2016 г. </w:t>
      </w:r>
      <w:r>
        <w:rPr>
          <w:noProof/>
        </w:rPr>
        <w:lastRenderedPageBreak/>
        <w:t>новите инструменти и образец за докладване, картината в целия ЕС във връзка с нивото на изпълнение и спазване на новите норми за съдържанието на сяра през същата тази година е била все още донякъде усложнена. Затова, за да представи на Европейския парламент и на Съвета по-стабилен и обобщен преглед на нивото на изпълнение и на спазване на по-строгите норми за съдържанието на сяра в корабните горива след влизането в сила на 1 януари 2015 г. на изискванията за по-ниско съдържание на сяра в европейските</w:t>
      </w:r>
      <w:r>
        <w:rPr>
          <w:noProof/>
          <w:bdr w:val="none" w:sz="0" w:space="0" w:color="auto"/>
          <w:vertAlign w:val="subscript"/>
        </w:rPr>
        <w:t xml:space="preserve"> </w:t>
      </w:r>
      <w:r>
        <w:rPr>
          <w:noProof/>
        </w:rPr>
        <w:t>зони за контрол на емисиите на серни оксиди, Комисията реши да обхване в този единствен доклад периода 2015—2017 г.</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В настоящия доклад се предоставя и преглед на съответните механизми на ЕС за подкрепа, въведени за подкрепа на държавите членки и европейската корабоплавателна промишленост при прилагането, изпълнението и спазването на измененията, внесени с Директива 2012/33/ЕС. Накрая, в доклада се разглежда предоставената на съседните държави техническа помощ, международното сътрудничество и се представят някои предложения за допълнително засилване на някои от разпоредбите на директивата. </w:t>
      </w:r>
    </w:p>
    <w:p>
      <w:pPr>
        <w:jc w:val="both"/>
        <w:rPr>
          <w:rFonts w:eastAsia="Times New Roman"/>
          <w:noProof/>
          <w:bdr w:val="none" w:sz="0" w:space="0" w:color="auto"/>
        </w:rPr>
      </w:pPr>
    </w:p>
    <w:p>
      <w:pPr>
        <w:jc w:val="both"/>
        <w:rPr>
          <w:b/>
          <w:noProof/>
        </w:rPr>
      </w:pPr>
      <w:r>
        <w:rPr>
          <w:noProof/>
        </w:rPr>
        <w:t>В съответствие с член 14, параграф 2 от Директива (ЕС) 2016/802, Комисията вече разгледа разходите и ползите от потенциални допълнителни действия на Съюза за намаляване на емисиите във въздуха, включително от корабоплаване, в своя „Пакет от мерки за чист въздух</w:t>
      </w:r>
      <w:r>
        <w:rPr>
          <w:rStyle w:val="FootnoteReference"/>
          <w:noProof/>
        </w:rPr>
        <w:footnoteReference w:id="5"/>
      </w:r>
      <w:r>
        <w:rPr>
          <w:noProof/>
          <w:vertAlign w:val="superscript"/>
        </w:rPr>
        <w:t>“</w:t>
      </w:r>
      <w:r>
        <w:rPr>
          <w:rStyle w:val="FootnoteReference"/>
          <w:noProof/>
        </w:rPr>
        <w:footnoteReference w:id="6"/>
      </w:r>
      <w:r>
        <w:rPr>
          <w:noProof/>
        </w:rPr>
        <w:t xml:space="preserve"> от декември 2013 г., който беше резултат от задълбочен преглед на политиките за качеството на въздуха в ЕС. В резултат на този преглед Комисията реши да не въвежда като част от Пакета от мерки за чист въздух специално законодателно предложение, насочено към емисиите от кораби. Въпреки това в предложението си за Директива относно намаляването на националните емисии на определени атмосферни замърсители</w:t>
      </w:r>
      <w:r>
        <w:rPr>
          <w:rStyle w:val="FootnoteReference"/>
          <w:noProof/>
        </w:rPr>
        <w:footnoteReference w:id="7"/>
      </w:r>
      <w:r>
        <w:rPr>
          <w:noProof/>
        </w:rPr>
        <w:t xml:space="preserve"> Комисията включи разпоредба (член 5, параграф 1), която ще позволи на държавите членки да „компенсират“ своите общи национални задължения за намаляване на емисиите чрез намаляване на емисиите на SO</w:t>
      </w:r>
      <w:r>
        <w:rPr>
          <w:noProof/>
          <w:vertAlign w:val="subscript"/>
        </w:rPr>
        <w:t>2</w:t>
      </w:r>
      <w:r>
        <w:rPr>
          <w:noProof/>
        </w:rPr>
        <w:t>, азотни оксиди (NO</w:t>
      </w:r>
      <w:r>
        <w:rPr>
          <w:noProof/>
          <w:vertAlign w:val="subscript"/>
        </w:rPr>
        <w:t>x</w:t>
      </w:r>
      <w:r>
        <w:rPr>
          <w:noProof/>
        </w:rPr>
        <w:t>) и фини прахови частици (ПЧ</w:t>
      </w:r>
      <w:r>
        <w:rPr>
          <w:noProof/>
          <w:vertAlign w:val="subscript"/>
        </w:rPr>
        <w:t>2,5</w:t>
      </w:r>
      <w:r>
        <w:rPr>
          <w:noProof/>
        </w:rPr>
        <w:t>), постигнато чрез допълнителни мерки, уреждащи замърсяването на въздуха от кораби. Предложената гъвкавост или която и да е друга разпоредба, насочена към намаляване на емисиите от кораби, обаче не са включени в Директива (ЕС) 2016/2284 за намаляване на националните емисии на някои атмосферни замърсители</w:t>
      </w:r>
      <w:r>
        <w:rPr>
          <w:rStyle w:val="FootnoteReference"/>
          <w:noProof/>
        </w:rPr>
        <w:footnoteReference w:id="8"/>
      </w:r>
      <w:r>
        <w:rPr>
          <w:noProof/>
          <w:color w:val="000000"/>
        </w:rPr>
        <w:t xml:space="preserve"> (новата „Директива за НТЕ“)</w:t>
      </w:r>
      <w:r>
        <w:rPr>
          <w:noProof/>
        </w:rPr>
        <w:t>.</w:t>
      </w:r>
      <w:r>
        <w:rPr>
          <w:b/>
          <w:noProof/>
        </w:rPr>
        <w:t xml:space="preserve"> </w:t>
      </w:r>
    </w:p>
    <w:p>
      <w:pPr>
        <w:jc w:val="both"/>
        <w:rPr>
          <w:b/>
          <w:noProof/>
        </w:rPr>
      </w:pPr>
    </w:p>
    <w:p>
      <w:pPr>
        <w:jc w:val="both"/>
        <w:rPr>
          <w:noProof/>
        </w:rPr>
      </w:pPr>
      <w:r>
        <w:rPr>
          <w:noProof/>
        </w:rPr>
        <w:t xml:space="preserve">Комисията продължава да оценява постигнатия напредък в намаляването на емисиите от корабите, включително емисиите, различни от тези на серни оксиди, и потенциала за допълнително намаляване на емисиите от този сектор. В настоящия доклад са представени накратко и текущите инициативи във връзка с това.    </w:t>
      </w:r>
    </w:p>
    <w:p>
      <w:pPr>
        <w:pStyle w:val="Heading1"/>
        <w:numPr>
          <w:ilvl w:val="0"/>
          <w:numId w:val="39"/>
        </w:numPr>
        <w:ind w:left="426" w:hanging="426"/>
        <w:jc w:val="both"/>
        <w:rPr>
          <w:rFonts w:ascii="Times New Roman" w:hAnsi="Times New Roman" w:cs="Times New Roman"/>
          <w:noProof/>
          <w:color w:val="auto"/>
        </w:rPr>
      </w:pPr>
      <w:r>
        <w:rPr>
          <w:rFonts w:ascii="Times New Roman" w:hAnsi="Times New Roman"/>
          <w:noProof/>
          <w:color w:val="auto"/>
        </w:rPr>
        <w:t>Основни промени и въздействия, внесени с Директива 2012/33/ЕС</w:t>
      </w:r>
    </w:p>
    <w:p>
      <w:pPr>
        <w:jc w:val="both"/>
        <w:rPr>
          <w:rFonts w:eastAsia="Times New Roman"/>
          <w:noProof/>
          <w:bdr w:val="none" w:sz="0" w:space="0" w:color="auto"/>
        </w:rPr>
      </w:pPr>
    </w:p>
    <w:p>
      <w:pPr>
        <w:jc w:val="both"/>
        <w:rPr>
          <w:rFonts w:eastAsia="Times New Roman"/>
          <w:noProof/>
          <w:bdr w:val="none" w:sz="0" w:space="0" w:color="auto"/>
        </w:rPr>
      </w:pPr>
      <w:r>
        <w:rPr>
          <w:noProof/>
        </w:rPr>
        <w:t>През 2008 г. Международната морска организация (ММО) прие изменения на приложение VI към Международната конвенция за предотвратяване на замърсяването от кораби („преработеното приложение VI към MARPOL“), които съдържат разпоредби за предотвратяване на замърсяването на въздуха от кораби. Преработеното приложение VI към MARPOL влезе в сила на 1 юли 2010 г. и с член 1, параграф 6, буква б) от Директива 2012/33/ЕС в правото на Съюза бяха въведени едни от основните промени в резултат на преразглеждането, а именно задължителното използване на корабни горива с максимално съдържание на сяра от 0,10 % в зоните за контрол на</w:t>
      </w:r>
      <w:r>
        <w:rPr>
          <w:noProof/>
          <w:bdr w:val="none" w:sz="0" w:space="0" w:color="auto"/>
          <w:vertAlign w:val="subscript"/>
        </w:rPr>
        <w:t xml:space="preserve"> </w:t>
      </w:r>
      <w:r>
        <w:rPr>
          <w:noProof/>
        </w:rPr>
        <w:t xml:space="preserve">емисиите на серни оксиди, считано от 1 януари 2015 г. (член 6, параграф 2 от Директива (ЕС) 2016/802). </w:t>
      </w:r>
    </w:p>
    <w:p>
      <w:pPr>
        <w:jc w:val="both"/>
        <w:rPr>
          <w:rFonts w:eastAsia="Times New Roman"/>
          <w:noProof/>
          <w:bdr w:val="none" w:sz="0" w:space="0" w:color="auto"/>
        </w:rPr>
      </w:pPr>
    </w:p>
    <w:p>
      <w:pPr>
        <w:jc w:val="both"/>
        <w:rPr>
          <w:rFonts w:eastAsia="Times New Roman"/>
          <w:noProof/>
          <w:bdr w:val="none" w:sz="0" w:space="0" w:color="auto"/>
        </w:rPr>
      </w:pPr>
      <w:r>
        <w:rPr>
          <w:noProof/>
        </w:rPr>
        <w:t>Подобно на преработеното приложение VI към MARPOL с член 1, параграф 6, буква в) от Директива 2012/33/ЕС се въвежда също и използването на горива с максимално съдържание на сяра от 0,50 % във всички други води под юрисдикцията на държава членка („европейски води“) извън зоните за контрол</w:t>
      </w:r>
      <w:r>
        <w:rPr>
          <w:noProof/>
          <w:bdr w:val="none" w:sz="0" w:space="0" w:color="auto"/>
          <w:vertAlign w:val="subscript"/>
        </w:rPr>
        <w:t xml:space="preserve"> </w:t>
      </w:r>
      <w:r>
        <w:rPr>
          <w:noProof/>
        </w:rPr>
        <w:t xml:space="preserve">на емисиите на серни оксиди, считано от 1 януари 2020 г. (член 6, параграф 1 от Директива (ЕС) 2016/802). Противно на преразгледаното приложение VI към MARPOL обаче, влизането в сила на това изискване в ЕС през 2020 г. не подлежи на последващо преразглеждане за наличието на съответстващи горива, като по този начин от самото начало се гарантира правна сигурност и се оставя достатъчно време на промишлеността да се подготви. </w:t>
      </w:r>
    </w:p>
    <w:p>
      <w:pPr>
        <w:jc w:val="both"/>
        <w:rPr>
          <w:rFonts w:eastAsia="Times New Roman"/>
          <w:noProof/>
          <w:bdr w:val="none" w:sz="0" w:space="0" w:color="auto"/>
        </w:rPr>
      </w:pPr>
    </w:p>
    <w:p>
      <w:pPr>
        <w:jc w:val="both"/>
        <w:rPr>
          <w:noProof/>
        </w:rPr>
      </w:pPr>
      <w:r>
        <w:rPr>
          <w:noProof/>
        </w:rPr>
        <w:t>Към момента е потвърдено, че задължителното използване на корабни горива със съдържание на сяра от 0,10 % в европейските зони за контрол на емисиите на серни оксиди, считано от януари 2015 г., допринася ефективно за постигането на целта на директивата за намаляване на вредните въздействия от емисиите на серен диоксид от корабите върху хората и околната среда. Над 93 % от инспектираните кораби в зоните за контрол на емисиите на серни оксиди спазват по-строгите изисквания за концентрациите на сяра, което води до значително намаляване на концентрациите на серен диоксид в атмосферния въздух в регионите, граничещи със зоните за контрол на емисиите на серните оксиди (напр. до 60 % в Дания</w:t>
      </w:r>
      <w:r>
        <w:rPr>
          <w:rStyle w:val="FootnoteReference"/>
          <w:noProof/>
        </w:rPr>
        <w:footnoteReference w:id="9"/>
      </w:r>
      <w:r>
        <w:rPr>
          <w:noProof/>
        </w:rPr>
        <w:t xml:space="preserve">, до 50 % намаление в германския остров </w:t>
      </w:r>
      <w:r>
        <w:rPr>
          <w:noProof/>
          <w:lang w:val="en-GB"/>
        </w:rPr>
        <w:t>Neuwerk</w:t>
      </w:r>
      <w:r>
        <w:rPr>
          <w:noProof/>
        </w:rPr>
        <w:t xml:space="preserve"> в Северно море</w:t>
      </w:r>
      <w:r>
        <w:rPr>
          <w:rStyle w:val="FootnoteReference"/>
          <w:noProof/>
        </w:rPr>
        <w:footnoteReference w:id="10"/>
      </w:r>
      <w:r>
        <w:rPr>
          <w:noProof/>
        </w:rPr>
        <w:t xml:space="preserve"> и шведските острови </w:t>
      </w:r>
      <w:r>
        <w:rPr>
          <w:noProof/>
          <w:color w:val="222222"/>
        </w:rPr>
        <w:t xml:space="preserve">Öland (Ottenby) </w:t>
      </w:r>
      <w:r>
        <w:rPr>
          <w:noProof/>
        </w:rPr>
        <w:t>и Gotland (Hoburgen)</w:t>
      </w:r>
      <w:r>
        <w:rPr>
          <w:rStyle w:val="FootnoteReference"/>
          <w:noProof/>
        </w:rPr>
        <w:footnoteReference w:id="11"/>
      </w:r>
      <w:r>
        <w:rPr>
          <w:noProof/>
        </w:rPr>
        <w:t xml:space="preserve">, и над 20 % намаление в региона </w:t>
      </w:r>
      <w:r>
        <w:rPr>
          <w:noProof/>
          <w:lang w:val="en-GB"/>
        </w:rPr>
        <w:t>Rotterdam</w:t>
      </w:r>
      <w:r>
        <w:rPr>
          <w:noProof/>
        </w:rPr>
        <w:t>-</w:t>
      </w:r>
      <w:r>
        <w:rPr>
          <w:noProof/>
          <w:lang w:val="en-GB"/>
        </w:rPr>
        <w:t>Rijnmond</w:t>
      </w:r>
      <w:r>
        <w:rPr>
          <w:rStyle w:val="FootnoteReference"/>
          <w:noProof/>
        </w:rPr>
        <w:footnoteReference w:id="12"/>
      </w:r>
      <w:r>
        <w:rPr>
          <w:noProof/>
        </w:rPr>
        <w:t xml:space="preserve">). </w:t>
      </w:r>
    </w:p>
    <w:p>
      <w:pPr>
        <w:jc w:val="both"/>
        <w:rPr>
          <w:noProof/>
        </w:rPr>
      </w:pPr>
    </w:p>
    <w:p>
      <w:pPr>
        <w:jc w:val="both"/>
        <w:rPr>
          <w:noProof/>
        </w:rPr>
      </w:pPr>
      <w:r>
        <w:rPr>
          <w:noProof/>
        </w:rPr>
        <w:t>След влизането в сила през 2020 г. на изискването за максимално съдържание на сяра от 0,50 % се очаква също и намаляване на концентрациите на SO</w:t>
      </w:r>
      <w:r>
        <w:rPr>
          <w:noProof/>
          <w:vertAlign w:val="subscript"/>
        </w:rPr>
        <w:t>2</w:t>
      </w:r>
      <w:r>
        <w:rPr>
          <w:noProof/>
        </w:rPr>
        <w:t xml:space="preserve"> в атмосферния въздух за всички крайбрежни райони в ЕС. Все още обаче трябва да се определи дали ползите от максималните допустими стойности на съдържанието на сяра от 0,50 % ще бъдат същите, като тези от максималните допустими стойности на съдържание на сяра от 0,10 % в европейските зони за контрол на емисиите на серни оксиди, което ще даде възможност всички граждани на ЕС да се възползват от еднаква защита от замърсяването на въздуха от кораби. </w:t>
      </w:r>
    </w:p>
    <w:p>
      <w:pPr>
        <w:pStyle w:val="Heading1"/>
        <w:numPr>
          <w:ilvl w:val="0"/>
          <w:numId w:val="39"/>
        </w:numPr>
        <w:ind w:left="426" w:hanging="426"/>
        <w:jc w:val="both"/>
        <w:rPr>
          <w:rFonts w:ascii="Times New Roman" w:hAnsi="Times New Roman" w:cs="Times New Roman"/>
          <w:noProof/>
          <w:color w:val="auto"/>
        </w:rPr>
      </w:pPr>
      <w:r>
        <w:rPr>
          <w:rFonts w:ascii="Times New Roman" w:hAnsi="Times New Roman"/>
          <w:noProof/>
          <w:color w:val="auto"/>
        </w:rPr>
        <w:t>Подкрепа от Съюза за държавите членки и промишлеността с цел улесняване на изпълнението и спазването на по-строгите норми за съдържанието на сяра</w:t>
      </w:r>
    </w:p>
    <w:p>
      <w:pPr>
        <w:pStyle w:val="Default"/>
        <w:jc w:val="both"/>
        <w:rPr>
          <w:rFonts w:ascii="Times New Roman" w:hAnsi="Times New Roman" w:cs="Times New Roman"/>
          <w:noProof/>
          <w:color w:val="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За периода до 1 януари 2015 г. бе предвидено цената на корабните горива с максимално съдържание на сяра от 0,10 % („леко корабно дизелово гориво“ или „MGO“) да бъде до 65—80 % по-висока от цената на HFO, използвано дотогава в зоните за контрол на емисиите на серни оксиди</w:t>
      </w:r>
      <w:r>
        <w:rPr>
          <w:rStyle w:val="FootnoteReference"/>
          <w:rFonts w:ascii="Times New Roman" w:hAnsi="Times New Roman"/>
          <w:noProof/>
          <w:color w:val="auto"/>
          <w:bdr w:val="none" w:sz="0" w:space="0" w:color="auto"/>
        </w:rPr>
        <w:footnoteReference w:id="13"/>
      </w:r>
      <w:r>
        <w:rPr>
          <w:noProof/>
        </w:rPr>
        <w:t>.</w:t>
      </w:r>
      <w:r>
        <w:rPr>
          <w:rFonts w:ascii="Times New Roman" w:hAnsi="Times New Roman"/>
          <w:noProof/>
          <w:color w:val="auto"/>
          <w:bdr w:val="none" w:sz="0" w:space="0" w:color="auto"/>
        </w:rPr>
        <w:t xml:space="preserve"> Много корабособственици и оператори очакваха </w:t>
      </w:r>
      <w:r>
        <w:rPr>
          <w:rFonts w:ascii="Times New Roman" w:hAnsi="Times New Roman"/>
          <w:noProof/>
          <w:color w:val="auto"/>
        </w:rPr>
        <w:t>влизането в сила на новото изискване за съдържанието на сяра от 0,10 % да доведе до значителни икономически въздействия, произтичащи от значително увеличение на оперативните разходи, по-специално за корабособственици, които извършват по-голяма част от дейностите си в европейските зони за контрол на емисиите на серни оксиди</w:t>
      </w:r>
      <w:r>
        <w:rPr>
          <w:rFonts w:ascii="Times New Roman" w:hAnsi="Times New Roman"/>
          <w:noProof/>
          <w:color w:val="auto"/>
          <w:bdr w:val="none" w:sz="0" w:space="0" w:color="auto"/>
          <w:vertAlign w:val="subscript"/>
        </w:rPr>
        <w:t xml:space="preserve"> </w:t>
      </w:r>
      <w:r>
        <w:rPr>
          <w:rFonts w:ascii="Times New Roman" w:hAnsi="Times New Roman"/>
          <w:noProof/>
          <w:color w:val="auto"/>
        </w:rPr>
        <w:t>. Комисията представи редица придружаващи мерки и механизми за подпомагане (разгледани по-подробно по-долу) в подкрепа на изпълнението и спазването на по-строгите норми за съдържанието на сяра и за намаляване на нежеланите странични ефекти.</w:t>
      </w: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 xml:space="preserve"> </w:t>
      </w: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В няколко от последващите проучвания обаче</w:t>
      </w:r>
      <w:r>
        <w:rPr>
          <w:rStyle w:val="FootnoteReference"/>
          <w:rFonts w:ascii="Times New Roman" w:hAnsi="Times New Roman"/>
          <w:noProof/>
        </w:rPr>
        <w:footnoteReference w:id="14"/>
      </w:r>
      <w:r>
        <w:rPr>
          <w:rFonts w:ascii="Times New Roman" w:hAnsi="Times New Roman"/>
          <w:noProof/>
          <w:vertAlign w:val="superscript"/>
        </w:rPr>
        <w:t>,</w:t>
      </w:r>
      <w:r>
        <w:rPr>
          <w:rStyle w:val="FootnoteReference"/>
          <w:rFonts w:ascii="Times New Roman" w:hAnsi="Times New Roman"/>
          <w:noProof/>
        </w:rPr>
        <w:footnoteReference w:id="15"/>
      </w:r>
      <w:r>
        <w:rPr>
          <w:rFonts w:ascii="Times New Roman" w:hAnsi="Times New Roman"/>
          <w:noProof/>
          <w:vertAlign w:val="superscript"/>
        </w:rPr>
        <w:t>,</w:t>
      </w:r>
      <w:r>
        <w:rPr>
          <w:rStyle w:val="FootnoteReference"/>
          <w:rFonts w:ascii="Times New Roman" w:hAnsi="Times New Roman"/>
          <w:noProof/>
        </w:rPr>
        <w:footnoteReference w:id="16"/>
      </w:r>
      <w:r>
        <w:rPr>
          <w:rFonts w:ascii="Times New Roman" w:hAnsi="Times New Roman"/>
          <w:noProof/>
          <w:color w:val="auto"/>
          <w:bdr w:val="none" w:sz="0" w:space="0" w:color="auto"/>
        </w:rPr>
        <w:t xml:space="preserve"> се стига до заключението, че въвеждането на изискванията за по-ниско съдържание на сяра в европейските зони за контрол на емисиите на серни оксиди не води до спад на трафика или значително пренасочване към автомобилен транспорт. Нито едно дружество или морска служба не са преустановили дейност, нито в пристанищата в Северна Европа се наблюдава намаляване на товарния оборот, което може да бъде пряко свързано с изискванията за зоните за контрол на емисиите на серни оксиди, и не са докладвани тежки случаи на липса на съответстващи на изискванията горива. Като се има предвид, че спадът в цените на петрола се счита за основната причина за липсата на отрицателни последици от изискванията за по-ниско съдържание на сяра в зоните за контрол на емисиите на серни оксиди, подкрепата за държавите членки и заинтересовани страни в областта на мореплаването от страна на ЕС също е допринесло за запазване на минимално равнище на </w:t>
      </w:r>
      <w:r>
        <w:rPr>
          <w:rFonts w:ascii="Times New Roman" w:hAnsi="Times New Roman"/>
          <w:noProof/>
        </w:rPr>
        <w:t>въздействието от изискванията за по-ниско съдържание на сяра върху конкурентоспособността на сектора и модалните дялове.</w:t>
      </w:r>
    </w:p>
    <w:p>
      <w:pPr>
        <w:pStyle w:val="Default"/>
        <w:jc w:val="both"/>
        <w:rPr>
          <w:rFonts w:ascii="Times New Roman" w:eastAsia="Times New Roman" w:hAnsi="Times New Roman" w:cs="Times New Roman"/>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Европейски форум за устойчиво корабоплаване</w:t>
      </w:r>
    </w:p>
    <w:p>
      <w:pPr>
        <w:pStyle w:val="Default"/>
        <w:ind w:left="426"/>
        <w:jc w:val="both"/>
        <w:rPr>
          <w:rFonts w:ascii="Times New Roman" w:eastAsia="Times New Roman" w:hAnsi="Times New Roman" w:cs="Times New Roman"/>
          <w:b/>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Като последващи действия, свързани с „Пакета инструменти за устойчив воден транспорт“ от септември 2011 г.</w:t>
      </w:r>
      <w:r>
        <w:rPr>
          <w:rStyle w:val="FootnoteReference"/>
          <w:rFonts w:ascii="Times New Roman" w:hAnsi="Times New Roman"/>
          <w:noProof/>
          <w:color w:val="auto"/>
          <w:bdr w:val="none" w:sz="0" w:space="0" w:color="auto"/>
        </w:rPr>
        <w:footnoteReference w:id="17"/>
      </w:r>
      <w:r>
        <w:rPr>
          <w:rFonts w:ascii="Times New Roman" w:hAnsi="Times New Roman"/>
          <w:noProof/>
          <w:color w:val="auto"/>
          <w:bdr w:val="none" w:sz="0" w:space="0" w:color="auto"/>
        </w:rPr>
        <w:t>, през 2013 г. Комисията създаде Европейския форум за устойчиво корабоплаване (ESSF)</w:t>
      </w:r>
      <w:r>
        <w:rPr>
          <w:rStyle w:val="FootnoteReference"/>
          <w:rFonts w:ascii="Times New Roman" w:hAnsi="Times New Roman"/>
          <w:noProof/>
          <w:color w:val="auto"/>
          <w:bdr w:val="none" w:sz="0" w:space="0" w:color="auto"/>
        </w:rPr>
        <w:footnoteReference w:id="18"/>
      </w:r>
      <w:r>
        <w:rPr>
          <w:rFonts w:ascii="Times New Roman" w:hAnsi="Times New Roman"/>
          <w:noProof/>
          <w:color w:val="auto"/>
          <w:bdr w:val="none" w:sz="0" w:space="0" w:color="auto"/>
        </w:rPr>
        <w:t xml:space="preserve">, който представлява специален форум, улесняващ структурирания диалог и сътрудничеството между различните служби на Комисията, държавите членки и заинтересованите страни в областта на мореплаването, с цел да се справят по-добре с предизвикателствата, свързани с устойчивостта на околната среда, пред които е изправен секторът на морския транспорт в ЕС. Освен техническите въпроси, свързани с различните възможности за постигане на съответствие за ниско съдържание на сяра, в рамките на ESSF се разглеждат и конкурентоспособността на корабоплавателния сектор в ЕС, и новите начини за финансиране на устойчив морски транспорт. </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ESSF се състои от пленум и технически експертни групи („подгрупи“) и се председателства от Комисията, докато Европейската агенция по морска безопасност (ЕАМБ) действа като технически секретариат. Понастоящем ESSF се състои от четири специализирани подгрупи</w:t>
      </w:r>
      <w:r>
        <w:rPr>
          <w:rStyle w:val="FootnoteReference"/>
          <w:rFonts w:ascii="Times New Roman" w:hAnsi="Times New Roman"/>
          <w:noProof/>
          <w:color w:val="auto"/>
          <w:bdr w:val="none" w:sz="0" w:space="0" w:color="auto"/>
        </w:rPr>
        <w:footnoteReference w:id="19"/>
      </w:r>
      <w:r>
        <w:rPr>
          <w:rFonts w:ascii="Times New Roman" w:hAnsi="Times New Roman"/>
          <w:noProof/>
          <w:color w:val="auto"/>
          <w:bdr w:val="none" w:sz="0" w:space="0" w:color="auto"/>
        </w:rPr>
        <w:t>, във всяка от които участват експерти и заинтересовани страни от държавите членки и които се председателстват съвместно от представители на Комисията, на държавата членка и/или на заинтересованите страни. Подгрупата по въпросите на „Прилагането на Директивата за съдържанието на сяра“, заменена по-късно от подгрупата по въпросите на „Емисиите от кораби във въздуха“, има централна роля в подкрепата на подготовката за пораждане на действие на изискването за съдържанието на сяра от 0,10 % в европейските зони за контрол на емисиите на серни оксиди, а понастоящем подкрепя подготовката за прилагане на изискването за съдържание на сяра от 0,50 %</w:t>
      </w:r>
      <w:r>
        <w:rPr>
          <w:rStyle w:val="FootnoteReference"/>
          <w:rFonts w:ascii="Times New Roman" w:hAnsi="Times New Roman"/>
          <w:noProof/>
          <w:color w:val="auto"/>
          <w:bdr w:val="none" w:sz="0" w:space="0" w:color="auto"/>
        </w:rPr>
        <w:footnoteReference w:id="20"/>
      </w:r>
      <w:r>
        <w:rPr>
          <w:rFonts w:ascii="Times New Roman" w:hAnsi="Times New Roman"/>
          <w:noProof/>
          <w:color w:val="auto"/>
          <w:bdr w:val="none" w:sz="0" w:space="0" w:color="auto"/>
        </w:rPr>
        <w:t>.  Приложното поле на ESSF не се ограничава до прилагането на Директивата за съдържанието на сяра, а форумът също е разглеждал емисиите на парниковите газове от кораби и отпадъците от експлоатацията на кораби</w:t>
      </w:r>
      <w:r>
        <w:rPr>
          <w:rStyle w:val="FootnoteReference"/>
          <w:rFonts w:ascii="Times New Roman" w:hAnsi="Times New Roman"/>
          <w:noProof/>
          <w:color w:val="auto"/>
          <w:bdr w:val="none" w:sz="0" w:space="0" w:color="auto"/>
        </w:rPr>
        <w:footnoteReference w:id="21"/>
      </w:r>
      <w:r>
        <w:rPr>
          <w:rFonts w:ascii="Times New Roman" w:hAnsi="Times New Roman"/>
          <w:noProof/>
          <w:color w:val="auto"/>
          <w:bdr w:val="none" w:sz="0" w:space="0" w:color="auto"/>
        </w:rPr>
        <w:t>.</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ESSF предоставя конкретна и индивидуално разработена подкрепа за държавите членки и промишлеността в съответните за подгрупите области. Неговата работа улесни изготвянето на документи с насоки на Комисията и ЕАМБ, актове за изпълнение и делегирани актове на Комисията, подаването на информация от ЕС до ММО и прегледа на законодателните актове на Съюза</w:t>
      </w:r>
      <w:r>
        <w:rPr>
          <w:rStyle w:val="FootnoteReference"/>
          <w:rFonts w:ascii="Times New Roman" w:hAnsi="Times New Roman"/>
          <w:noProof/>
          <w:color w:val="auto"/>
          <w:bdr w:val="none" w:sz="0" w:space="0" w:color="auto"/>
        </w:rPr>
        <w:footnoteReference w:id="22"/>
      </w:r>
      <w:r>
        <w:rPr>
          <w:rFonts w:ascii="Times New Roman" w:hAnsi="Times New Roman"/>
          <w:noProof/>
          <w:color w:val="auto"/>
          <w:bdr w:val="none" w:sz="0" w:space="0" w:color="auto"/>
        </w:rPr>
        <w:t>. ESSF отразява плодотворното сътрудничество между службите на Комисията, националните експерти и заинтересованите страни, насочено към укрепването на устойчив и конкурентоспособен корабоплавателен сектор в ЕС. С оглед на този успех мандатът на ESSF е удължен до 30 юни 2018 г.</w:t>
      </w:r>
      <w:r>
        <w:rPr>
          <w:rStyle w:val="FootnoteReference"/>
          <w:rFonts w:ascii="Times New Roman" w:hAnsi="Times New Roman"/>
          <w:noProof/>
          <w:color w:val="auto"/>
          <w:bdr w:val="none" w:sz="0" w:space="0" w:color="auto"/>
        </w:rPr>
        <w:footnoteReference w:id="23"/>
      </w:r>
      <w:r>
        <w:rPr>
          <w:rFonts w:ascii="Times New Roman" w:hAnsi="Times New Roman"/>
          <w:noProof/>
          <w:color w:val="auto"/>
          <w:bdr w:val="none" w:sz="0" w:space="0" w:color="auto"/>
        </w:rPr>
        <w:t>, а на последното пленарно заседание на ESSF, проведено на 16 октомври 2017 г., е препоръчано допълнително удължаване.</w:t>
      </w:r>
    </w:p>
    <w:p>
      <w:pPr>
        <w:pStyle w:val="Default"/>
        <w:jc w:val="both"/>
        <w:rPr>
          <w:rFonts w:ascii="Times New Roman" w:eastAsia="Times New Roman" w:hAnsi="Times New Roman" w:cs="Times New Roman"/>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Финансова подкрепа от ЕС за въвеждане на чисти корабни технологии</w:t>
      </w:r>
    </w:p>
    <w:p>
      <w:pPr>
        <w:pStyle w:val="Default"/>
        <w:jc w:val="both"/>
        <w:rPr>
          <w:rFonts w:ascii="Times New Roman" w:eastAsia="Times New Roman" w:hAnsi="Times New Roman" w:cs="Times New Roman"/>
          <w:noProof/>
          <w:bdr w:val="none" w:sz="0" w:space="0" w:color="auto"/>
        </w:rPr>
      </w:pPr>
    </w:p>
    <w:p>
      <w:pPr>
        <w:pStyle w:val="Default"/>
        <w:jc w:val="both"/>
        <w:rPr>
          <w:rFonts w:ascii="Times New Roman" w:hAnsi="Times New Roman" w:cs="Times New Roman"/>
          <w:noProof/>
        </w:rPr>
      </w:pPr>
      <w:r>
        <w:rPr>
          <w:rFonts w:ascii="Times New Roman" w:hAnsi="Times New Roman"/>
          <w:noProof/>
        </w:rPr>
        <w:t xml:space="preserve">Комисията активно подкрепя повишаването на устойчивостта на морския транспорт в ЕС чрез широкообхватни финансови инструменти, насочени към проекти за научни изследвания, разработване и въвеждане на иновативни технологии или чисти горива.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По линия на програма „Хоризонт 2020“</w:t>
      </w:r>
      <w:r>
        <w:rPr>
          <w:rStyle w:val="FootnoteReference"/>
          <w:rFonts w:ascii="Times New Roman" w:hAnsi="Times New Roman"/>
          <w:noProof/>
        </w:rPr>
        <w:footnoteReference w:id="24"/>
      </w:r>
      <w:r>
        <w:rPr>
          <w:rFonts w:ascii="Times New Roman" w:hAnsi="Times New Roman"/>
          <w:noProof/>
        </w:rPr>
        <w:t xml:space="preserve"> се съфинансират проекти за научни изследвания и иновации, насочени към технологични подобрения в подкрепа на устойчивото корабоплаване (напр. системи за обработка на отработили газове, чисти и ефикасни двигатели, нови технологии, като например горивни клетки, електрификация и задвижваща мощност от възобновяеми източници (напр. вятър), подобрена хидродинамика) и подготовка на корабоплавателната промишленост в ЕС за изпълнение на европейските и международните задължения и целите в областта на околната среда.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Механизмът за свързване на Европа (МСЕ) подкрепя насърчаването на екологосъобразно корабоплаване чрез финансиране на екологосъобразна инфраструктура и бордово оборудване. Само през 2014 г. и 2015 г., в рамките на МСЕ (включително програмата „Морски магистрали“</w:t>
      </w:r>
      <w:r>
        <w:rPr>
          <w:rStyle w:val="FootnoteReference"/>
          <w:rFonts w:ascii="Times New Roman" w:hAnsi="Times New Roman"/>
          <w:noProof/>
        </w:rPr>
        <w:footnoteReference w:id="25"/>
      </w:r>
      <w:r>
        <w:rPr>
          <w:rFonts w:ascii="Times New Roman" w:hAnsi="Times New Roman"/>
          <w:noProof/>
        </w:rPr>
        <w:t>) са разпределени над 185 милиона евро за обучения, пилотни дейности и инфраструктурни проекти</w:t>
      </w:r>
      <w:r>
        <w:rPr>
          <w:rStyle w:val="FootnoteReference"/>
          <w:rFonts w:ascii="Times New Roman" w:hAnsi="Times New Roman"/>
          <w:noProof/>
        </w:rPr>
        <w:footnoteReference w:id="26"/>
      </w:r>
      <w:r>
        <w:rPr>
          <w:noProof/>
        </w:rPr>
        <w:t>.</w:t>
      </w:r>
    </w:p>
    <w:p>
      <w:pPr>
        <w:pStyle w:val="Default"/>
        <w:jc w:val="both"/>
        <w:rPr>
          <w:rFonts w:ascii="Times New Roman" w:hAnsi="Times New Roman" w:cs="Times New Roman"/>
          <w:noProof/>
        </w:rPr>
      </w:pPr>
    </w:p>
    <w:p>
      <w:pPr>
        <w:pStyle w:val="Default"/>
        <w:jc w:val="both"/>
        <w:rPr>
          <w:rFonts w:ascii="Times New Roman" w:eastAsia="Times New Roman" w:hAnsi="Times New Roman" w:cs="Times New Roman"/>
          <w:noProof/>
          <w:bdr w:val="none" w:sz="0" w:space="0" w:color="auto"/>
        </w:rPr>
      </w:pPr>
      <w:r>
        <w:rPr>
          <w:rFonts w:ascii="Times New Roman" w:hAnsi="Times New Roman"/>
          <w:noProof/>
          <w:bdr w:val="none" w:sz="0" w:space="0" w:color="auto"/>
        </w:rPr>
        <w:t xml:space="preserve">За да отговори на предизвикателството пред европейския корабоплавателен сектор </w:t>
      </w:r>
      <w:r>
        <w:rPr>
          <w:rFonts w:ascii="Times New Roman" w:hAnsi="Times New Roman"/>
          <w:noProof/>
        </w:rPr>
        <w:t>за достъп до финансова подкрепа от търговски банки за финансиране на екологосъобразни корабни технологии, след подготвителна работа от страна на ESSF и в тясно сътрудничество с Европейската инвестиционна банка, Комисията разработи Програмата за гаранция за екологосъобразен морски транспорт (GSG). Програмата за гаранция за екологосъобразен морски транспорт се финансира чрез МСЕ и Европейския фонд за стратегически инвестиции (ЕФСИ), като общият ѝ финансов пакет възлиза на 750 милиона евро. Очаква се програмата да генерира 3 милиарда евро инвестиции в европейския корабоплавателен сектор. През декември 2017 г. беше подписана първата сделка в рамките на Програмата за гаранция за екологосъобразен морски транспорт за финансиране на изграждането на ферибот, захранван с втечнен природен газ (LNG).</w:t>
      </w:r>
      <w:r>
        <w:rPr>
          <w:rStyle w:val="FootnoteReference"/>
          <w:rFonts w:ascii="Times New Roman" w:hAnsi="Times New Roman"/>
          <w:noProof/>
          <w:bdr w:val="none" w:sz="0" w:space="0" w:color="auto"/>
        </w:rPr>
        <w:footnoteReference w:id="27"/>
      </w:r>
      <w:r>
        <w:rPr>
          <w:rFonts w:ascii="Times New Roman" w:hAnsi="Times New Roman"/>
          <w:noProof/>
        </w:rPr>
        <w:t xml:space="preserve">. </w:t>
      </w:r>
    </w:p>
    <w:p>
      <w:pPr>
        <w:pStyle w:val="Default"/>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Техническа подкрепа за държавите членки от Европейската агенция по морска безопасност </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color w:val="auto"/>
          <w:bdr w:val="none" w:sz="0" w:space="0" w:color="auto"/>
        </w:rPr>
      </w:pPr>
      <w:r>
        <w:rPr>
          <w:rFonts w:ascii="Times New Roman" w:hAnsi="Times New Roman"/>
          <w:noProof/>
          <w:color w:val="auto"/>
          <w:bdr w:val="none" w:sz="0" w:space="0" w:color="auto"/>
        </w:rPr>
        <w:t>Комисията възложи на ЕАМБ</w:t>
      </w:r>
      <w:r>
        <w:rPr>
          <w:rStyle w:val="FootnoteReference"/>
          <w:rFonts w:ascii="Times New Roman" w:hAnsi="Times New Roman"/>
          <w:noProof/>
          <w:color w:val="auto"/>
          <w:bdr w:val="none" w:sz="0" w:space="0" w:color="auto"/>
        </w:rPr>
        <w:footnoteReference w:id="28"/>
      </w:r>
      <w:r>
        <w:rPr>
          <w:rFonts w:ascii="Times New Roman" w:hAnsi="Times New Roman"/>
          <w:noProof/>
          <w:color w:val="auto"/>
          <w:bdr w:val="none" w:sz="0" w:space="0" w:color="auto"/>
        </w:rPr>
        <w:t xml:space="preserve"> допълнителни дейности за улесняване на прилагането и изпълнението на изискванията за по-ниско съдържание на сяра. В този контекст ЕАМБ предоставя специална техническа помощ на администрациите на държавите членки посредством семинари, обучителни семинари</w:t>
      </w:r>
      <w:r>
        <w:rPr>
          <w:rStyle w:val="FootnoteReference"/>
          <w:rFonts w:ascii="Times New Roman" w:hAnsi="Times New Roman"/>
          <w:noProof/>
          <w:color w:val="auto"/>
          <w:bdr w:val="none" w:sz="0" w:space="0" w:color="auto"/>
        </w:rPr>
        <w:footnoteReference w:id="29"/>
      </w:r>
      <w:r>
        <w:rPr>
          <w:rFonts w:ascii="Times New Roman" w:hAnsi="Times New Roman"/>
          <w:noProof/>
          <w:color w:val="auto"/>
          <w:bdr w:val="none" w:sz="0" w:space="0" w:color="auto"/>
        </w:rPr>
        <w:t xml:space="preserve">, обмен на най-добри практики и други технически насоки и инструменти. </w:t>
      </w:r>
    </w:p>
    <w:p>
      <w:pPr>
        <w:pStyle w:val="Default"/>
        <w:jc w:val="both"/>
        <w:rPr>
          <w:rFonts w:ascii="Times New Roman" w:eastAsia="Times New Roman" w:hAnsi="Times New Roman" w:cs="Times New Roman"/>
          <w:noProof/>
          <w:color w:val="auto"/>
          <w:bdr w:val="none" w:sz="0" w:space="0" w:color="auto"/>
        </w:rPr>
      </w:pPr>
    </w:p>
    <w:p>
      <w:pPr>
        <w:pStyle w:val="Default"/>
        <w:jc w:val="both"/>
        <w:rPr>
          <w:rFonts w:ascii="Times New Roman" w:eastAsia="Times New Roman" w:hAnsi="Times New Roman" w:cs="Times New Roman"/>
          <w:noProof/>
          <w:bdr w:val="none" w:sz="0" w:space="0" w:color="auto"/>
        </w:rPr>
      </w:pPr>
      <w:r>
        <w:rPr>
          <w:rFonts w:ascii="Times New Roman" w:hAnsi="Times New Roman"/>
          <w:noProof/>
          <w:bdr w:val="none" w:sz="0" w:space="0" w:color="auto"/>
        </w:rPr>
        <w:t>Освен това Комисията предостави на ЕАМБ мандат да проведе „цикъл от посещения“ в държавите членки, за да наблюдава ефективното прилагане на директивата и съответното законодателство за прилагане</w:t>
      </w:r>
      <w:r>
        <w:rPr>
          <w:rStyle w:val="FootnoteReference"/>
          <w:rFonts w:ascii="Times New Roman" w:hAnsi="Times New Roman"/>
          <w:noProof/>
          <w:bdr w:val="none" w:sz="0" w:space="0" w:color="auto"/>
        </w:rPr>
        <w:footnoteReference w:id="30"/>
      </w:r>
      <w:r>
        <w:rPr>
          <w:rFonts w:ascii="Times New Roman" w:hAnsi="Times New Roman"/>
          <w:noProof/>
          <w:bdr w:val="none" w:sz="0" w:space="0" w:color="auto"/>
        </w:rPr>
        <w:t xml:space="preserve">. Обикновено посещенията от ЕАМБ продължават няколко дни, в рамките на които националното законодателство и процедури се обсъждат подробно с различните компетентни органи (напр. министерства, брегова охрана, както и местни органи, като например пристанищни органи). Цикълът от посещения започна в края на 2016 г. и се очаква да приключи през 2021 г. До края на 2017 г. ЕАМБ посети седем държави членки. Първоначалните реакции от страна на държавите членки подчертават задълбочеността на посещенията и потвърждават, че констатациите на ЕАМБ увеличават взаимното разбирателство и служат като катализатор за водене на национален диалог и за последващи действия за гарантиране на ефективността на националните мерки за прилагане. През 2019 г. ЕАМБ предвижда организирането на междинен семинар, с цел да се обсъдят междинните резултати. След като държавите членки бъдат посетени, ЕАМБ ще предостави на Комисията хоризонтален доклад, съдържащ общите констатации и заключения относно прилагането на директивата.  </w:t>
      </w:r>
    </w:p>
    <w:p>
      <w:pPr>
        <w:pStyle w:val="Default"/>
        <w:ind w:left="426"/>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Комитет на държавите членки за прилагане на Директивата за съдържанието на сяра</w:t>
      </w:r>
    </w:p>
    <w:p>
      <w:pPr>
        <w:jc w:val="both"/>
        <w:rPr>
          <w:rFonts w:eastAsia="Times New Roman"/>
          <w:noProof/>
          <w:bdr w:val="none" w:sz="0" w:space="0" w:color="auto"/>
        </w:rPr>
      </w:pPr>
    </w:p>
    <w:p>
      <w:pPr>
        <w:jc w:val="both"/>
        <w:rPr>
          <w:rFonts w:eastAsia="Times New Roman"/>
          <w:noProof/>
          <w:bdr w:val="none" w:sz="0" w:space="0" w:color="auto"/>
        </w:rPr>
      </w:pPr>
      <w:r>
        <w:rPr>
          <w:noProof/>
        </w:rPr>
        <w:t>В съответствие с член 17 от Директива (ЕС) 2016/802 Комисията създаде комитет за прилагането на Директивата за съдържанието на сяра, чиято цел е да подпомага нейното съгласувано и ефективно прилагане (наричан по-нататък „комитетът“)</w:t>
      </w:r>
      <w:r>
        <w:rPr>
          <w:rStyle w:val="FootnoteReference"/>
          <w:noProof/>
          <w:bdr w:val="none" w:sz="0" w:space="0" w:color="auto"/>
        </w:rPr>
        <w:footnoteReference w:id="31"/>
      </w:r>
      <w:r>
        <w:rPr>
          <w:noProof/>
        </w:rPr>
        <w:t xml:space="preserve">. Той заседава за първи път през октомври 2014 г., като до момента са проведени пет заседания. Комитетът подпомага Комисията при упражняване на изпълнителните ѝ правомощия, като изготвя доклади до ММО и прави преглед на резултатите на подгрупите в рамките на ESSF по въпросите на „Прилагането“ и „Емисиите от кораби във въздуха“. Благодарение на активното участие на държавите членки комитетът играе ключова роля в осигуряването на последователно и разходноефективно прилагане и изпълнение на директивата в целия ЕС, и представлява инструмент за подготовка на влизането в сила през 2020 г. на изискването за съдържание на сяра от 0,50 %. </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Подкрепа за проверка на съответствието на максималните допустими стойности на съдържанието на сяра в корабните горива</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При липсата на точни клаузи в директивата относно годишния брой инспекции на кораби и проби от гориво, които трябва да бъдат извършени от държавите членки, техният общ брой преди 2012 г. беше сравнително малък и се различаваше много в отделните държави членки. За да се промени това, с Директива 2012/33/ЕС Комисията бе оправомощена да приема актове за изпълнение относно „методите за вземане на проби“ от корабни горива, определението за „представителна проба“ и относно „честотата на вземането на проби“ от корабни горива (член 13, параграф 4 от Директива 2016/802/ЕС).  </w:t>
      </w:r>
    </w:p>
    <w:p>
      <w:pPr>
        <w:jc w:val="both"/>
        <w:rPr>
          <w:rFonts w:eastAsia="Times New Roman"/>
          <w:noProof/>
          <w:bdr w:val="none" w:sz="0" w:space="0" w:color="auto"/>
        </w:rPr>
      </w:pPr>
    </w:p>
    <w:p>
      <w:pPr>
        <w:jc w:val="both"/>
        <w:rPr>
          <w:rFonts w:eastAsia="Times New Roman"/>
          <w:noProof/>
          <w:bdr w:val="none" w:sz="0" w:space="0" w:color="auto"/>
        </w:rPr>
      </w:pPr>
      <w:r>
        <w:rPr>
          <w:noProof/>
        </w:rPr>
        <w:t>На 16 февруари 2015 г. Комисията прие Решение за изпълнение (ЕС) </w:t>
      </w:r>
      <w:r>
        <w:rPr>
          <w:noProof/>
          <w:color w:val="000000" w:themeColor="text1"/>
        </w:rPr>
        <w:t>2015/253</w:t>
      </w:r>
      <w:r>
        <w:rPr>
          <w:rStyle w:val="FootnoteReference"/>
          <w:noProof/>
          <w:bdr w:val="none" w:sz="0" w:space="0" w:color="auto"/>
        </w:rPr>
        <w:footnoteReference w:id="32"/>
      </w:r>
      <w:r>
        <w:rPr>
          <w:noProof/>
          <w:color w:val="000000" w:themeColor="text1"/>
        </w:rPr>
        <w:t xml:space="preserve"> (наричано по-нататък „акт за изпълнение“) за определяне на правилата относно процедурата за вземане на проби на борда на корабите</w:t>
      </w:r>
      <w:r>
        <w:rPr>
          <w:noProof/>
        </w:rPr>
        <w:t xml:space="preserve">, контрола върху доставчиците на гориво, както и за задължителния брой инспекции на кораби и проби от горива, които всяка държава членка трябва да извършва ежегодно, за да проверява съдържанието на сяра в корабните горива, използвани от кораби, плаващи във водите под нейна юрисдикция. </w:t>
      </w:r>
    </w:p>
    <w:p>
      <w:pPr>
        <w:jc w:val="both"/>
        <w:rPr>
          <w:rFonts w:eastAsia="Times New Roman"/>
          <w:noProof/>
          <w:bdr w:val="none" w:sz="0" w:space="0" w:color="auto"/>
        </w:rPr>
      </w:pPr>
    </w:p>
    <w:p>
      <w:pPr>
        <w:jc w:val="both"/>
        <w:rPr>
          <w:rFonts w:eastAsia="Times New Roman"/>
          <w:noProof/>
          <w:bdr w:val="none" w:sz="0" w:space="0" w:color="auto"/>
        </w:rPr>
      </w:pPr>
      <w:r>
        <w:rPr>
          <w:noProof/>
        </w:rPr>
        <w:t>През юли 2015 г. след обсъждания с държавите членки и с ESSF, ЕАМБ публикува своето „Ръководство за инспекция на съдържанието на сяра“</w:t>
      </w:r>
      <w:r>
        <w:rPr>
          <w:rStyle w:val="FootnoteReference"/>
          <w:noProof/>
          <w:bdr w:val="none" w:sz="0" w:space="0" w:color="auto"/>
        </w:rPr>
        <w:footnoteReference w:id="33"/>
      </w:r>
      <w:r>
        <w:rPr>
          <w:noProof/>
        </w:rPr>
        <w:t xml:space="preserve">, което допълва акта за изпълнение, като спомага за улесняване на хармонизирания подход за проверка на нормите за съдържание на сяра. В ръководството са разработени например начините за ефективно използване на наличната корабна документация (напр. разписките за доставено гориво, корабните дневници, включително горивните дневници и дневниците на двигателите, протоколите от измерване на дълбочината със сонди и преминаване към използване на друг вид течно гориво, плановете на резервоари или схемата на тръбопроводите) за целите на проверката на съответствието. Освен това ЕАМБ разработи модел на курс за обучение във връзка с прилагането на директивата, който след 2015 г. бе предоставен на повече от 200 инспектори в държавите членки. </w:t>
      </w:r>
    </w:p>
    <w:p>
      <w:pPr>
        <w:jc w:val="both"/>
        <w:rPr>
          <w:rFonts w:eastAsia="Times New Roman"/>
          <w:noProof/>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Вземане на проби от корабни горива, използвани на борда на корабите</w:t>
      </w:r>
    </w:p>
    <w:p>
      <w:pPr>
        <w:jc w:val="both"/>
        <w:rPr>
          <w:rFonts w:eastAsia="Times New Roman"/>
          <w:noProof/>
          <w:u w:val="single"/>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r>
        <w:rPr>
          <w:noProof/>
          <w:color w:val="000000" w:themeColor="text1"/>
          <w:bdr w:val="none" w:sz="0" w:space="0" w:color="auto"/>
          <w:shd w:val="clear" w:color="auto" w:fill="FFFFFF"/>
        </w:rPr>
        <w:t>Вземането на веществени проби от корабни горива, използвани от корабите, за удостоверяване на съответствието на съдържанието на сяра в тях, следва да се извършва чрез анализ или на запечатаната „проба от гориво“, или на „представителната проба“, която придружава разписката за доставеното гориво и е налична на борда, или чрез вземане и анализ на „локална проба“, взета от горивоподаващата система на кораба.</w:t>
      </w: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r>
        <w:rPr>
          <w:noProof/>
          <w:color w:val="000000" w:themeColor="text1"/>
          <w:bdr w:val="none" w:sz="0" w:space="0" w:color="auto"/>
          <w:shd w:val="clear" w:color="auto" w:fill="FFFFFF"/>
        </w:rPr>
        <w:t>Като се има предвид, че процедурата на ММО за анализ на пробите от гориво в съответствие с Правило 18, алинеи 8.1 и 8.2 от приложение VI към MARPOL вече е въведена, в акта за изпълнение се определя процедура за вземане на борда на локална проба от горивоподаващата система на кораба. Преди акта за изпълнение инспекторите в целия ЕС са вземали проби от различни места в тръбопроводната система на кораба, което би могло да повлияе на наблюдаваното съдържание на сяра в пробите. С цел да се насърчи разработването на международно хармонизирана процедура, на ММО беше предоставена процедурата на Съюза за вземане на локални проби, в резултат на което бяха изготвени „Насоки за вземане на проби на борда и проверка на съдържанието на сяра в горивото, използвано на борда от корабите“</w:t>
      </w:r>
      <w:r>
        <w:rPr>
          <w:rStyle w:val="FootnoteReference"/>
          <w:noProof/>
          <w:color w:val="000000" w:themeColor="text1"/>
          <w:bdr w:val="none" w:sz="0" w:space="0" w:color="auto"/>
          <w:shd w:val="clear" w:color="auto" w:fill="FFFFFF"/>
        </w:rPr>
        <w:footnoteReference w:id="34"/>
      </w:r>
      <w:r>
        <w:rPr>
          <w:noProof/>
          <w:color w:val="000000" w:themeColor="text1"/>
          <w:bdr w:val="none" w:sz="0" w:space="0" w:color="auto"/>
          <w:shd w:val="clear" w:color="auto" w:fill="FFFFFF"/>
        </w:rPr>
        <w:t xml:space="preserve">, които до голяма степен включват процедурата, определена в акта за изпълнение. </w:t>
      </w:r>
    </w:p>
    <w:p>
      <w:pPr>
        <w:jc w:val="both"/>
        <w:rPr>
          <w:rFonts w:eastAsia="Times New Roman"/>
          <w:noProof/>
          <w:u w:val="single"/>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Други технологии за проверка на съответствието</w:t>
      </w:r>
    </w:p>
    <w:p>
      <w:pPr>
        <w:jc w:val="both"/>
        <w:rPr>
          <w:rFonts w:eastAsia="Times New Roman"/>
          <w:noProof/>
          <w:u w:val="single"/>
          <w:bdr w:val="none" w:sz="0" w:space="0" w:color="auto"/>
        </w:rPr>
      </w:pPr>
    </w:p>
    <w:p>
      <w:pPr>
        <w:jc w:val="both"/>
        <w:rPr>
          <w:rFonts w:eastAsia="Times New Roman"/>
          <w:noProof/>
          <w:bdr w:val="none" w:sz="0" w:space="0" w:color="auto"/>
        </w:rPr>
      </w:pPr>
      <w:r>
        <w:rPr>
          <w:noProof/>
        </w:rPr>
        <w:t>Все повече държави членки използват технологии за проверка на съответствието, различни от проверките на документацията и вземането на веществени проби от горивото, с цел да получат бързо показание за това дали даден кораб спазва нормите за съдържанието на сяра, или дали е налице основателно съмнение, което води до насочване на вниманието към кораба за извършване на официална инспекция за проверка на съдържанието на сяра в използваното гориво.</w:t>
      </w:r>
    </w:p>
    <w:p>
      <w:pPr>
        <w:jc w:val="both"/>
        <w:rPr>
          <w:rFonts w:eastAsia="Times New Roman"/>
          <w:noProof/>
          <w:bdr w:val="none" w:sz="0" w:space="0" w:color="auto"/>
        </w:rPr>
      </w:pPr>
    </w:p>
    <w:p>
      <w:pPr>
        <w:jc w:val="both"/>
        <w:rPr>
          <w:rFonts w:eastAsia="Times New Roman"/>
          <w:noProof/>
          <w:bdr w:val="none" w:sz="0" w:space="0" w:color="auto"/>
        </w:rPr>
      </w:pPr>
      <w:r>
        <w:rPr>
          <w:noProof/>
        </w:rPr>
        <w:t>Върху мостове, входни пунктове на пристанища, плавателни съдове за патрулиране и малки самолети са монтирани различни „алтернативни технологии за проверка на съответствието“, като например преносими устройства за вземане на проби (които могат да дадат почти незабавно показание за съдържанието на сяра в намиращите се на борда горива), технология за засичане от разстояние и „уловители на газове“ (анализатори на отработили газове), които могат да определят съдържанието на сяра при измерването на отработилите газове на кораба, докато двигателят работи, и които се използват или изпитват от различни държави членки. ЕС отпуска средства и за подкрепа на разработването и използването на тези технологии</w:t>
      </w:r>
      <w:r>
        <w:rPr>
          <w:rStyle w:val="FootnoteReference"/>
          <w:noProof/>
          <w:bdr w:val="none" w:sz="0" w:space="0" w:color="auto"/>
        </w:rPr>
        <w:footnoteReference w:id="35"/>
      </w:r>
      <w:r>
        <w:rPr>
          <w:noProof/>
        </w:rPr>
        <w:t>. Освен това наскоро ЕАМБ сключи договор за закупуване на дронове/„дистанционно управлявани въздухоплавателни системи“ (RPAS)</w:t>
      </w:r>
      <w:r>
        <w:rPr>
          <w:rStyle w:val="FootnoteReference"/>
          <w:noProof/>
          <w:bdr w:val="none" w:sz="0" w:space="0" w:color="auto"/>
        </w:rPr>
        <w:footnoteReference w:id="36"/>
      </w:r>
      <w:r>
        <w:rPr>
          <w:noProof/>
        </w:rPr>
        <w:t xml:space="preserve">, които могат да подпомагат органите на държавите членки при откриване на замърсяване на моретата (напр. петролни разливи) или при мониторинг на емисиите във въздуха. </w:t>
      </w:r>
    </w:p>
    <w:p>
      <w:pPr>
        <w:jc w:val="both"/>
        <w:rPr>
          <w:rFonts w:eastAsia="Times New Roman"/>
          <w:noProof/>
          <w:bdr w:val="none" w:sz="0" w:space="0" w:color="auto"/>
        </w:rPr>
      </w:pPr>
    </w:p>
    <w:p>
      <w:pPr>
        <w:jc w:val="both"/>
        <w:rPr>
          <w:rFonts w:eastAsia="Times New Roman"/>
          <w:noProof/>
          <w:color w:val="000000" w:themeColor="text1"/>
          <w:bdr w:val="none" w:sz="0" w:space="0" w:color="auto"/>
        </w:rPr>
      </w:pPr>
      <w:r>
        <w:rPr>
          <w:noProof/>
        </w:rPr>
        <w:t xml:space="preserve">Използването на тези алтернативни технологии може да намали общите разходи и времето, свързани с проверката на съответствието с нормите за съдържанието на сяра на държавите членки. Комитетът обмени опит </w:t>
      </w:r>
      <w:r>
        <w:rPr>
          <w:noProof/>
          <w:color w:val="000000" w:themeColor="text1"/>
          <w:bdr w:val="none" w:sz="0" w:space="0" w:color="auto"/>
        </w:rPr>
        <w:t>във връзка с използването на тези технологии за проверка за съответствието и съобщи на ММО направените от него констатации</w:t>
      </w:r>
      <w:r>
        <w:rPr>
          <w:rStyle w:val="FootnoteReference"/>
          <w:noProof/>
          <w:color w:val="000000" w:themeColor="text1"/>
          <w:bdr w:val="none" w:sz="0" w:space="0" w:color="auto"/>
        </w:rPr>
        <w:footnoteReference w:id="37"/>
      </w:r>
      <w:r>
        <w:rPr>
          <w:noProof/>
          <w:color w:val="000000" w:themeColor="text1"/>
          <w:bdr w:val="none" w:sz="0" w:space="0" w:color="auto"/>
        </w:rPr>
        <w:t xml:space="preserve">. В акта за изпълнение се признава изрично потенциалът на иновативните технологии за проверка на съответствието, като държавите членки се насърчават да ги използват.  </w:t>
      </w:r>
    </w:p>
    <w:p>
      <w:pPr>
        <w:jc w:val="both"/>
        <w:rPr>
          <w:rFonts w:eastAsia="Times New Roman"/>
          <w:noProof/>
          <w:color w:val="000000" w:themeColor="text1"/>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Задължителна честота на инспекциите и вземането на проби от горивото </w:t>
      </w:r>
    </w:p>
    <w:p>
      <w:pPr>
        <w:jc w:val="both"/>
        <w:rPr>
          <w:rFonts w:eastAsia="Times New Roman"/>
          <w:noProof/>
          <w:color w:val="000000" w:themeColor="text1"/>
          <w:u w:val="single"/>
          <w:bdr w:val="none" w:sz="0" w:space="0" w:color="auto"/>
        </w:rPr>
      </w:pPr>
    </w:p>
    <w:p>
      <w:pPr>
        <w:jc w:val="both"/>
        <w:rPr>
          <w:rFonts w:eastAsia="Times New Roman"/>
          <w:noProof/>
          <w:bdr w:val="none" w:sz="0" w:space="0" w:color="auto"/>
        </w:rPr>
      </w:pPr>
      <w:r>
        <w:rPr>
          <w:noProof/>
        </w:rPr>
        <w:t xml:space="preserve">За да се гарантира равно разпределяне на тежестта на прилагане между държавите членки и равнопоставеност за пристанищата и операторите в ЕС, с Директива 2012/33/ЕС Комисията се оправомощава да определя задължителна честота на инспекциите и вземането на проби от корабни горива (член 13, параграф 4 от Директива (ЕС) 2016/802), която е предвидена в акта за изпълнение. </w:t>
      </w:r>
    </w:p>
    <w:p>
      <w:pPr>
        <w:jc w:val="both"/>
        <w:rPr>
          <w:rFonts w:eastAsia="Times New Roman"/>
          <w:noProof/>
          <w:bdr w:val="none" w:sz="0" w:space="0" w:color="auto"/>
        </w:rPr>
      </w:pPr>
    </w:p>
    <w:p>
      <w:pPr>
        <w:jc w:val="both"/>
        <w:rPr>
          <w:rFonts w:eastAsia="Times New Roman"/>
          <w:noProof/>
          <w:bdr w:val="none" w:sz="0" w:space="0" w:color="auto"/>
        </w:rPr>
      </w:pPr>
      <w:r>
        <w:rPr>
          <w:noProof/>
          <w:color w:val="000000" w:themeColor="text1"/>
          <w:bdr w:val="none" w:sz="0" w:space="0" w:color="auto"/>
          <w:shd w:val="clear" w:color="auto" w:fill="FFFFFF"/>
        </w:rPr>
        <w:t xml:space="preserve">Тази честота се определя главно от годишния брой на отделните кораби, влизащи в пристанищата на дадена държава членка. Съгласно член 3, параграф 1 от Решение за изпълнение (ЕС) 2015/253 всички държави членки трябва да провеждат инспекции на корабната документация поне на 10 % от отделните кораби, влизащи в пристанищата им. Към проверката на корабната документация държавите членки трябва да добавят вземане на проби и анализ на съдържанието на сяра в горивата на 20—40 % от инспектираните кораби в зависимост от това, дали държавата членка граничи (частично) със зона за контрол на емисиите на серни оксиди или не.  Честотата на вземане на проби в зоните за контрол на емисиите на серни оксиди е по-висока от тази в други европейски води, като се има предвид, че ценовата премия за нискосернисти корабни горива може да стимулира операторите да рискуват да им бъде наложена евентуална санкция, ако не използват съответстващото на изискванията гориво. В прерогативите на националните инспектори остава да избират </w:t>
      </w:r>
      <w:r>
        <w:rPr>
          <w:noProof/>
        </w:rPr>
        <w:t xml:space="preserve">корабите, които ще бъдат подложени на инспекция и/или от които ще бъдат взети проби от горивото. В съответствие с акта за изпълнение </w:t>
      </w:r>
      <w:r>
        <w:rPr>
          <w:noProof/>
          <w:color w:val="000000" w:themeColor="text1"/>
          <w:bdr w:val="none" w:sz="0" w:space="0" w:color="auto"/>
          <w:shd w:val="clear" w:color="auto" w:fill="FFFFFF"/>
        </w:rPr>
        <w:t xml:space="preserve">общият </w:t>
      </w:r>
      <w:r>
        <w:rPr>
          <w:noProof/>
        </w:rPr>
        <w:t>брой на взетите за една година проби от горивото за държава членка</w:t>
      </w:r>
      <w:r>
        <w:rPr>
          <w:noProof/>
          <w:color w:val="000000" w:themeColor="text1"/>
          <w:bdr w:val="none" w:sz="0" w:space="0" w:color="auto"/>
          <w:shd w:val="clear" w:color="auto" w:fill="FFFFFF"/>
        </w:rPr>
        <w:t xml:space="preserve"> може да бъде коригиран, в случай че тя използва </w:t>
      </w:r>
      <w:r>
        <w:rPr>
          <w:noProof/>
        </w:rPr>
        <w:t xml:space="preserve">алтернативна технология за проверка на съответствието.  </w:t>
      </w:r>
    </w:p>
    <w:p>
      <w:pPr>
        <w:jc w:val="both"/>
        <w:rPr>
          <w:rFonts w:eastAsia="Times New Roman"/>
          <w:noProof/>
          <w:color w:val="000000" w:themeColor="text1"/>
          <w:bdr w:val="none" w:sz="0" w:space="0" w:color="auto"/>
          <w:shd w:val="clear" w:color="auto" w:fill="FFFFFF"/>
        </w:rPr>
      </w:pPr>
    </w:p>
    <w:p>
      <w:pPr>
        <w:jc w:val="both"/>
        <w:rPr>
          <w:rFonts w:eastAsia="Times New Roman"/>
          <w:noProof/>
          <w:color w:val="000000" w:themeColor="text1"/>
          <w:bdr w:val="none" w:sz="0" w:space="0" w:color="auto"/>
          <w:shd w:val="clear" w:color="auto" w:fill="FFFFFF"/>
        </w:rPr>
      </w:pPr>
      <w:r>
        <w:rPr>
          <w:noProof/>
          <w:color w:val="000000" w:themeColor="text1"/>
          <w:bdr w:val="none" w:sz="0" w:space="0" w:color="auto"/>
          <w:shd w:val="clear" w:color="auto" w:fill="FFFFFF"/>
        </w:rPr>
        <w:t>В бъдеще Комисията може да реши да преразгледа честотата на инспекциите и вземането на проби с оглед на влизащото в сила през 2020 г. изискване за съдържание на сяра от 0,50 %, но може също така да въведе основан на риска подход на Съюза за инспекция, за да насочи усилията към най-вероятните нарушители. Разработването на такъв механизъм изисква наличието на значителна информация относно моделите за съответствие на видовете кораби, оператори, маршрути и доставчици на гориво.</w:t>
      </w:r>
    </w:p>
    <w:p>
      <w:pPr>
        <w:jc w:val="both"/>
        <w:rPr>
          <w:rFonts w:eastAsia="Times New Roman"/>
          <w:b/>
          <w:noProof/>
          <w:color w:val="000000" w:themeColor="text1"/>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Вземане на проби от корабните горива по време на доставката им на кораба</w:t>
      </w:r>
    </w:p>
    <w:p>
      <w:pPr>
        <w:jc w:val="both"/>
        <w:rPr>
          <w:rFonts w:eastAsia="Times New Roman"/>
          <w:noProof/>
          <w:color w:val="000000" w:themeColor="text1"/>
          <w:u w:val="single"/>
          <w:bdr w:val="none" w:sz="0" w:space="0" w:color="auto"/>
        </w:rPr>
      </w:pPr>
    </w:p>
    <w:p>
      <w:pPr>
        <w:jc w:val="both"/>
        <w:rPr>
          <w:rFonts w:eastAsia="Times New Roman"/>
          <w:noProof/>
          <w:bdr w:val="none" w:sz="0" w:space="0" w:color="auto"/>
        </w:rPr>
      </w:pPr>
      <w:r>
        <w:rPr>
          <w:noProof/>
        </w:rPr>
        <w:t xml:space="preserve">Като се има предвид, че проверката на съответствието на съдържанието на сяра в корабните горива е насочена главно „към кораба“, с Директива 2012/33/ЕС се въвеждат и разпоредби за засилване на контрола върху доставчиците на гориво, т.е. „на сушата“ (член 6, параграф 9 от Директива (ЕС) 2016/802). Понастоящем държавите членки са задължени да предприемат действия срещу доставчици на гориво, за които е установено, че доставят корабно гориво, което не отговаря на спецификацията, посочена в разписката за доставеното гориво, както и да поддържат публично достъпен регистър на доставчици на корабни горива с цел увеличаване на прозрачността.  От държавите членки също се изисква да контролират доставчиците на корабно гориво, като вземат проби от техните продукти при доставянето им на кораба в случай на многократно подавани доклади за предполагаеми проблеми с качеството („протестни писма“) (член 4 от Решение за изпълнение (ЕС) 2015/253). </w:t>
      </w:r>
    </w:p>
    <w:p>
      <w:pPr>
        <w:jc w:val="both"/>
        <w:rPr>
          <w:rFonts w:eastAsia="Times New Roman"/>
          <w:noProof/>
          <w:bdr w:val="none" w:sz="0" w:space="0" w:color="auto"/>
        </w:rPr>
      </w:pPr>
    </w:p>
    <w:p>
      <w:pPr>
        <w:jc w:val="both"/>
        <w:rPr>
          <w:rFonts w:eastAsia="Times New Roman"/>
          <w:noProof/>
          <w:bdr w:val="none" w:sz="0" w:space="0" w:color="auto"/>
        </w:rPr>
      </w:pPr>
      <w:r>
        <w:rPr>
          <w:noProof/>
        </w:rPr>
        <w:t>През 2016 г. Комисията започна проучване</w:t>
      </w:r>
      <w:r>
        <w:rPr>
          <w:rStyle w:val="FootnoteReference"/>
          <w:noProof/>
          <w:bdr w:val="none" w:sz="0" w:space="0" w:color="auto"/>
        </w:rPr>
        <w:footnoteReference w:id="38"/>
      </w:r>
      <w:r>
        <w:rPr>
          <w:noProof/>
        </w:rPr>
        <w:t xml:space="preserve"> за допълнителна оценка на процедурите за надзор и лицензиране на доставчиците на гориво в държавите членки. В проучването ще бъдат представени също така указания за това, къде може да е необходимо да се засили контролът върху доставчиците на корабни горива, за да се гарантира доставянето на висококачествени, отговарящи на изискванията горива за корабите, които посещават пристанища в ЕС</w:t>
      </w:r>
      <w:r>
        <w:rPr>
          <w:rStyle w:val="FootnoteReference"/>
          <w:noProof/>
          <w:bdr w:val="none" w:sz="0" w:space="0" w:color="auto"/>
        </w:rPr>
        <w:footnoteReference w:id="39"/>
      </w:r>
      <w:r>
        <w:rPr>
          <w:noProof/>
        </w:rPr>
        <w:t xml:space="preserve">. </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Докладване от държавите членки и THETIS-EU</w:t>
      </w:r>
    </w:p>
    <w:p>
      <w:pPr>
        <w:jc w:val="both"/>
        <w:rPr>
          <w:rFonts w:eastAsia="Times New Roman"/>
          <w:noProof/>
          <w:bdr w:val="none" w:sz="0" w:space="0" w:color="auto"/>
        </w:rPr>
      </w:pPr>
    </w:p>
    <w:p>
      <w:pPr>
        <w:jc w:val="both"/>
        <w:rPr>
          <w:rFonts w:eastAsia="Times New Roman"/>
          <w:noProof/>
          <w:bdr w:val="none" w:sz="0" w:space="0" w:color="auto"/>
        </w:rPr>
      </w:pPr>
      <w:r>
        <w:rPr>
          <w:noProof/>
        </w:rPr>
        <w:t>Докладването от държавите членки в миналото се оказа недостатъчно, за да се изготви преглед, обхващащ целия ЕС, на спазването на нормите за съдържанието на сяра поради липсата на хармонизирани разпоредби за съдържанието и формата на докладите на държавите членки</w:t>
      </w:r>
      <w:r>
        <w:rPr>
          <w:rStyle w:val="FootnoteReference"/>
          <w:noProof/>
          <w:bdr w:val="none" w:sz="0" w:space="0" w:color="auto"/>
        </w:rPr>
        <w:footnoteReference w:id="40"/>
      </w:r>
      <w:r>
        <w:rPr>
          <w:noProof/>
        </w:rPr>
        <w:t xml:space="preserve">. Поради това с преразглеждането от 2012 г. на Директивата за съдържанието на сяра Комисията беше оправомощена да приеме по-подробни разпоредби за съдържанието и формата на годишните доклади на държавите членки. </w:t>
      </w:r>
    </w:p>
    <w:p>
      <w:pPr>
        <w:jc w:val="both"/>
        <w:rPr>
          <w:rFonts w:eastAsia="Times New Roman"/>
          <w:noProof/>
          <w:bdr w:val="none" w:sz="0" w:space="0" w:color="auto"/>
        </w:rPr>
      </w:pPr>
    </w:p>
    <w:p>
      <w:pPr>
        <w:jc w:val="both"/>
        <w:rPr>
          <w:rFonts w:eastAsia="Times New Roman"/>
          <w:noProof/>
          <w:bdr w:val="none" w:sz="0" w:space="0" w:color="auto"/>
        </w:rPr>
      </w:pPr>
      <w:r>
        <w:rPr>
          <w:noProof/>
        </w:rPr>
        <w:t>За тази цел в член 7 от Решение за изпълнение (ЕС) 2015/253 се определя цялата информация относно изпълнението на нормите за съдържанието на сяра в корабните горива, която трябва да бъде включена в годишните доклади на държавите членки. Ежегодното докладване от страна на държавите членки относно действията им за проверка на съдържанието на сяра в горивата, използвани в горивните инсталации на сушата, се извършва в съответствие с образец, приет в комитета през 2016 г. за доброволно използване.</w:t>
      </w:r>
    </w:p>
    <w:p>
      <w:pPr>
        <w:jc w:val="both"/>
        <w:rPr>
          <w:rFonts w:eastAsia="Times New Roman"/>
          <w:noProof/>
          <w:bdr w:val="none" w:sz="0" w:space="0" w:color="auto"/>
        </w:rPr>
      </w:pPr>
    </w:p>
    <w:p>
      <w:pPr>
        <w:jc w:val="both"/>
        <w:rPr>
          <w:rFonts w:eastAsia="Times New Roman"/>
          <w:noProof/>
          <w:bdr w:val="none" w:sz="0" w:space="0" w:color="auto"/>
        </w:rPr>
      </w:pPr>
      <w:r>
        <w:rPr>
          <w:noProof/>
        </w:rPr>
        <w:t>С оглед на пораждането на действие на 1 януари 2015 г. на изискванията за по-ниско съдържание на сяра в зоните за контрол на</w:t>
      </w:r>
      <w:r>
        <w:rPr>
          <w:noProof/>
          <w:bdr w:val="none" w:sz="0" w:space="0" w:color="auto"/>
          <w:vertAlign w:val="subscript"/>
        </w:rPr>
        <w:t xml:space="preserve"> </w:t>
      </w:r>
      <w:r>
        <w:rPr>
          <w:noProof/>
        </w:rPr>
        <w:t xml:space="preserve">емисиите на серни оксиди Комисията възложи на ЕАМБ да разработи „Информационна система на Съюза“ за записване и обмен на данните и констатациите от извършените на борда на корабите инспекции, включително от вземането на проби от горивата и анализа. ЕАМБ разработи „THETIS-EU“, която започна да функционира пълноценно от 1 януари 2015 г. </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THETIS-EU включва всички задължителни области на докладване, определени в член 7 от Решение за изпълнение (ЕС) 2015/253, и позволява почти в реално време да се извършва мониторинг на записите за съответствието на отделните кораби във всички държави членки. THETIS-EU се използва (доброволно) от всички държави членки, а в близко бъдеще до системата ще могат да получат достъп и съседните на ЕС държави. THETIS-EU е допринесла в значителна степен за подобряване на качеството и последователността на докладването относно спазването от корабите на нормите за съдържание на сяра в целия ЕС. Продължават обсъжданията с държавите членки относно начините за допълнително увеличаване на полезността и улесняване на използването на THETIS-EU, както и за начините за адаптиране на системата към бъдещите нужди за изпълнение съгласно директивата. </w:t>
      </w:r>
    </w:p>
    <w:p>
      <w:pPr>
        <w:jc w:val="both"/>
        <w:rPr>
          <w:rFonts w:eastAsia="Times New Roman"/>
          <w:noProof/>
          <w:bdr w:val="none" w:sz="0" w:space="0" w:color="auto"/>
        </w:rPr>
      </w:pPr>
    </w:p>
    <w:p>
      <w:pPr>
        <w:jc w:val="both"/>
        <w:rPr>
          <w:rFonts w:eastAsia="Times New Roman"/>
          <w:noProof/>
          <w:bdr w:val="none" w:sz="0" w:space="0" w:color="auto"/>
        </w:rPr>
      </w:pPr>
      <w:r>
        <w:rPr>
          <w:noProof/>
        </w:rPr>
        <w:t>В съответствие с член 8 от Решение за изпълнение (ЕС) 2015/253 и във връзка с намаляването на административната тежест за държавите членки THETIS-EU може да предостави на държавите членки обобщение на събраните през предходната година данни, което може да бъде използвано за спазване на задължението им ежегодно да докладват на Комисията. След решение на комитета от юни 2017 г. обобщената версия на данните от инспекцията за съдържанието на сяра, съдържащи се в THETIS-EU, е и публично достъпна на портала THETIS-EU на ЕАМБ</w:t>
      </w:r>
      <w:r>
        <w:rPr>
          <w:rStyle w:val="FootnoteReference"/>
          <w:noProof/>
          <w:bdr w:val="none" w:sz="0" w:space="0" w:color="auto"/>
        </w:rPr>
        <w:footnoteReference w:id="41"/>
      </w:r>
      <w:r>
        <w:rPr>
          <w:noProof/>
        </w:rPr>
        <w:t>.</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Степен на спазване на нормите за съдържанието на сяра в корабните горива</w:t>
      </w:r>
    </w:p>
    <w:p>
      <w:pPr>
        <w:jc w:val="both"/>
        <w:rPr>
          <w:rFonts w:eastAsia="Times New Roman"/>
          <w:noProof/>
          <w:bdr w:val="none" w:sz="0" w:space="0" w:color="auto"/>
        </w:rPr>
      </w:pPr>
    </w:p>
    <w:p>
      <w:pPr>
        <w:jc w:val="both"/>
        <w:rPr>
          <w:rFonts w:eastAsia="Times New Roman"/>
          <w:noProof/>
          <w:bdr w:val="none" w:sz="0" w:space="0" w:color="auto"/>
        </w:rPr>
      </w:pPr>
      <w:r>
        <w:rPr>
          <w:noProof/>
        </w:rPr>
        <w:t>Между 1 януари 2015 г. (от когато системата започна да функционира) и 31 декември 2017 г. в THETIS-EU са регистрирани над 28 000 конкретни инспекции</w:t>
      </w:r>
      <w:r>
        <w:rPr>
          <w:rStyle w:val="FootnoteReference"/>
          <w:noProof/>
          <w:bdr w:val="none" w:sz="0" w:space="0" w:color="auto"/>
        </w:rPr>
        <w:footnoteReference w:id="42"/>
      </w:r>
      <w:r>
        <w:rPr>
          <w:noProof/>
        </w:rPr>
        <w:t xml:space="preserve"> (средно между 700 и 900 месечно). В сравнение със ситуацията преди акта за изпълнение и THETIS-EU, обемът на инспекциите се е увеличил, като от инспектиране на 1 на всеки 1000 кораба, влизащи в пристанищата в ЕС, се достига до инспектиране приблизително на 1 на всеки 10 кораба. Близо 60 % от тези инспекции (около 16 500) са проведени в района на Балтийско и Северно море, а останалата част — в другите европейски морски райони. През същия период са регистрирани над 1350 случая на неспазване</w:t>
      </w:r>
      <w:r>
        <w:rPr>
          <w:rStyle w:val="FootnoteReference"/>
          <w:noProof/>
          <w:bdr w:val="none" w:sz="0" w:space="0" w:color="auto"/>
        </w:rPr>
        <w:footnoteReference w:id="43"/>
      </w:r>
      <w:r>
        <w:rPr>
          <w:noProof/>
        </w:rPr>
        <w:t xml:space="preserve"> (около 5 % от общия брой на инспекциите). Над 80 % от тези случаи са регистрирани в зоните за контрол на емисиите на серни оксиди, а останалата част (свързани главно с използването на несъответстващи на изискванията горива от кораби, закотвени в пристанищата) — в другите европейски морски райони.</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Както е посочено на графиката по-долу, общият брой на докладваните годишни инспекции през периода 2015—2017 г. значително се е увеличил, докато годишният брой на докладваните случаи на неспазване изглежда се стабилизира и намалява пропорционално спрямо увеличаването на годишните инспекции. </w:t>
      </w:r>
    </w:p>
    <w:p>
      <w:pPr>
        <w:jc w:val="both"/>
        <w:rPr>
          <w:noProof/>
          <w:color w:val="1F497D"/>
        </w:rPr>
      </w:pPr>
      <w:r>
        <w:rPr>
          <w:noProof/>
          <w:color w:val="1F497D"/>
        </w:rPr>
        <w:t xml:space="preserve"> </w:t>
      </w:r>
    </w:p>
    <w:p>
      <w:pPr>
        <w:jc w:val="both"/>
        <w:rPr>
          <w:rFonts w:eastAsia="Times New Roman"/>
          <w:noProof/>
          <w:bdr w:val="none" w:sz="0" w:space="0" w:color="auto"/>
        </w:rPr>
      </w:pPr>
      <w:r>
        <w:rPr>
          <w:noProof/>
          <w:lang w:val="en-US" w:eastAsia="en-US" w:bidi="ar-SA"/>
        </w:rPr>
        <w:drawing>
          <wp:inline distT="0" distB="0" distL="0" distR="0">
            <wp:extent cx="5756910" cy="2522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2522678"/>
                    </a:xfrm>
                    <a:prstGeom prst="rect">
                      <a:avLst/>
                    </a:prstGeom>
                    <a:noFill/>
                    <a:ln>
                      <a:noFill/>
                    </a:ln>
                  </pic:spPr>
                </pic:pic>
              </a:graphicData>
            </a:graphic>
          </wp:inline>
        </w:drawing>
      </w:r>
    </w:p>
    <w:p>
      <w:pPr>
        <w:jc w:val="both"/>
        <w:rPr>
          <w:rFonts w:eastAsia="Times New Roman"/>
          <w:noProof/>
          <w:bdr w:val="none" w:sz="0" w:space="0" w:color="auto"/>
        </w:rPr>
      </w:pPr>
      <w:r>
        <w:rPr>
          <w:noProof/>
        </w:rPr>
        <w:tab/>
      </w:r>
    </w:p>
    <w:p>
      <w:pPr>
        <w:jc w:val="both"/>
        <w:rPr>
          <w:rFonts w:eastAsia="Times New Roman"/>
          <w:noProof/>
          <w:bdr w:val="none" w:sz="0" w:space="0" w:color="auto"/>
        </w:rPr>
      </w:pPr>
      <w:r>
        <w:rPr>
          <w:noProof/>
        </w:rPr>
        <w:t xml:space="preserve">Годишният задължителен брой инспекции и проби от горива в съчетание със задължителния формат на докладване и използването на THETIS-EU са довели до много по-подробно и цялостно докладване, което дава възможност да се направи по-добро сравнение на положените усилия между държавите членки. Добрата степен на съответствие е показателна за усилията от страна на промишлеността да допринесе за намаляване на замърсяването на въздуха от морския транспорт, макар че същественото засилване на мониторинга и изпълнението на нормите за съдържанието на сяра от страна на държавите членки също има значителен възпиращ ефект. </w:t>
      </w:r>
    </w:p>
    <w:p>
      <w:pPr>
        <w:jc w:val="both"/>
        <w:rPr>
          <w:rFonts w:eastAsia="Times New Roman"/>
          <w:noProof/>
          <w:bdr w:val="none" w:sz="0" w:space="0" w:color="auto"/>
        </w:rPr>
      </w:pPr>
    </w:p>
    <w:p>
      <w:pPr>
        <w:jc w:val="both"/>
        <w:rPr>
          <w:rFonts w:eastAsia="Times New Roman"/>
          <w:noProof/>
          <w:bdr w:val="none" w:sz="0" w:space="0" w:color="auto"/>
        </w:rPr>
      </w:pPr>
      <w:r>
        <w:rPr>
          <w:noProof/>
        </w:rPr>
        <w:t xml:space="preserve">Въпреки засилените като цяло усилия за изпълнение, някои държави членки все още не спазват задължителния брой на инспекциите и на вземанията на проби от горива, както е предвидено в акта за изпълнение. Понастоящем Комисията анализира усилията на държавите членки, като ѝ е известно, че при някои органи (за местна инспекция) е наблюдавано забавяне при записването на констатациите от извършените от тях инспекции за съдържанието на сяра в THETIS-EU. Комисията ще предприеме последващи действия по отношение на държавите членки, които не спазват задължителната инспекция и честотата на вземане на пробите от горивото, когато е целесъобразно.  </w:t>
      </w:r>
    </w:p>
    <w:p>
      <w:pPr>
        <w:jc w:val="both"/>
        <w:rPr>
          <w:rFonts w:eastAsia="Times New Roman"/>
          <w:noProof/>
          <w:bdr w:val="none" w:sz="0" w:space="0" w:color="auto"/>
        </w:rPr>
      </w:pPr>
    </w:p>
    <w:p>
      <w:pPr>
        <w:jc w:val="both"/>
        <w:rPr>
          <w:rFonts w:eastAsia="Times New Roman"/>
          <w:noProof/>
          <w:bdr w:val="none" w:sz="0" w:space="0" w:color="auto"/>
        </w:rPr>
      </w:pPr>
      <w:r>
        <w:rPr>
          <w:noProof/>
        </w:rPr>
        <w:t>Докладваните данни показват също така необходимостта от предприемане на допълнителни действия за изпълнение от държавите членки, с цел да се провери спазването на някои други норми за съдържанието на сяра, по-специално за допустимото съдържание от 1,50 % за горива, използвани от „пътнически кораби, изпълняващи редовни услуги“ (член 6, параграф 5 от Директива (ЕС) 2016/802), които по принцип могат да включват и круизни кораби, извън зоните за контрол на емисиите на серни оксиди</w:t>
      </w:r>
      <w:r>
        <w:rPr>
          <w:noProof/>
          <w:bdr w:val="none" w:sz="0" w:space="0" w:color="auto"/>
          <w:vertAlign w:val="subscript"/>
        </w:rPr>
        <w:t xml:space="preserve"> </w:t>
      </w:r>
      <w:r>
        <w:rPr>
          <w:noProof/>
        </w:rPr>
        <w:t>, като например в Средиземно море, и доколкото тези плавателни средства могат да се разглеждат като извършващи редовни услуги</w:t>
      </w:r>
      <w:r>
        <w:rPr>
          <w:rStyle w:val="FootnoteReference"/>
          <w:noProof/>
          <w:bdr w:val="none" w:sz="0" w:space="0" w:color="auto"/>
        </w:rPr>
        <w:footnoteReference w:id="44"/>
      </w:r>
      <w:r>
        <w:rPr>
          <w:noProof/>
        </w:rPr>
        <w:t xml:space="preserve">, както и съдържанието на сяра и общото качество на корабните горива по време на доставката на корабите от доставчиците на гориво („доставчици на гориво“) (член 13, параграф 2, буква б), подточка i) от Директива (ЕС) 2016/802). </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 xml:space="preserve">Алтернативни методи за осигуряване на съответствие </w:t>
      </w:r>
    </w:p>
    <w:p>
      <w:pPr>
        <w:rPr>
          <w:noProof/>
        </w:rPr>
      </w:pPr>
    </w:p>
    <w:p>
      <w:pPr>
        <w:jc w:val="both"/>
        <w:rPr>
          <w:noProof/>
        </w:rPr>
      </w:pPr>
      <w:r>
        <w:rPr>
          <w:noProof/>
        </w:rPr>
        <w:t xml:space="preserve">Съгласно член 8 от Директива (ЕС) 2016/802 се разрешава използването на „методи за намаляване на емисиите“ като алтернативни горива, специално оборудване или инсталации на борда на корабите, използвани като алтернатива на нискосернистите корабни горива, при условие че тяхното използване води до еквивалентно или дори по-голямо намаляване на емисиите и че са изпълнени всички съответни условия, определени в директивата. </w:t>
      </w:r>
    </w:p>
    <w:p>
      <w:pPr>
        <w:jc w:val="both"/>
        <w:rPr>
          <w:noProof/>
        </w:rPr>
      </w:pPr>
    </w:p>
    <w:p>
      <w:pPr>
        <w:jc w:val="both"/>
        <w:rPr>
          <w:noProof/>
        </w:rPr>
      </w:pPr>
      <w:r>
        <w:rPr>
          <w:noProof/>
        </w:rPr>
        <w:t>Независимо от това, както е посочено в съображение 34 от Директива (ЕС) 2016/802, използването на алтернативни методи за спазване на ограниченията за съдържанието на сяра във водите на държавите членки не следва да води до неблагоприятни въздействия върху други зони като водната среда, произтичащи от изпусканите замърсители в моретата или от потоци от твърди отпадъци, или до значително увеличение на емисиите на парникови газове</w:t>
      </w:r>
      <w:r>
        <w:rPr>
          <w:rStyle w:val="FootnoteReference"/>
          <w:noProof/>
        </w:rPr>
        <w:footnoteReference w:id="45"/>
      </w:r>
      <w:r>
        <w:rPr>
          <w:noProof/>
        </w:rPr>
        <w:t>. Доколкото е възможно, Комисията подпомага държавите членки като осигурява съответствие с привидно припокриващи се задължения съгласно законодателството на Съюза</w:t>
      </w:r>
      <w:r>
        <w:rPr>
          <w:rStyle w:val="FootnoteReference"/>
          <w:noProof/>
        </w:rPr>
        <w:footnoteReference w:id="46"/>
      </w:r>
      <w:r>
        <w:rPr>
          <w:noProof/>
        </w:rPr>
        <w:t xml:space="preserve">.   </w:t>
      </w:r>
    </w:p>
    <w:p>
      <w:pPr>
        <w:pStyle w:val="Default"/>
        <w:ind w:left="426"/>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Системи за пречистване на отработили газове</w:t>
      </w:r>
    </w:p>
    <w:p>
      <w:pPr>
        <w:jc w:val="both"/>
        <w:rPr>
          <w:noProof/>
        </w:rPr>
      </w:pPr>
    </w:p>
    <w:p>
      <w:pPr>
        <w:jc w:val="both"/>
        <w:rPr>
          <w:noProof/>
        </w:rPr>
      </w:pPr>
      <w:r>
        <w:rPr>
          <w:noProof/>
        </w:rPr>
        <w:t>Системите за пречистване на отработили газове (EGCS) или „скрубери“ обслужват продължителното използване на HFO, тъй като отстраняват серните частици от отработилия газ, като го провеждат през цикъл с морска или сладка вода. По отношение на одобрението и използването на системи за пречистване на отработили газове — член 9 от Директива (ЕС) 2016/802 и приложение II към нея препращат към  съответните правила, въведени от ММО, докато за корабите, плаващи под знамето на държава — членка на ЕС, EGCS се одобряват в съответствие с Директива 2014/90/ЕС относно морското оборудване</w:t>
      </w:r>
      <w:r>
        <w:rPr>
          <w:rStyle w:val="FootnoteReference"/>
          <w:noProof/>
        </w:rPr>
        <w:footnoteReference w:id="47"/>
      </w:r>
      <w:r>
        <w:rPr>
          <w:noProof/>
        </w:rPr>
        <w:t>. ЕС, с техническата помощ от ESSF, допринася за воденето на дискусии относно регулаторната рамка, отнасяща се до одобрението и използването на системи за пречистване на отработили газове в ММО</w:t>
      </w:r>
      <w:r>
        <w:rPr>
          <w:rStyle w:val="FootnoteReference"/>
          <w:noProof/>
        </w:rPr>
        <w:footnoteReference w:id="48"/>
      </w:r>
      <w:r>
        <w:rPr>
          <w:noProof/>
        </w:rPr>
        <w:t xml:space="preserve">. </w:t>
      </w:r>
    </w:p>
    <w:p>
      <w:pPr>
        <w:jc w:val="both"/>
        <w:rPr>
          <w:noProof/>
        </w:rPr>
      </w:pPr>
    </w:p>
    <w:p>
      <w:pPr>
        <w:jc w:val="both"/>
        <w:rPr>
          <w:noProof/>
        </w:rPr>
      </w:pPr>
      <w:r>
        <w:rPr>
          <w:noProof/>
        </w:rPr>
        <w:t>С цел да се намалят в най-голяма степен потенциалните отрицателни въздействия върху морската среда, причинени от увеличаване на киселинността (промяна в стойностите на pH) или от изпускане на тежки метали, което възпрепятства държавите членки да постигнат целите, заложени в законодателството на Съюза за качеството на повърхностните води, е необходим ефективен контрол на изхвърлянията през борда (напр. промивна вода, отливни води) от EGCS</w:t>
      </w:r>
      <w:r>
        <w:rPr>
          <w:rStyle w:val="FootnoteReference"/>
          <w:noProof/>
        </w:rPr>
        <w:footnoteReference w:id="49"/>
      </w:r>
      <w:r>
        <w:rPr>
          <w:noProof/>
        </w:rPr>
        <w:t>. За да се намали допълнително отрицателното въздействие на EGCS върху морската среда и да се гарантира привеждането в съответствие с Приложение VI към MARPOL, Комисията неотдавна предложи да включи отпадъците и отливните води от EGCS като видове отпадъци в предложението за „нова“ директива относно пристанищните приемни съоръжения за предаване на отпадъци от кораби</w:t>
      </w:r>
      <w:r>
        <w:rPr>
          <w:rStyle w:val="FootnoteReference"/>
          <w:noProof/>
        </w:rPr>
        <w:footnoteReference w:id="50"/>
      </w:r>
      <w:r>
        <w:rPr>
          <w:noProof/>
        </w:rPr>
        <w:t xml:space="preserve">.    </w:t>
      </w:r>
    </w:p>
    <w:p>
      <w:pPr>
        <w:jc w:val="both"/>
        <w:rPr>
          <w:noProof/>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Втечнен природен газ (LNG)</w:t>
      </w:r>
    </w:p>
    <w:p>
      <w:pPr>
        <w:jc w:val="both"/>
        <w:rPr>
          <w:noProof/>
        </w:rPr>
      </w:pPr>
    </w:p>
    <w:p>
      <w:pPr>
        <w:jc w:val="both"/>
        <w:rPr>
          <w:noProof/>
        </w:rPr>
      </w:pPr>
      <w:r>
        <w:rPr>
          <w:noProof/>
        </w:rPr>
        <w:t>Използването на втечнен природен газ като алтернативно гориво има потенциала не само да намали емисиите на серни оксиди, но и значително да намали емисиите на азотни оксиди и на прахови частици в сравнение с тежкото гориво. Към момента броят на корабите в целия свят (пуснати в експлоатация или поръчани), които използват LNG като алтернативно гориво, е над 200, като тук е включен широк диапазон на размери и видове кораби. Въпреки това възможните емисиите на метан (CH</w:t>
      </w:r>
      <w:r>
        <w:rPr>
          <w:noProof/>
          <w:vertAlign w:val="subscript"/>
        </w:rPr>
        <w:t>4</w:t>
      </w:r>
      <w:r>
        <w:rPr>
          <w:noProof/>
        </w:rPr>
        <w:t>), произтичащи от използването на природен газ в корабните двигатели, трябва да бъде контролирано, за да се гарантират общите ползи за околната среда от използването на LNG като корабно гориво.</w:t>
      </w:r>
    </w:p>
    <w:p>
      <w:pPr>
        <w:jc w:val="both"/>
        <w:rPr>
          <w:noProof/>
        </w:rPr>
      </w:pPr>
    </w:p>
    <w:p>
      <w:pPr>
        <w:jc w:val="both"/>
        <w:rPr>
          <w:noProof/>
        </w:rPr>
      </w:pPr>
      <w:r>
        <w:rPr>
          <w:noProof/>
        </w:rPr>
        <w:t>Подгрупата на ESSF по въпросите на „LNG като корабно гориво“ работи по разработването на единни правила, които да гарантират безопасната и устойчива употреба на LNG не само в ЕС, но и на международно равнище</w:t>
      </w:r>
      <w:r>
        <w:rPr>
          <w:rStyle w:val="FootnoteReference"/>
          <w:noProof/>
        </w:rPr>
        <w:footnoteReference w:id="51"/>
      </w:r>
      <w:r>
        <w:rPr>
          <w:noProof/>
        </w:rPr>
        <w:t>.  През февруари 2018 г. ЕАМБ публикува Ръководство за безопасно бункероване на LNG</w:t>
      </w:r>
      <w:r>
        <w:rPr>
          <w:rStyle w:val="FootnoteReference"/>
          <w:noProof/>
        </w:rPr>
        <w:footnoteReference w:id="52"/>
      </w:r>
      <w:r>
        <w:rPr>
          <w:noProof/>
        </w:rPr>
        <w:t xml:space="preserve"> за пристанищните органи и администрации, което до голяма степен се основава на работата и опита на експертите в рамките на ESSF.  В Директива 2014/94/ЕС за разгръщането на инфраструктура за алтернативни горива</w:t>
      </w:r>
      <w:r>
        <w:rPr>
          <w:rStyle w:val="FootnoteReference"/>
          <w:noProof/>
        </w:rPr>
        <w:footnoteReference w:id="53"/>
      </w:r>
      <w:r>
        <w:rPr>
          <w:noProof/>
        </w:rPr>
        <w:t xml:space="preserve"> (приложение II, точка 3.1) се предвижда допълнителна стандартизация на пунктовете в европейски пристанища за зареждане с LNG за кораби, плаващи по море, и за съдове, плаващи по вътрешни водни пътища, с цел улесняване на експлоатацията им в целия ЕС. Различни държави членки обявиха също така допълнителни мерки за насърчаване на използването на алтернативни горива за морски транспорт в тяхната „национална рамка за политиката“, приета съгласно Директива 2014/94/ЕС</w:t>
      </w:r>
      <w:r>
        <w:rPr>
          <w:rStyle w:val="FootnoteReference"/>
          <w:noProof/>
        </w:rPr>
        <w:footnoteReference w:id="54"/>
      </w:r>
      <w:r>
        <w:rPr>
          <w:noProof/>
        </w:rPr>
        <w:t xml:space="preserve">.  </w:t>
      </w:r>
    </w:p>
    <w:p>
      <w:pPr>
        <w:jc w:val="both"/>
        <w:rPr>
          <w:noProof/>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Електрификация </w:t>
      </w:r>
    </w:p>
    <w:p>
      <w:pPr>
        <w:jc w:val="both"/>
        <w:rPr>
          <w:noProof/>
          <w:u w:val="single"/>
        </w:rPr>
      </w:pPr>
    </w:p>
    <w:p>
      <w:pPr>
        <w:jc w:val="both"/>
        <w:rPr>
          <w:noProof/>
        </w:rPr>
      </w:pPr>
      <w:r>
        <w:rPr>
          <w:noProof/>
        </w:rPr>
        <w:t>Поради близостта си до градските зони корабите, закотвени в пристанища, могат да допринесат значително за замърсяването на въздуха в пристанищните градове и по този начин да възпрепятстват усилията за спазване на нормите на Съюза за качество на въздуха, определени в Директива 2008/50/ЕО относно качеството на атмосферния въздух</w:t>
      </w:r>
      <w:r>
        <w:rPr>
          <w:rStyle w:val="FootnoteReference"/>
          <w:noProof/>
        </w:rPr>
        <w:footnoteReference w:id="55"/>
      </w:r>
      <w:r>
        <w:rPr>
          <w:noProof/>
        </w:rPr>
        <w:t>. За да се намалят допълнително вредните емисии на серни оксиди от кораби, закотвени в пристанищата, директивата насърчава държавите членки да разрешат на закотвените кораби да използват „електроенергия от брега“ или „електрозахранващи системи, намиращи се на брега“ („OPS“). Свързването на корабите към OPS може да допринесе и за намаляването на емисиите на азотни оксиди и ПЧ, и може да бъде популяризирано отвъд съществуващите изисквания в член 4, параграф 5 от Директива 2014/94/ЕС за подобряване на качеството на въздуха в пристанищните градове.</w:t>
      </w:r>
    </w:p>
    <w:p>
      <w:pPr>
        <w:jc w:val="both"/>
        <w:rPr>
          <w:noProof/>
        </w:rPr>
      </w:pPr>
    </w:p>
    <w:p>
      <w:pPr>
        <w:jc w:val="both"/>
        <w:rPr>
          <w:noProof/>
        </w:rPr>
      </w:pPr>
      <w:r>
        <w:rPr>
          <w:noProof/>
        </w:rPr>
        <w:t>В съответствие с член 19 от Директива 2003/96/ЕО относно данъчното облагане на енергийните продукти и електроенергията</w:t>
      </w:r>
      <w:r>
        <w:rPr>
          <w:rStyle w:val="FootnoteReference"/>
          <w:noProof/>
        </w:rPr>
        <w:footnoteReference w:id="56"/>
      </w:r>
      <w:r>
        <w:rPr>
          <w:noProof/>
        </w:rPr>
        <w:t xml:space="preserve"> на държавите членки може да бъде разрешено да прилагат намалени данъчни ставки за електроенергията, предоставена на кораби, закотвени в пристанища, с което корабособствениците могат да бъдат насърчавани да инвестират в необходимото бордово оборудване, за да използват електроенергия от енергийната мрежа на сушата, вместо от морски горива. Редица държави членки вече са се възползвали от това разрешение</w:t>
      </w:r>
      <w:r>
        <w:rPr>
          <w:rStyle w:val="FootnoteReference"/>
          <w:noProof/>
        </w:rPr>
        <w:footnoteReference w:id="57"/>
      </w:r>
      <w:r>
        <w:rPr>
          <w:noProof/>
        </w:rPr>
        <w:t>.</w:t>
      </w:r>
    </w:p>
    <w:p>
      <w:pPr>
        <w:jc w:val="both"/>
        <w:rPr>
          <w:noProof/>
          <w:u w:val="single"/>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Одобрение и изпитвания на новите методи за намаляване на емисиите </w:t>
      </w:r>
    </w:p>
    <w:p>
      <w:pPr>
        <w:jc w:val="both"/>
        <w:rPr>
          <w:noProof/>
        </w:rPr>
      </w:pPr>
    </w:p>
    <w:p>
      <w:pPr>
        <w:jc w:val="both"/>
        <w:rPr>
          <w:noProof/>
        </w:rPr>
      </w:pPr>
      <w:r>
        <w:rPr>
          <w:noProof/>
        </w:rPr>
        <w:t xml:space="preserve">За да се насърчава изпитването и разработването на нови технологии за намаляване на емисиите, с директивата на държавите членки се разрешава да одобряват и да определят периоди на изпитване преди одобрението на новите методи за намаляване на емисиите на кораби, плаващи под тяхно знаме. Съгласно член 10 от Директива (ЕС) 2016/802 държавите членки трябва да уведомят Комисията и всяка държава на съответното пристанище, която и да е тя, за намерението си да въведат такъв период на изпитване шест месеца преди започване на изпитването, и за пълните резултати след неговото приключване. Като се има предвид, че след 18 юни 2014 г. (срокът за транспониране на Директива 2012/33/ЕС) пет държави членки са уведомили за намерението си да издадат разрешения за изпитване на 26 кораба в съответствие с член 10, за съжаление изглежда, че не всички държави са уведомили за планираните изпитвания и за резултатите от тях в рамките на приложимите срокове, определени в директивата. </w:t>
      </w:r>
    </w:p>
    <w:p>
      <w:pPr>
        <w:jc w:val="both"/>
        <w:rPr>
          <w:noProof/>
        </w:rPr>
      </w:pPr>
    </w:p>
    <w:p>
      <w:pPr>
        <w:jc w:val="both"/>
        <w:rPr>
          <w:noProof/>
        </w:rPr>
      </w:pPr>
      <w:r>
        <w:rPr>
          <w:noProof/>
        </w:rPr>
        <w:t>Комисията ще проследява, когато е целесъобразно, спазването от държавите членки на изискванията, свързани с изпитванията, включително за плавателни съдове, които не плават под знамето на ЕС и извършват дейност в техните води, за да се гарантира пълна прозрачност на ползите за околната среда от новите методи за намаляване на емисиите и да се избегне възможността определени кораби да могат да се възползват от незаконно дълги срокове на изпитвания. THETIS-EU също може да бъде адаптирана, за да се гарантира уведомяването относно разрешенията за изпитване от държавите членки.</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Допълнителна подкрепа за намаляване на замърсяването на въздуха от кораби</w:t>
      </w:r>
    </w:p>
    <w:p>
      <w:pPr>
        <w:pStyle w:val="Default"/>
        <w:ind w:left="426"/>
        <w:jc w:val="both"/>
        <w:rPr>
          <w:rFonts w:ascii="Times New Roman" w:eastAsia="Times New Roman" w:hAnsi="Times New Roman" w:cs="Times New Roman"/>
          <w:b/>
          <w:noProof/>
          <w:color w:val="auto"/>
          <w:bdr w:val="none" w:sz="0" w:space="0" w:color="auto"/>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 xml:space="preserve">Подготовка за въвеждането в световен мащаб на горна граница за съдържанието на сяра от 0,50 % </w:t>
      </w:r>
    </w:p>
    <w:p>
      <w:pPr>
        <w:jc w:val="both"/>
        <w:rPr>
          <w:b/>
          <w:noProof/>
        </w:rPr>
      </w:pPr>
    </w:p>
    <w:p>
      <w:pPr>
        <w:jc w:val="both"/>
        <w:rPr>
          <w:noProof/>
        </w:rPr>
      </w:pPr>
      <w:r>
        <w:rPr>
          <w:noProof/>
        </w:rPr>
        <w:t>Като взе предвид заключенията от оценката на наличието на съответстващи на изискванията горива в световен мащаб, през октомври 2016 г. ММО взе знаково решение за запазване на 2020 г. като дата за влизане в сила в световен мащаб на тавана за съдържанието на сяра от 0,50 %</w:t>
      </w:r>
      <w:r>
        <w:rPr>
          <w:rStyle w:val="FootnoteReference"/>
          <w:noProof/>
        </w:rPr>
        <w:footnoteReference w:id="58"/>
      </w:r>
      <w:r>
        <w:rPr>
          <w:noProof/>
        </w:rPr>
        <w:t>. Подкрепата от ЕС и държавите членки бе от съществено значение за осъществяването на това решение, което ще допринесе за намаляване на неблагоприятните въздействия от замърсяването на въздуха от кораби за всички граждани по света.</w:t>
      </w:r>
    </w:p>
    <w:p>
      <w:pPr>
        <w:jc w:val="both"/>
        <w:rPr>
          <w:noProof/>
        </w:rPr>
      </w:pPr>
    </w:p>
    <w:p>
      <w:pPr>
        <w:jc w:val="both"/>
        <w:rPr>
          <w:noProof/>
        </w:rPr>
      </w:pPr>
      <w:r>
        <w:rPr>
          <w:noProof/>
        </w:rPr>
        <w:t xml:space="preserve">В резултат на посочените в настоящия доклад различни механизми на Съюза за подкрепа държавите — членки на ЕС, са добре подготвени ефективно да приложат максималното съдържание на сяра от 0,50 %, считано от 2020 г. На международно равнище обаче е необходима усърдна работа, за да се подготви спазването на изискванията в световен мащаб и въвеждането на горната граница за съдържанието на сяра от 0,50 %, определено в приложение VI към MARPOL. От съществено значение за гарантиране на равнопоставеност на операторите в световен мащаб и за намаляване на замърсяването на въздуха от кораби по целия свят е ефективната подготовка, особено в крайбрежните райони, които се намират в близост до интензивни международни корабоплавателни маршрути. </w:t>
      </w:r>
    </w:p>
    <w:p>
      <w:pPr>
        <w:jc w:val="both"/>
        <w:rPr>
          <w:noProof/>
        </w:rPr>
      </w:pPr>
    </w:p>
    <w:p>
      <w:pPr>
        <w:jc w:val="both"/>
        <w:rPr>
          <w:noProof/>
        </w:rPr>
      </w:pPr>
      <w:r>
        <w:rPr>
          <w:noProof/>
        </w:rPr>
        <w:t>Комисията и държавите — членки на ЕС, с подкрепата на подгрупата към ESSF по въпросите на емисиите във въздуха от кораби, участват активно в обсъжданията в ММО относно подготовката за влизането в сила в световен мащаб на горната граница за съдържанието на сяра, включително чрез споделяне на своя богат опит в прилагането на изискванията за ниско съдържание на сяра в европейските зони за контрол на емисиите на серни оксиди, както от администрацията, така и от съответния оператор</w:t>
      </w:r>
      <w:r>
        <w:rPr>
          <w:rStyle w:val="FootnoteReference"/>
          <w:noProof/>
        </w:rPr>
        <w:footnoteReference w:id="59"/>
      </w:r>
      <w:r>
        <w:rPr>
          <w:noProof/>
        </w:rPr>
        <w:t xml:space="preserve">. </w:t>
      </w:r>
    </w:p>
    <w:p>
      <w:pPr>
        <w:jc w:val="both"/>
        <w:rPr>
          <w:noProof/>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Външно измерение на Директивата за съдържанието на сяра</w:t>
      </w:r>
    </w:p>
    <w:p>
      <w:pPr>
        <w:jc w:val="both"/>
        <w:rPr>
          <w:noProof/>
        </w:rPr>
      </w:pPr>
    </w:p>
    <w:p>
      <w:pPr>
        <w:jc w:val="both"/>
        <w:rPr>
          <w:noProof/>
        </w:rPr>
      </w:pPr>
      <w:r>
        <w:rPr>
          <w:noProof/>
        </w:rPr>
        <w:t>ЕАМБ предоставя дейности по изграждане на капацитет, като например специални обучения относно законодателството на ЕС в областта на околната среда, включително относно емисиите във въздуха от кораби, на морските администрации и инспекторите на страни кандидатки, потенциални кандидатки за членство и държавите, обхванати от Европейския инструмент за съседство, с цел подобряване на прилагането на нормите за съдържанието на сяра и сближаване на законодателството с достиженията на правото на Съюза (в подкрепа на техния текущ/планиран процес на присъединяване</w:t>
      </w:r>
      <w:r>
        <w:rPr>
          <w:rStyle w:val="FootnoteReference"/>
          <w:noProof/>
        </w:rPr>
        <w:footnoteReference w:id="60"/>
      </w:r>
      <w:r>
        <w:rPr>
          <w:noProof/>
          <w:vertAlign w:val="superscript"/>
        </w:rPr>
        <w:t>,</w:t>
      </w:r>
      <w:r>
        <w:rPr>
          <w:rStyle w:val="FootnoteReference"/>
          <w:noProof/>
        </w:rPr>
        <w:footnoteReference w:id="61"/>
      </w:r>
      <w:r>
        <w:rPr>
          <w:noProof/>
        </w:rPr>
        <w:t>).</w:t>
      </w:r>
      <w:r>
        <w:rPr>
          <w:noProof/>
          <w:sz w:val="20"/>
        </w:rPr>
        <w:t xml:space="preserve"> </w:t>
      </w:r>
      <w:r>
        <w:rPr>
          <w:noProof/>
        </w:rPr>
        <w:t>Подкрепата на ЕАМБ включва улесняване на бъдещия достъп до THETIS-EU.</w:t>
      </w:r>
    </w:p>
    <w:p>
      <w:pPr>
        <w:jc w:val="both"/>
        <w:rPr>
          <w:noProof/>
        </w:rPr>
      </w:pPr>
    </w:p>
    <w:p>
      <w:pPr>
        <w:jc w:val="both"/>
        <w:rPr>
          <w:noProof/>
        </w:rPr>
      </w:pPr>
      <w:r>
        <w:rPr>
          <w:noProof/>
        </w:rPr>
        <w:t>На 14 октомври 2016 г. Съветът на министрите на Енергийната общност</w:t>
      </w:r>
      <w:r>
        <w:rPr>
          <w:rStyle w:val="FootnoteReference"/>
          <w:noProof/>
        </w:rPr>
        <w:footnoteReference w:id="62"/>
      </w:r>
      <w:r>
        <w:rPr>
          <w:noProof/>
        </w:rPr>
        <w:t xml:space="preserve"> реши да измени Договора, като включи Директивата за съдържанието на сярата и акта за изпълнение</w:t>
      </w:r>
      <w:r>
        <w:rPr>
          <w:rStyle w:val="FootnoteReference"/>
          <w:noProof/>
        </w:rPr>
        <w:footnoteReference w:id="63"/>
      </w:r>
      <w:r>
        <w:rPr>
          <w:noProof/>
        </w:rPr>
        <w:t xml:space="preserve">. Това регулиране ще спомогне за допълнително намаляване на емисиите на серни оксиди в съседните региони. </w:t>
      </w:r>
    </w:p>
    <w:p>
      <w:pPr>
        <w:jc w:val="both"/>
        <w:rPr>
          <w:noProof/>
        </w:rPr>
      </w:pPr>
    </w:p>
    <w:p>
      <w:pPr>
        <w:jc w:val="both"/>
        <w:rPr>
          <w:noProof/>
        </w:rPr>
      </w:pPr>
      <w:r>
        <w:rPr>
          <w:noProof/>
        </w:rPr>
        <w:t>Като страна по приложение VI към MARPOL, по Конвенцията за защита на морската среда в района на Балтийско море („Хелзинска конвенция“) и като крайбрежна държава на балтийските зони за контрол на емисиите на серни оксиди Руската федерация има важна роля при проверката на спазването на изискванията за ниско съдържание на сяра от кораби, посещаващи руските пристанища в Балтийско море или плаващи под руско знаме. Тези усилия за прилагане са от съществено значение за гарантиране на равни условия, по-специално в балтийските зони за контрол на емисиите на серни оксиди, а достъпът до THETIS-EU може да ги подпомогне.      </w:t>
      </w:r>
    </w:p>
    <w:p>
      <w:pPr>
        <w:jc w:val="both"/>
        <w:rPr>
          <w:rFonts w:ascii="Roboto" w:hAnsi="Roboto"/>
          <w:noProof/>
          <w:color w:val="FFFFFF"/>
          <w:sz w:val="21"/>
          <w:szCs w:val="21"/>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Зони за контрол на емисиите на азотни оксиди в Балтийско и Северно море</w:t>
      </w:r>
    </w:p>
    <w:p>
      <w:pPr>
        <w:pStyle w:val="Default"/>
        <w:ind w:left="426"/>
        <w:jc w:val="both"/>
        <w:rPr>
          <w:noProof/>
        </w:rPr>
      </w:pPr>
    </w:p>
    <w:p>
      <w:pPr>
        <w:jc w:val="both"/>
        <w:rPr>
          <w:iCs/>
          <w:noProof/>
        </w:rPr>
      </w:pPr>
      <w:r>
        <w:rPr>
          <w:noProof/>
        </w:rPr>
        <w:t>В допълнение към Пакета от мерки за чист въздух на Комисията от 2013 г. и в съответствие с член 14, параграф 2 от Директива (ЕС) 2016/802 Комисията продължава да оценява постигнатия напредък в намаляването на емисиите от кораби, включително емисии, различни от тези на серни оксиди, и потенциала за допълнително намаляване на замърсяването на въздуха от сектора. В този контекст следва да се отбележи, че емисиите на азотни оксиди от корабите допринасят за проблемите с качеството на въздуха на местно равнище в ЕС (причинени от увеличените концентрации на азотен диоксид (NO</w:t>
      </w:r>
      <w:r>
        <w:rPr>
          <w:noProof/>
          <w:vertAlign w:val="subscript"/>
        </w:rPr>
        <w:t>2</w:t>
      </w:r>
      <w:r>
        <w:rPr>
          <w:noProof/>
        </w:rPr>
        <w:t xml:space="preserve">) в атмосферния въздух) и за еутрофикацията на европейските морета. </w:t>
      </w:r>
    </w:p>
    <w:p>
      <w:pPr>
        <w:jc w:val="both"/>
        <w:rPr>
          <w:iCs/>
          <w:noProof/>
        </w:rPr>
      </w:pPr>
    </w:p>
    <w:p>
      <w:pPr>
        <w:jc w:val="both"/>
        <w:rPr>
          <w:iCs/>
          <w:noProof/>
        </w:rPr>
      </w:pPr>
      <w:r>
        <w:rPr>
          <w:noProof/>
        </w:rPr>
        <w:t>В отговор на съвместното искане на крайбрежните държави, граничещи с Балтийско и Северно море, през юли 2017 г. ММО определи двете морета за „зони за контрол на емисиите на азотни оксиди“ (NOx-ECAs).</w:t>
      </w:r>
      <w:r>
        <w:rPr>
          <w:noProof/>
        </w:rPr>
        <w:footnoteReference w:id="64"/>
      </w:r>
      <w:r>
        <w:rPr>
          <w:noProof/>
        </w:rPr>
        <w:t>. Това предполага, че двигателят, монтиран на кораб, който е построен след 1 януари 2021 г. и който извършва дейност в Балтийско или в Северно море, ще трябва да отговаря на изискванията за двигатели на етап III, определени в приложение VI към MARPOL. Без тези мерки за контрол емисиите на азотни оксиди от корабоплаването в Северно море биха допринесли със 7—24 % за средните годишни концентрации на NO</w:t>
      </w:r>
      <w:r>
        <w:rPr>
          <w:noProof/>
          <w:vertAlign w:val="subscript"/>
        </w:rPr>
        <w:t>2</w:t>
      </w:r>
      <w:r>
        <w:rPr>
          <w:noProof/>
        </w:rPr>
        <w:t xml:space="preserve"> в атмосферния въздух в крайбрежните държави на Северно море до 2030 г., докато прилагането на изискванията за двигатели от етап III може да намали еутрофикацията в няколко района в Балтийско море с до 20—30 %</w:t>
      </w:r>
      <w:r>
        <w:rPr>
          <w:noProof/>
        </w:rPr>
        <w:footnoteReference w:id="65"/>
      </w:r>
      <w:r>
        <w:rPr>
          <w:noProof/>
        </w:rPr>
        <w:t xml:space="preserve">. </w:t>
      </w:r>
    </w:p>
    <w:p>
      <w:pPr>
        <w:jc w:val="both"/>
        <w:rPr>
          <w:noProof/>
          <w:color w:val="000000" w:themeColor="text1"/>
        </w:rPr>
      </w:pPr>
    </w:p>
    <w:p>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hAnsi="Times New Roman"/>
          <w:b/>
          <w:noProof/>
          <w:color w:val="auto"/>
          <w:bdr w:val="none" w:sz="0" w:space="0" w:color="auto"/>
        </w:rPr>
        <w:t>Допълнителни действия за намаляване на замърсяването на въздуха от кораби</w:t>
      </w:r>
    </w:p>
    <w:p>
      <w:pPr>
        <w:jc w:val="both"/>
        <w:rPr>
          <w:noProof/>
          <w:color w:val="000000" w:themeColor="text1"/>
        </w:rPr>
      </w:pPr>
    </w:p>
    <w:p>
      <w:pPr>
        <w:jc w:val="both"/>
        <w:rPr>
          <w:noProof/>
          <w:color w:val="000000" w:themeColor="text1"/>
        </w:rPr>
      </w:pPr>
      <w:r>
        <w:rPr>
          <w:noProof/>
          <w:color w:val="000000" w:themeColor="text1"/>
        </w:rPr>
        <w:t>Нормите за качеството на въздуха на Съюза продължават да бъдат превишавани в много крайбрежни градове и райони в целия ЕС, което изисква действия и мерки за намаляването на емисиите от атмосферните замърсители от всички източници, които допринасят за това, включително корабоплаването. Макар че считано от 2020 г. всички европейски граждани ще се възползват от намаляването на емисиите на серни оксиди</w:t>
      </w:r>
      <w:r>
        <w:rPr>
          <w:noProof/>
          <w:color w:val="000000" w:themeColor="text1"/>
          <w:vertAlign w:val="subscript"/>
        </w:rPr>
        <w:t xml:space="preserve"> </w:t>
      </w:r>
      <w:r>
        <w:rPr>
          <w:noProof/>
          <w:color w:val="000000" w:themeColor="text1"/>
        </w:rPr>
        <w:t>от корабоплаването вследствие на влизането в сила на нормата за съдържание на сяра от 0,50 %, незабавно намаляване на емисиите на азотни оксиди от корабоплаване извън зоните за контрол на емисиите на азотни оксиди в Балтийско и Северно море не се предвижда въпреки често наблюдаваните превишения на нормите за качеството на въздуха в ЕС по отношение на NO</w:t>
      </w:r>
      <w:r>
        <w:rPr>
          <w:noProof/>
          <w:color w:val="000000" w:themeColor="text1"/>
          <w:vertAlign w:val="subscript"/>
        </w:rPr>
        <w:t>2</w:t>
      </w:r>
      <w:r>
        <w:rPr>
          <w:noProof/>
          <w:color w:val="000000" w:themeColor="text1"/>
        </w:rPr>
        <w:t xml:space="preserve"> в крайбрежните райони в Южна Европа</w:t>
      </w:r>
      <w:r>
        <w:rPr>
          <w:rStyle w:val="FootnoteReference"/>
          <w:noProof/>
          <w:color w:val="000000" w:themeColor="text1"/>
        </w:rPr>
        <w:footnoteReference w:id="66"/>
      </w:r>
      <w:r>
        <w:rPr>
          <w:noProof/>
          <w:color w:val="000000" w:themeColor="text1"/>
        </w:rPr>
        <w:t xml:space="preserve">. </w:t>
      </w:r>
    </w:p>
    <w:p>
      <w:pPr>
        <w:jc w:val="both"/>
        <w:rPr>
          <w:noProof/>
          <w:color w:val="000000" w:themeColor="text1"/>
        </w:rPr>
      </w:pPr>
    </w:p>
    <w:p>
      <w:pPr>
        <w:jc w:val="both"/>
        <w:rPr>
          <w:noProof/>
          <w:color w:val="000000" w:themeColor="text1"/>
        </w:rPr>
      </w:pPr>
      <w:r>
        <w:rPr>
          <w:noProof/>
          <w:color w:val="000000" w:themeColor="text1"/>
        </w:rPr>
        <w:t xml:space="preserve">През 2017 г. Комисията стартира проучване за идентифициране на ползите за здравето и разходите, свързани с определянето на допълнителни зони за контрол на емисии (както за емисиите на серни оксиди, така и за емисиите на азотни оксиди ) в европейските морета, различни от Балтийско и Северно море. В рамките на проучването ще се изготви оценка и на ползите от намаляването на съдържанието на сяра в корабните горива от 0,50 % на 0,10 % в европейските морета извън зоните за контрол на емисиите на серни оксиди, считано от 2020 г. Комисията също така възложи на ЕАМБ да разработи инвентаризация на общите емисии на кораби (серни оксиди, азотни оксиди и ПЧ) във всички европейски води въз основа на данните за дейността на корабите. </w:t>
      </w:r>
    </w:p>
    <w:p>
      <w:pPr>
        <w:jc w:val="both"/>
        <w:rPr>
          <w:noProof/>
          <w:color w:val="000000" w:themeColor="text1"/>
        </w:rPr>
      </w:pPr>
    </w:p>
    <w:p>
      <w:pPr>
        <w:jc w:val="both"/>
        <w:rPr>
          <w:noProof/>
        </w:rPr>
      </w:pPr>
      <w:r>
        <w:rPr>
          <w:noProof/>
          <w:color w:val="000000" w:themeColor="text1"/>
        </w:rPr>
        <w:t xml:space="preserve">Работата и по двете задачи трябва да бъде завършена през 2018 г. Това ще позволи на Комисията и на държавите членки да изготвят по-добра оценка на въздействието на емисиите от корабите върху качеството на въздуха в крайбрежните райони, което ще спомогне за определянето на подходящи политики и мерки, които могат допълнително да намалят дела на корабите в замърсяването на въздуха в Съюза. </w:t>
      </w:r>
      <w:r>
        <w:rPr>
          <w:noProof/>
        </w:rPr>
        <w:t>Това може също така да предостави информация за обсъжданията в рамките на „Конвенцията от Барселона“, по която Съюзът е договаряща страна, относно осъществимостта на бъдещо определяне на Средиземно море, или на части от него, като зона за контрол на емисиите на серни оксиди.</w:t>
      </w:r>
    </w:p>
    <w:p>
      <w:pPr>
        <w:pStyle w:val="Heading1"/>
        <w:numPr>
          <w:ilvl w:val="0"/>
          <w:numId w:val="47"/>
        </w:numPr>
        <w:ind w:left="426" w:hanging="426"/>
        <w:jc w:val="both"/>
        <w:rPr>
          <w:rFonts w:ascii="Times New Roman" w:hAnsi="Times New Roman" w:cs="Times New Roman"/>
          <w:noProof/>
          <w:color w:val="auto"/>
        </w:rPr>
      </w:pPr>
      <w:r>
        <w:rPr>
          <w:rFonts w:ascii="Times New Roman" w:hAnsi="Times New Roman"/>
          <w:noProof/>
          <w:color w:val="auto"/>
        </w:rPr>
        <w:t>Заключения относно прилагането и осигуряването на съответствие и бъдещи действия</w:t>
      </w:r>
    </w:p>
    <w:p>
      <w:pPr>
        <w:jc w:val="both"/>
        <w:rPr>
          <w:noProof/>
          <w:color w:val="000000" w:themeColor="text1"/>
          <w:u w:val="single"/>
        </w:rPr>
      </w:pPr>
    </w:p>
    <w:p>
      <w:pPr>
        <w:jc w:val="both"/>
        <w:rPr>
          <w:noProof/>
        </w:rPr>
      </w:pPr>
      <w:r>
        <w:rPr>
          <w:noProof/>
        </w:rPr>
        <w:t>Благодарение на цялостната подготовка и доброто сътрудничество със и между държавите членки и промишлеността, описани в настоящия доклад, се наблюдава стабилен напредък в прилагането на Директива 1999/32/ЕО след нейното последно изменение през 2012 г. (понастоящем кодифицирана като Директива (ЕС) 2016/802). В резултат на добрата степен на съответствие и засиленото налагане на нормите за съдържание на сяра концентрациите на SO</w:t>
      </w:r>
      <w:r>
        <w:rPr>
          <w:noProof/>
          <w:vertAlign w:val="subscript"/>
        </w:rPr>
        <w:t>2</w:t>
      </w:r>
      <w:r>
        <w:rPr>
          <w:noProof/>
        </w:rPr>
        <w:t xml:space="preserve"> в крайбрежните райони, по-специално в зоните за контрол на емисиите на серни оксиди, са намалели значително, докато общите икономически въздействия върху сектора продължават да са минимални. </w:t>
      </w:r>
    </w:p>
    <w:p>
      <w:pPr>
        <w:jc w:val="both"/>
        <w:rPr>
          <w:noProof/>
        </w:rPr>
      </w:pPr>
    </w:p>
    <w:p>
      <w:pPr>
        <w:jc w:val="both"/>
        <w:rPr>
          <w:noProof/>
        </w:rPr>
      </w:pPr>
      <w:r>
        <w:rPr>
          <w:noProof/>
        </w:rPr>
        <w:t xml:space="preserve">От натрупания от промишлеността и държавите членки опит в подготовката за въвеждането на изискванията за съдържанието на сяра в корабните горива от 0,10 % в европейските зони на контрол на емисиите на серни оксиди на 1 януари 2015 г. и от проверките за съответствие е извлечен ценен опит, който може да бъде повторен в други европейски региони и в международен мащаб с оглед на влизането в сила през 2020 г. в световен мащаб на горна граница за съдържанието на сяра от 0,50 %.  </w:t>
      </w:r>
    </w:p>
    <w:p>
      <w:pPr>
        <w:jc w:val="both"/>
        <w:rPr>
          <w:noProof/>
        </w:rPr>
      </w:pPr>
    </w:p>
    <w:p>
      <w:pPr>
        <w:jc w:val="both"/>
        <w:rPr>
          <w:noProof/>
        </w:rPr>
      </w:pPr>
      <w:r>
        <w:rPr>
          <w:noProof/>
        </w:rPr>
        <w:t xml:space="preserve">В съответствие с член 14, параграф 1 от Директива (ЕС) 2016/802 въз основа на получените доклади за изпълнение за периода 2015—2017 г. и на други съответни развития, както е посочено в настоящия доклад, Комисията оцени необходимостта от засилване на относимите разпоредби на директивата или евентуални подходящи законодателни предложения във връзка с това. Комисията стигна до заключението, че за да се гарантира допълнително, че налагането и степента на спазване на ограничението от 0,50 %, определено в член 6, параграф 1 от Директива (ЕС) 2016/802, ще са сходни със сегашните в зоните за контрол на емисиите на серни оксиди, тя ще оцени необходимостта от преразглеждане </w:t>
      </w:r>
      <w:r>
        <w:rPr>
          <w:noProof/>
          <w:color w:val="000000" w:themeColor="text1"/>
          <w:bdr w:val="none" w:sz="0" w:space="0" w:color="auto"/>
          <w:shd w:val="clear" w:color="auto" w:fill="FFFFFF"/>
        </w:rPr>
        <w:t>на честотата на инспектирането и на вземането на проби</w:t>
      </w:r>
      <w:r>
        <w:rPr>
          <w:noProof/>
        </w:rPr>
        <w:t xml:space="preserve">, като по този начин ще се подобри THETIS-EU, за да се гарантира уведомяването относно изпитванията и използването на съвременна технология за проверка на съответствието (например чрез „уловители на газове“ и дронове) и за увеличаване на контрола върху доставчиците на корабни горива, което ще улесни по-съвременното  основано на риска насочване на усилията към възможни несъответстващи на изискванията кораби. За да бъдат съгласувани тези евентуални промени, Комисията ще обмисли възможността, </w:t>
      </w:r>
      <w:r>
        <w:rPr>
          <w:i/>
          <w:noProof/>
        </w:rPr>
        <w:t>inter alia</w:t>
      </w:r>
      <w:r>
        <w:rPr>
          <w:noProof/>
        </w:rPr>
        <w:t xml:space="preserve">, за изменение на своето решение за изпълнение и ще направи задължително използването на THETIS-EU. Комисията ще разгледа също така санкциите, които държавите членки са наложили на несъответстващите на изискванията оператори, и ще изготви оценка за това дали мерките имат действително възпиращ ефект. Освен това заедно с държавите членки и с подкрепата на ЕАМБ, Комисията ще продължи да подкрепя активно съседните на ЕС държави във връзка с намаляването на емисиите на серни оксиди от корабите и подготовката от ММО за влизане в сила в световен мащаб на горната граница за съдържанието на сяра.  </w:t>
      </w:r>
    </w:p>
    <w:p>
      <w:pPr>
        <w:jc w:val="both"/>
        <w:rPr>
          <w:noProof/>
        </w:rPr>
      </w:pPr>
    </w:p>
    <w:p>
      <w:pPr>
        <w:jc w:val="both"/>
        <w:rPr>
          <w:noProof/>
        </w:rPr>
      </w:pPr>
      <w:r>
        <w:rPr>
          <w:noProof/>
        </w:rPr>
        <w:t xml:space="preserve">В допълнение към член 14, параграф 2 от Директива (ЕС) 2016/802, Комисията също така ще продължи да разглежда потенциала, включително разходите и ползите, за намаляване на замърсяването на въздуха от кораби, което обхваща също и емисии, различни от тези на серни оксиди.   </w:t>
      </w:r>
    </w:p>
    <w:p>
      <w:pPr>
        <w:jc w:val="both"/>
        <w:rPr>
          <w:noProof/>
        </w:rPr>
      </w:pPr>
    </w:p>
    <w:p>
      <w:pPr>
        <w:jc w:val="both"/>
        <w:rPr>
          <w:noProof/>
        </w:rPr>
      </w:pPr>
      <w:r>
        <w:rPr>
          <w:noProof/>
        </w:rPr>
        <w:t xml:space="preserve">Предвидените действия ще направят възможно всички граждани на ЕС да се възползват от намаленото замърсяване на въздуха, причинено от кораби, ще подобрят допълнително разходната ефективност за прилагане на нормите за съдържанието на сяра, включени в директивата, ще улеснят международния диалог и ще гарантират напредък към устойчив и конкурентоспособен корабоплавателен сектор на ЕС в тясно сътрудничество с държавите членки и заинтересованите страни в областта на мореплаването. </w:t>
      </w:r>
    </w:p>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5621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ОВ L 121, 11.5.1999 г., стр. 13.</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327, 27.11.2012 г., стр. 1.</w:t>
      </w:r>
    </w:p>
  </w:footnote>
  <w:footnote w:id="4">
    <w:p>
      <w:pPr>
        <w:pStyle w:val="FootnoteText"/>
        <w:jc w:val="both"/>
      </w:pPr>
      <w:r>
        <w:rPr>
          <w:rStyle w:val="FootnoteReference"/>
          <w:rFonts w:ascii="Times New Roman" w:hAnsi="Times New Roman"/>
        </w:rPr>
        <w:footnoteRef/>
      </w:r>
      <w:r>
        <w:rPr>
          <w:rFonts w:ascii="Times New Roman" w:hAnsi="Times New Roman"/>
        </w:rPr>
        <w:t xml:space="preserve"> OВ L132, 21.5.2016 г., стp. 58.</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VITO, март 2013 г., „Specific evaluation of emissions from shipping including assessment for the establishment of possible new emission control areas in European Seas“ („Специална оценка на емисиите от корабоплаване, включително оценка на установяването на възможни нови зони за контрол на емисиите в европейските морета“)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1">
        <w:r>
          <w:rPr>
            <w:rStyle w:val="Hyperlink"/>
            <w:rFonts w:ascii="Times New Roman" w:hAnsi="Times New Roman"/>
          </w:rPr>
          <w:t>http://ec.europa.eu/environment/air/clean_air/index.htm</w:t>
        </w:r>
      </w:hyperlink>
    </w:p>
  </w:footnote>
  <w:footnote w:id="7">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COM(2013) 920 final. </w:t>
      </w:r>
    </w:p>
  </w:footnote>
  <w:footnote w:id="8">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OВ L 344, 17.12.2016 г., стр. 1.</w:t>
      </w:r>
    </w:p>
  </w:footnote>
  <w:footnote w:id="9">
    <w:p>
      <w:pPr>
        <w:jc w:val="both"/>
        <w:rPr>
          <w:sz w:val="20"/>
          <w:szCs w:val="20"/>
          <w:lang w:val="pt-PT"/>
        </w:rPr>
      </w:pPr>
      <w:r>
        <w:rPr>
          <w:rStyle w:val="FootnoteReference"/>
          <w:sz w:val="20"/>
        </w:rPr>
        <w:footnoteRef/>
      </w:r>
      <w:r>
        <w:rPr>
          <w:sz w:val="20"/>
        </w:rPr>
        <w:t xml:space="preserve"> Министерство на околната среда и водите на Дания, ноември 2016 г. „Sulphur content in the air halved since 2014“ („Наполовина намалено съдържание на сяра във въздуха от 2014 г. нататък“), вж.:  </w:t>
      </w:r>
      <w:hyperlink r:id="rId2">
        <w:r>
          <w:rPr>
            <w:rStyle w:val="Hyperlink"/>
            <w:sz w:val="20"/>
          </w:rPr>
          <w:t>http://en.mfvm.dk/news/news/nyhed/sulphur-content-in-the-air-halved-since-2014/</w:t>
        </w:r>
      </w:hyperlink>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Kattner et al., 2015 г., „Monitoring compliance with sulfur content regulations of shipping by in-situ measurements of ship emissions“ („Мониторинг на спазването на разпоредбите за съдържанието на сяра в корабоплаването чрез измерване на емисиите от кораба на място“) и Seyler et al., 2017 г., „Monitoring shipping emission in the German Bight using MAX-DOAS measurements“ („Мониторинг на емисиите от корабоплаването в Германския залив с използване на измерванията на MAX-DOAS“).</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IVL — Шведски институт за изследвания на околната среда, ноември 2015 г., „</w:t>
      </w:r>
      <w:r>
        <w:rPr>
          <w:rFonts w:ascii="Times New Roman" w:hAnsi="Times New Roman"/>
          <w:color w:val="222222"/>
        </w:rPr>
        <w:t>Reduced sulphur content in air after tightening of ship fuel regulations</w:t>
      </w:r>
      <w:r>
        <w:rPr>
          <w:rFonts w:ascii="Times New Roman" w:hAnsi="Times New Roman"/>
        </w:rPr>
        <w:t>“ („Намалено съдържание на сяра в атмосферния въздух след въвеждането на по-строги разпоредби за корабните горива</w:t>
      </w:r>
      <w:r>
        <w:rPr>
          <w:rFonts w:ascii="Times New Roman" w:hAnsi="Times New Roman"/>
          <w:color w:val="222222"/>
        </w:rPr>
        <w:t xml:space="preserve">“), вж.: </w:t>
      </w:r>
      <w:hyperlink r:id="rId3">
        <w:r>
          <w:rPr>
            <w:rStyle w:val="Hyperlink"/>
            <w:rFonts w:ascii="Times New Roman" w:hAnsi="Times New Roman"/>
          </w:rPr>
          <w:t>http://www.ivl.se/</w:t>
        </w:r>
      </w:hyperlink>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 xml:space="preserve">Агенция за опазване на околната среда на </w:t>
      </w:r>
      <w:r>
        <w:rPr>
          <w:rFonts w:ascii="Times New Roman" w:hAnsi="Times New Roman" w:cs="Times New Roman"/>
          <w:lang w:val="en-GB"/>
        </w:rPr>
        <w:t>Rotterdam</w:t>
      </w:r>
      <w:r>
        <w:rPr>
          <w:rFonts w:ascii="Times New Roman" w:hAnsi="Times New Roman" w:cs="Times New Roman"/>
        </w:rPr>
        <w:t xml:space="preserve">, </w:t>
      </w:r>
      <w:r>
        <w:rPr>
          <w:rFonts w:ascii="Times New Roman" w:hAnsi="Times New Roman" w:cs="Times New Roman"/>
          <w:lang w:val="en-GB"/>
        </w:rPr>
        <w:t>Rijnmond</w:t>
      </w:r>
      <w:r>
        <w:rPr>
          <w:rFonts w:ascii="Times New Roman" w:hAnsi="Times New Roman"/>
        </w:rPr>
        <w:t xml:space="preserve"> (DCMR), юли 2015 г., „Cleaner air from cleaner shipping“ („По-чист въздух от по-чисти кораби “), вж.: </w:t>
      </w:r>
      <w:hyperlink r:id="rId4">
        <w:r>
          <w:rPr>
            <w:rStyle w:val="Hyperlink"/>
            <w:rFonts w:ascii="Times New Roman" w:hAnsi="Times New Roman"/>
          </w:rPr>
          <w:t>http://www.dcmr.nl/nieuws/nieuwsberichten/2015/07/schonere-scheepvaart.html</w:t>
        </w:r>
      </w:hyperlink>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Европейска агенция по морска безопасност, декември 2010 г., „The 0,1% sulphur in fuel requirement as from 1 January 2015 in SECAs — An assessment of available impact studies and alternative means of compliance“ („Изискване за съдържание на сяра в горивата в зоните за контрол на емисиите на серни оксиди от 0,1 %, считано от 1 януари 2015 г. — Оценка на съществуващите проучвания на въздействието и алтернативни начини за постигане на съответствие“). </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 Delft, април 2016 г., „SECA Assessment: Impacts of 2015 SECA marine fuel sulphur limits - First drawings from European experiences“ („Оценка на зоните за контрол на емисиите на серни оксиди (SECA): Въздействия на максималните допустими стойности на съдържанието на сяра в корабните горива в зоните за контрол на емисиите на серни оксиди за 2015 г. — Първи щрихи от европейския опит“ </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Проучване на Асоциацията на корабособствениците от Европейската общност (ECSA), проведено в контекста на подгрупата към ESSF по въпросите на конкурентоспособността (представено на пленарното заседание на ESSF, проведено на 26.1.2016 г.). </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Технически университет на Дания, „</w:t>
      </w:r>
      <w:r>
        <w:rPr>
          <w:rFonts w:ascii="Times New Roman" w:hAnsi="Times New Roman"/>
          <w:color w:val="323232"/>
        </w:rPr>
        <w:t>Mitigating and reversing the side-effects of environmental legislation on Ro-Ro shipping in Northern Europe</w:t>
      </w:r>
      <w:r>
        <w:rPr>
          <w:rFonts w:ascii="Times New Roman" w:hAnsi="Times New Roman"/>
        </w:rPr>
        <w:t>RoRo SECA“ („</w:t>
      </w:r>
      <w:r>
        <w:rPr>
          <w:rFonts w:ascii="Times New Roman" w:hAnsi="Times New Roman"/>
          <w:color w:val="323232"/>
        </w:rPr>
        <w:t>Смекчаване и превръщане от отрицателни в положителни на страничните ефекти от законодателството в областта на околната среда относно ро-ро корабоплаването в ро-ро зоните за контрол на емисиите на серни оксиди в Северна Европа</w:t>
      </w:r>
      <w:r>
        <w:rPr>
          <w:rFonts w:ascii="Times New Roman" w:hAnsi="Times New Roman"/>
        </w:rPr>
        <w:t xml:space="preserve">“), проведено от </w:t>
      </w:r>
      <w:r>
        <w:rPr>
          <w:rFonts w:ascii="Times New Roman" w:hAnsi="Times New Roman"/>
          <w:color w:val="323232"/>
        </w:rPr>
        <w:t>15.6.2015 г. до 14.6.2017 г.</w:t>
      </w:r>
    </w:p>
  </w:footnote>
  <w:footnote w:id="17">
    <w:p>
      <w:pPr>
        <w:jc w:val="both"/>
        <w:rPr>
          <w:rFonts w:eastAsia="Times New Roman"/>
          <w:sz w:val="20"/>
          <w:szCs w:val="20"/>
          <w:bdr w:val="none" w:sz="0" w:space="0" w:color="auto"/>
        </w:rPr>
      </w:pPr>
      <w:r>
        <w:rPr>
          <w:rStyle w:val="FootnoteReference"/>
          <w:sz w:val="20"/>
        </w:rPr>
        <w:footnoteRef/>
      </w:r>
      <w:r>
        <w:rPr>
          <w:sz w:val="20"/>
        </w:rPr>
        <w:t xml:space="preserve"> COM(2013) 475 final.</w:t>
      </w:r>
    </w:p>
  </w:footnote>
  <w:footnote w:id="18">
    <w:p>
      <w:pPr>
        <w:pStyle w:val="FootnoteText"/>
        <w:jc w:val="both"/>
      </w:pPr>
      <w:r>
        <w:rPr>
          <w:rStyle w:val="FootnoteReference"/>
          <w:rFonts w:ascii="Times New Roman" w:hAnsi="Times New Roman"/>
        </w:rPr>
        <w:footnoteRef/>
      </w:r>
      <w:r>
        <w:rPr>
          <w:rFonts w:ascii="Times New Roman" w:hAnsi="Times New Roman"/>
        </w:rPr>
        <w:t xml:space="preserve"> Решение на Комисията от 24 септември 2013 г. относно създаването на експертна група по устойчивост на морския транспорт — Европейски форум за устойчиво корабоплаване (ESSF), C(2013)5984 final</w:t>
      </w:r>
    </w:p>
  </w:footnote>
  <w:footnote w:id="19">
    <w:p>
      <w:pPr>
        <w:pStyle w:val="Default"/>
        <w:jc w:val="both"/>
        <w:rPr>
          <w:rFonts w:ascii="Times New Roman" w:eastAsia="Times New Roman" w:hAnsi="Times New Roman" w:cs="Times New Roman"/>
          <w:color w:val="auto"/>
          <w:sz w:val="20"/>
          <w:szCs w:val="20"/>
          <w:bdr w:val="none" w:sz="0" w:space="0" w:color="auto"/>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bdr w:val="none" w:sz="0" w:space="0" w:color="auto"/>
        </w:rPr>
        <w:t>Емисии от кораби във въздуха; Морски втечнен природен газ; Системи за пречистване на отработили газове; Конкурентоспособност</w:t>
      </w:r>
    </w:p>
  </w:footnote>
  <w:footnote w:id="20">
    <w:p>
      <w:pPr>
        <w:pStyle w:val="FootnoteText"/>
        <w:jc w:val="both"/>
      </w:pPr>
      <w:r>
        <w:rPr>
          <w:rStyle w:val="FootnoteReference"/>
        </w:rPr>
        <w:footnoteRef/>
      </w:r>
      <w:r>
        <w:t xml:space="preserve"> </w:t>
      </w:r>
      <w:r>
        <w:rPr>
          <w:rFonts w:ascii="Times New Roman" w:hAnsi="Times New Roman"/>
        </w:rPr>
        <w:t xml:space="preserve">Вж. Регистъра на Комисията на експертните групи към Комисията, №. </w:t>
      </w:r>
      <w:r>
        <w:rPr>
          <w:rFonts w:ascii="Times New Roman" w:hAnsi="Times New Roman"/>
          <w:color w:val="auto"/>
          <w:bdr w:val="none" w:sz="0" w:space="0" w:color="auto"/>
          <w:shd w:val="clear" w:color="auto" w:fill="FFFFFF"/>
        </w:rPr>
        <w:t xml:space="preserve">E02869, </w:t>
      </w:r>
      <w:hyperlink r:id="rId5">
        <w:r>
          <w:rPr>
            <w:rStyle w:val="Hyperlink"/>
            <w:rFonts w:ascii="Times New Roman" w:hAnsi="Times New Roman"/>
            <w:bdr w:val="none" w:sz="0" w:space="0" w:color="auto"/>
            <w:shd w:val="clear" w:color="auto" w:fill="FFFFFF"/>
          </w:rPr>
          <w:t>http://ec.europa.eu/transparency/regexpert/index.cfm</w:t>
        </w:r>
      </w:hyperlink>
    </w:p>
  </w:footnote>
  <w:footnote w:id="21">
    <w:p>
      <w:pPr>
        <w:pStyle w:val="Default"/>
        <w:jc w:val="both"/>
        <w:rPr>
          <w:rFonts w:ascii="Times New Roman" w:eastAsia="Times New Roman" w:hAnsi="Times New Roman" w:cs="Times New Roman"/>
          <w:color w:val="auto"/>
          <w:sz w:val="20"/>
          <w:szCs w:val="20"/>
          <w:bdr w:val="none" w:sz="0" w:space="0" w:color="auto"/>
        </w:rPr>
      </w:pPr>
      <w:r>
        <w:rPr>
          <w:rStyle w:val="FootnoteReference"/>
          <w:rFonts w:ascii="Times New Roman" w:hAnsi="Times New Roman"/>
          <w:sz w:val="20"/>
        </w:rPr>
        <w:footnoteRef/>
      </w:r>
      <w:r>
        <w:rPr>
          <w:rFonts w:ascii="Times New Roman" w:hAnsi="Times New Roman"/>
          <w:sz w:val="20"/>
        </w:rPr>
        <w:t xml:space="preserve"> Следните подгрупи са приключили своя мандат и впоследствие са закрити: </w:t>
      </w:r>
      <w:r>
        <w:rPr>
          <w:rFonts w:ascii="Times New Roman" w:hAnsi="Times New Roman"/>
          <w:color w:val="auto"/>
          <w:sz w:val="20"/>
          <w:bdr w:val="none" w:sz="0" w:space="0" w:color="auto"/>
        </w:rPr>
        <w:t>Финансиране; Научноизследователска и развойна дейност; Пристанищни приемни съоръжения; Мониторинг, докладване и проверка на емисиите на CO</w:t>
      </w:r>
      <w:r>
        <w:rPr>
          <w:rFonts w:ascii="Times New Roman" w:hAnsi="Times New Roman"/>
          <w:color w:val="auto"/>
          <w:sz w:val="20"/>
          <w:bdr w:val="none" w:sz="0" w:space="0" w:color="auto"/>
          <w:vertAlign w:val="subscript"/>
        </w:rPr>
        <w:t>2</w:t>
      </w:r>
      <w:r>
        <w:rPr>
          <w:rFonts w:ascii="Times New Roman" w:hAnsi="Times New Roman"/>
          <w:color w:val="auto"/>
          <w:sz w:val="20"/>
          <w:bdr w:val="none" w:sz="0" w:space="0" w:color="auto"/>
        </w:rPr>
        <w:t xml:space="preserve"> от корабоплаване.</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списък с резултатите на адрес: </w:t>
      </w:r>
      <w:hyperlink r:id="rId6">
        <w:r>
          <w:rPr>
            <w:rStyle w:val="Hyperlink"/>
            <w:rFonts w:ascii="Times New Roman" w:hAnsi="Times New Roman"/>
          </w:rPr>
          <w:t>http://emsa.europa.eu/main/sustainable-toolbox/relevant-eu-projects.html</w:t>
        </w:r>
      </w:hyperlink>
    </w:p>
  </w:footnote>
  <w:footnote w:id="23">
    <w:p>
      <w:pPr>
        <w:jc w:val="both"/>
        <w:rPr>
          <w:rFonts w:eastAsia="Times New Roman"/>
          <w:sz w:val="20"/>
          <w:szCs w:val="20"/>
          <w:bdr w:val="none" w:sz="0" w:space="0" w:color="auto"/>
        </w:rPr>
      </w:pPr>
      <w:r>
        <w:rPr>
          <w:rStyle w:val="FootnoteReference"/>
          <w:sz w:val="20"/>
        </w:rPr>
        <w:footnoteRef/>
      </w:r>
      <w:r>
        <w:rPr>
          <w:sz w:val="20"/>
        </w:rPr>
        <w:t xml:space="preserve"> Решение на Комисията от 7.1.2016 г. — C(2015) 9741.</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Рамкова програма на ЕС за научни изследвания и иновации (2014—2020 г.), вж. също:</w:t>
      </w:r>
    </w:p>
    <w:p>
      <w:pPr>
        <w:pStyle w:val="FootnoteText"/>
        <w:jc w:val="both"/>
      </w:pPr>
      <w:r>
        <w:rPr>
          <w:rFonts w:ascii="Times New Roman" w:hAnsi="Times New Roman"/>
        </w:rPr>
        <w:t>https://ec.europa.eu/programmes/horizon2020/en/area/transport</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също: https://ec.europa.eu/inea/en/connecting-europe-facility/cef-transport/cef-transport-motorways-sea</w:t>
      </w:r>
    </w:p>
  </w:footnote>
  <w:footnote w:id="26">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Вж. също Работен документ на службите на Комисията SWD(2016)326 final от 30 септември 2016 г. относно прилагането на стратегията на ЕС за морски транспорт за периода 2009—2018 г., параграф 52</w:t>
      </w:r>
    </w:p>
  </w:footnote>
  <w:footnote w:id="27">
    <w:p>
      <w:pPr>
        <w:pStyle w:val="FootnoteText"/>
      </w:pPr>
      <w:r>
        <w:rPr>
          <w:rStyle w:val="FootnoteReference"/>
          <w:rFonts w:ascii="Times New Roman" w:hAnsi="Times New Roman"/>
        </w:rPr>
        <w:footnoteRef/>
      </w:r>
      <w:r>
        <w:rPr>
          <w:rFonts w:ascii="Times New Roman" w:hAnsi="Times New Roman"/>
        </w:rPr>
        <w:t xml:space="preserve"> Вж.: </w:t>
      </w:r>
      <w:hyperlink r:id="rId7">
        <w:r>
          <w:rPr>
            <w:rStyle w:val="Hyperlink"/>
            <w:rFonts w:ascii="Times New Roman" w:hAnsi="Times New Roman"/>
          </w:rPr>
          <w:t>https://ec.europa.eu/commission/news/juncker-plan-france-signature-first-green-financing-maritime-sector-2017-dec-12_en</w:t>
        </w:r>
      </w:hyperlink>
      <w:r>
        <w:t xml:space="preserve"> </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Въз основа на „споразуменията за сътрудничество“ между ГД „Околна среда“ и ЕАМБ, вж.: </w:t>
      </w:r>
      <w:hyperlink r:id="rId8">
        <w:r>
          <w:rPr>
            <w:rStyle w:val="Hyperlink"/>
            <w:rFonts w:ascii="Times New Roman" w:hAnsi="Times New Roman"/>
          </w:rPr>
          <w:t>http://www.emsa.europa.eu/partnerships/operational-agreements.html</w:t>
        </w:r>
      </w:hyperlink>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пълния план за обучение на ЕАМБ относно законодателството на Съюза за държавите членки: </w:t>
      </w:r>
      <w:hyperlink r:id="rId9">
        <w:r>
          <w:rPr>
            <w:rStyle w:val="Hyperlink"/>
            <w:rFonts w:ascii="Times New Roman" w:hAnsi="Times New Roman"/>
          </w:rPr>
          <w:t>http://emsa.europa.eu/implementation-tasks/training-a-cooperation/trainings-for-member-states.html</w:t>
        </w:r>
      </w:hyperlink>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член 3 от Регламент (ЕО) № 1406/2002 се предвижда ЕАМБ да осъществява посещения в държавите членки, с цел да подпомага Комисията при мониторинга и проверката на правилното изпълнение и прилагане на законодателството на Съюза. Вж.: </w:t>
      </w:r>
      <w:hyperlink r:id="rId10">
        <w:r>
          <w:rPr>
            <w:rFonts w:ascii="Times New Roman" w:hAnsi="Times New Roman"/>
            <w:u w:val="single"/>
          </w:rPr>
          <w:t>http://www.emsa.europa.eu/visits-to-member-states/reduction-sulphur-content-of-certain-liquid-fuels.html</w:t>
        </w:r>
      </w:hyperlink>
    </w:p>
  </w:footnote>
  <w:footnote w:id="31">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Справка за комитета за прилагане на Директивата за съдържанието на сяра в корабните горива можете да направите в регистъра по комитология на Комисията</w:t>
      </w:r>
      <w:hyperlink r:id="rId11">
        <w:r>
          <w:rPr>
            <w:rFonts w:ascii="Times New Roman" w:hAnsi="Times New Roman"/>
            <w:u w:val="single"/>
          </w:rPr>
          <w:t>http://ec.europa.eu/transparency/regcomitology/index.cfm</w:t>
        </w:r>
      </w:hyperlink>
    </w:p>
  </w:footnote>
  <w:footnote w:id="32">
    <w:p>
      <w:pPr>
        <w:pStyle w:val="FootnoteText"/>
        <w:jc w:val="both"/>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Решение за изпълнение (ЕС) 2015/253 на Комисията от 16 февруари 2015 г. за определяне на правилата относно вземането на проби и докладването съгласно Директива 1999/32/ЕО на Съвета по отношение на съдържанието на сяра в корабните горива, ОВ L 41, 17.2.2015 г., стр. 55.</w:t>
      </w:r>
    </w:p>
  </w:footnote>
  <w:footnote w:id="33">
    <w:p>
      <w:pPr>
        <w:pStyle w:val="FootnoteText"/>
        <w:rPr>
          <w:rFonts w:ascii="Times New Roman" w:hAnsi="Times New Roman" w:cs="Times New Roman"/>
          <w:highlight w:val="yellow"/>
        </w:rPr>
      </w:pPr>
      <w:r>
        <w:rPr>
          <w:rStyle w:val="FootnoteReference"/>
          <w:rFonts w:ascii="Times New Roman" w:hAnsi="Times New Roman"/>
        </w:rPr>
        <w:footnoteRef/>
      </w:r>
      <w:r>
        <w:rPr>
          <w:rFonts w:ascii="Times New Roman" w:hAnsi="Times New Roman"/>
        </w:rPr>
        <w:t xml:space="preserve"> „Ръководство на ЕАМБ за инспекция на съдържанието на сяра съгласно Директива 1999/32/ЕО на Съвета“ от юли 2015 г.</w:t>
      </w:r>
      <w:r>
        <w:rPr>
          <w:rFonts w:ascii="Times New Roman" w:hAnsi="Times New Roman"/>
          <w:highlight w:val="yellow"/>
        </w:rPr>
        <w:t xml:space="preserve"> </w:t>
      </w:r>
    </w:p>
  </w:footnote>
  <w:footnote w:id="34">
    <w:p>
      <w:pPr>
        <w:pStyle w:val="FootnoteText"/>
      </w:pPr>
      <w:r>
        <w:rPr>
          <w:rStyle w:val="FootnoteReference"/>
          <w:rFonts w:ascii="Times New Roman" w:hAnsi="Times New Roman"/>
        </w:rPr>
        <w:footnoteRef/>
      </w:r>
      <w:r>
        <w:rPr>
          <w:rFonts w:ascii="Times New Roman" w:hAnsi="Times New Roman"/>
        </w:rPr>
        <w:t xml:space="preserve"> MEPC.1/Circ.864 от 9 декември 2016 г.</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проекта COMPMON: </w:t>
      </w:r>
      <w:hyperlink r:id="rId12">
        <w:r>
          <w:rPr>
            <w:rStyle w:val="Hyperlink"/>
            <w:rFonts w:ascii="Times New Roman" w:hAnsi="Times New Roman"/>
          </w:rPr>
          <w:t>https://compmon.eu/</w:t>
        </w:r>
      </w:hyperlink>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13">
        <w:r>
          <w:rPr>
            <w:rStyle w:val="Hyperlink"/>
            <w:rFonts w:ascii="Times New Roman" w:hAnsi="Times New Roman"/>
          </w:rPr>
          <w:t>http://www.emsa.europa.eu/operational-scenarios.html</w:t>
        </w:r>
      </w:hyperlink>
    </w:p>
  </w:footnote>
  <w:footnote w:id="37">
    <w:p>
      <w:pPr>
        <w:pStyle w:val="FootnoteText"/>
        <w:rPr>
          <w:rFonts w:ascii="Times New Roman" w:hAnsi="Times New Roman" w:cs="Times New Roman"/>
          <w:color w:val="auto"/>
        </w:rPr>
      </w:pPr>
      <w:r>
        <w:rPr>
          <w:rStyle w:val="FootnoteReference"/>
          <w:rFonts w:ascii="Times New Roman" w:hAnsi="Times New Roman"/>
          <w:color w:val="auto"/>
        </w:rPr>
        <w:footnoteRef/>
      </w:r>
      <w:r>
        <w:rPr>
          <w:rFonts w:ascii="Times New Roman" w:hAnsi="Times New Roman"/>
          <w:color w:val="auto"/>
        </w:rPr>
        <w:t xml:space="preserve"> ММО PPR 5/13/5 относно предложение за последователното прилагане на правило 14.3.1 от приложение VI към MARPOL</w:t>
      </w:r>
    </w:p>
    <w:p>
      <w:pPr>
        <w:pStyle w:val="FootnoteText"/>
        <w:rPr>
          <w:rFonts w:ascii="Times New Roman" w:hAnsi="Times New Roman" w:cs="Times New Roman"/>
          <w:color w:val="auto"/>
        </w:rPr>
      </w:pP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обявление за поръчка 2016/S 130 – 232460 от 8.7.2016 г.</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Понастоящем корабните горива не попадат в обхвата на Директивата за качеството на горивата (Директива 98/70/ЕО). Обаче предвид максималното съдържание на сяра от 0,50% през 2020 г. се разработват нови видове горива (включително смеси от нефтопродукти) и би било полезно да се осъществява по-добър контрол и на други параметри за качеството на горивата освен съдържанието на сяра в тези нови горива. </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също съображение 18 от Директива 2012/33/ЕС.</w:t>
      </w:r>
    </w:p>
  </w:footnote>
  <w:footnote w:id="41">
    <w:p>
      <w:pPr>
        <w:pStyle w:val="FootnoteText"/>
        <w:jc w:val="both"/>
      </w:pPr>
      <w:r>
        <w:rPr>
          <w:rStyle w:val="FootnoteReference"/>
          <w:rFonts w:ascii="Times New Roman" w:hAnsi="Times New Roman"/>
        </w:rPr>
        <w:footnoteRef/>
      </w:r>
      <w:r>
        <w:rPr>
          <w:rFonts w:ascii="Times New Roman" w:hAnsi="Times New Roman"/>
        </w:rPr>
        <w:t xml:space="preserve"> Вж.: </w:t>
      </w:r>
      <w:hyperlink r:id="rId14">
        <w:r>
          <w:rPr>
            <w:rStyle w:val="Hyperlink"/>
            <w:rFonts w:ascii="Times New Roman" w:hAnsi="Times New Roman"/>
          </w:rPr>
          <w:t>https://portal.emsa.europa.eu/web/thetis-eu/home</w:t>
        </w:r>
      </w:hyperlink>
    </w:p>
  </w:footnote>
  <w:footnote w:id="42">
    <w:p>
      <w:pPr>
        <w:pStyle w:val="FootnoteText"/>
        <w:jc w:val="both"/>
      </w:pPr>
      <w:r>
        <w:rPr>
          <w:rStyle w:val="FootnoteReference"/>
          <w:rFonts w:ascii="Times New Roman" w:hAnsi="Times New Roman"/>
        </w:rPr>
        <w:footnoteRef/>
      </w:r>
      <w:r>
        <w:rPr>
          <w:rFonts w:ascii="Times New Roman" w:hAnsi="Times New Roman"/>
        </w:rPr>
        <w:t xml:space="preserve"> Състояние към 30 декември 2017 г.</w:t>
      </w:r>
    </w:p>
  </w:footnote>
  <w:footnote w:id="43">
    <w:p>
      <w:pPr>
        <w:jc w:val="both"/>
      </w:pPr>
      <w:r>
        <w:rPr>
          <w:rStyle w:val="FootnoteReference"/>
          <w:sz w:val="20"/>
        </w:rPr>
        <w:footnoteRef/>
      </w:r>
      <w:r>
        <w:rPr>
          <w:sz w:val="20"/>
        </w:rPr>
        <w:t xml:space="preserve"> Установени от проверките на документацията за установяване на неточни/непълни</w:t>
      </w:r>
      <w:r>
        <w:rPr>
          <w:color w:val="000000"/>
          <w:sz w:val="20"/>
          <w:bdr w:val="none" w:sz="0" w:space="0" w:color="auto"/>
          <w:shd w:val="clear" w:color="auto" w:fill="FFFFFF"/>
        </w:rPr>
        <w:t xml:space="preserve"> „Корабни дневници“, процедурите за „Преминаване към използване на друг вид гориво“, разписките за доставено гориво и протоколите за функциониране на методите за намаляване на емисиите или от анализ на проби от гориво, показващи превишаване на максимално допустимото съдържание на сяра.  </w:t>
      </w:r>
    </w:p>
  </w:footnote>
  <w:footnote w:id="44">
    <w:p>
      <w:pPr>
        <w:pStyle w:val="FootnoteText"/>
        <w:jc w:val="both"/>
        <w:rPr>
          <w:rFonts w:ascii="Times New Roman" w:hAnsi="Times New Roman" w:cs="Times New Roman"/>
          <w:b/>
          <w:bCs/>
        </w:rPr>
      </w:pPr>
      <w:r>
        <w:rPr>
          <w:rStyle w:val="FootnoteReference"/>
          <w:rFonts w:ascii="Times New Roman" w:hAnsi="Times New Roman"/>
        </w:rPr>
        <w:footnoteRef/>
      </w:r>
      <w:r>
        <w:rPr>
          <w:rFonts w:ascii="Times New Roman" w:hAnsi="Times New Roman"/>
        </w:rPr>
        <w:t xml:space="preserve"> В решението си от 23 януари 2014 г. след искане за преюдициално запитване от Tribunale di Genova (Италия), Съдът на Европейския съюз предвиди по дело C-537/11 определени условия за удостоверяване, че даден круизен кораб се счита за пътнически кораб, изпълняващ редовни услуги.</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Разрешаването да се използват алтернативни методи за осигуряване на съответствие за спазване на задълженията, определени в директивата, не освобождава държавите членки от техните задължения, определени в друго законодателство на Съюза като Рамковата директива за водите (Директива 2000/60/ЕО), Рамковата директива за морска стратегия (Директива 2008/56/ЕО) или Директивата относно пристанищните приемни съоръжения (Директива 2000/59/ЕО). </w:t>
      </w:r>
    </w:p>
  </w:footnote>
  <w:footnote w:id="46">
    <w:p>
      <w:pPr>
        <w:rPr>
          <w:sz w:val="20"/>
          <w:szCs w:val="20"/>
        </w:rPr>
      </w:pPr>
      <w:r>
        <w:rPr>
          <w:rStyle w:val="FootnoteReference"/>
          <w:sz w:val="20"/>
        </w:rPr>
        <w:footnoteRef/>
      </w:r>
      <w:r>
        <w:rPr>
          <w:sz w:val="20"/>
        </w:rPr>
        <w:t xml:space="preserve"> Един от тези въпроси е допустимостта на изхвърлянето на промивна вода от системите за пречистване на отработилите газове. Вж.: </w:t>
      </w:r>
      <w:hyperlink r:id="rId15">
        <w:r>
          <w:rPr>
            <w:rStyle w:val="Hyperlink"/>
            <w:sz w:val="20"/>
          </w:rPr>
          <w:t>https://ec.europa.eu/transport/sites/transport/files/acceptability_of_discharges_of_scrubber_wash_water.pdf</w:t>
        </w:r>
      </w:hyperlink>
    </w:p>
  </w:footnote>
  <w:footnote w:id="47">
    <w:p>
      <w:pPr>
        <w:pStyle w:val="FootnoteText"/>
      </w:pPr>
      <w:r>
        <w:rPr>
          <w:rStyle w:val="FootnoteReference"/>
          <w:rFonts w:ascii="Times New Roman" w:hAnsi="Times New Roman"/>
        </w:rPr>
        <w:footnoteRef/>
      </w:r>
      <w:r>
        <w:rPr>
          <w:rFonts w:ascii="Times New Roman" w:hAnsi="Times New Roman"/>
        </w:rPr>
        <w:t xml:space="preserve"> ОВ L 257, 28.8.2014 г., стр. 146—185.</w:t>
      </w:r>
    </w:p>
  </w:footnote>
  <w:footnote w:id="48">
    <w:p>
      <w:pPr>
        <w:pStyle w:val="FootnoteText"/>
        <w:jc w:val="both"/>
        <w:rPr>
          <w:rFonts w:ascii="Times New Roman" w:hAnsi="Times New Roman" w:cs="Times New Roman"/>
        </w:rPr>
      </w:pPr>
      <w:r>
        <w:rPr>
          <w:rStyle w:val="FootnoteReference"/>
          <w:rFonts w:ascii="Times New Roman" w:hAnsi="Times New Roman"/>
          <w:color w:val="auto"/>
        </w:rPr>
        <w:footnoteRef/>
      </w:r>
      <w:r>
        <w:rPr>
          <w:rFonts w:ascii="Times New Roman" w:hAnsi="Times New Roman"/>
        </w:rPr>
        <w:t xml:space="preserve"> ЕС предостави на ММО различни документи относно EGCS, като например IMO MEPC 71/9/1 относно преразглеждане на Насоките на ММО за системите за пречистване на отработили газове, IMO 5/11 относно хармонизираната в световен мащаб процедура за вземане на проби от заустената вода и IMO 5/11/1 за случайна повреда, неизправност на инструмента и установено временно несъответствие и преходна производителност на плавателни съдове, оборудвани със скрубери.</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Директива 2000/60/ЕО за установяване на рамка за действията на Общността в областта на политиката за водите („Рамкова директива за водите“) и Директива 2008/56/ЕО за създаване на рамка за действие на Общността в областта на политиката за морска среда („Рамкова директива за морска стратегия“).</w:t>
      </w:r>
    </w:p>
  </w:footnote>
  <w:footnote w:id="50">
    <w:p>
      <w:pPr>
        <w:jc w:val="both"/>
        <w:rPr>
          <w:rFonts w:eastAsia="Times New Roman"/>
          <w:bCs/>
          <w:color w:val="444444"/>
          <w:sz w:val="20"/>
          <w:szCs w:val="20"/>
          <w:bdr w:val="none" w:sz="0" w:space="0" w:color="auto" w:frame="1"/>
          <w:shd w:val="clear" w:color="auto" w:fill="FFFFFF"/>
        </w:rPr>
      </w:pPr>
      <w:r>
        <w:rPr>
          <w:rStyle w:val="FootnoteReference"/>
          <w:sz w:val="20"/>
        </w:rPr>
        <w:footnoteRef/>
      </w:r>
      <w:r>
        <w:rPr>
          <w:color w:val="444444"/>
          <w:sz w:val="20"/>
          <w:bdr w:val="none" w:sz="0" w:space="0" w:color="auto" w:frame="1"/>
          <w:shd w:val="clear" w:color="auto" w:fill="FFFFFF"/>
        </w:rPr>
        <w:t xml:space="preserve"> COM(2018) 33 final</w:t>
      </w:r>
    </w:p>
  </w:footnote>
  <w:footnote w:id="51">
    <w:p>
      <w:pPr>
        <w:pStyle w:val="FootnoteText"/>
        <w:jc w:val="both"/>
        <w:rPr>
          <w:rFonts w:ascii="Times New Roman" w:hAnsi="Times New Roman" w:cs="Times New Roman"/>
        </w:rPr>
      </w:pPr>
      <w:r>
        <w:rPr>
          <w:rStyle w:val="FootnoteReference"/>
          <w:rFonts w:ascii="Times New Roman" w:hAnsi="Times New Roman"/>
          <w:color w:val="auto"/>
        </w:rPr>
        <w:footnoteRef/>
      </w:r>
      <w:r>
        <w:rPr>
          <w:rFonts w:ascii="Times New Roman" w:hAnsi="Times New Roman"/>
        </w:rPr>
        <w:t xml:space="preserve"> Вж. например подаванията на информация до ММО: MSC 94/11/1 относно стандартните разписки за доставен LPG и IMO MSC 94/11/2 относно стандартните конектори.</w:t>
      </w:r>
    </w:p>
  </w:footnote>
  <w:footnote w:id="52">
    <w:p>
      <w:pPr>
        <w:pStyle w:val="FootnoteText"/>
        <w:jc w:val="both"/>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color w:val="444444"/>
          <w:bdr w:val="none" w:sz="0" w:space="0" w:color="auto" w:frame="1"/>
          <w:shd w:val="clear" w:color="auto" w:fill="FFFFFF"/>
        </w:rPr>
        <w:t xml:space="preserve">Вж.: </w:t>
      </w:r>
      <w:hyperlink r:id="rId16">
        <w:r>
          <w:rPr>
            <w:rStyle w:val="Hyperlink"/>
            <w:rFonts w:ascii="Times New Roman" w:hAnsi="Times New Roman"/>
            <w:bdr w:val="none" w:sz="0" w:space="0" w:color="auto" w:frame="1"/>
            <w:shd w:val="clear" w:color="auto" w:fill="FFFFFF"/>
          </w:rPr>
          <w:t>http://www.emsa.europa.eu/news-a-press-centre/external-news/item/3207-guidance-on-lng-bunkering-to-port-authorities-and-administrations.html</w:t>
        </w:r>
      </w:hyperlink>
      <w:r>
        <w:t xml:space="preserve"> </w:t>
      </w:r>
    </w:p>
  </w:footnote>
  <w:footnote w:id="53">
    <w:p>
      <w:pPr>
        <w:jc w:val="both"/>
        <w:rPr>
          <w:rFonts w:ascii="Times" w:eastAsia="Times New Roman" w:hAnsi="Times"/>
          <w:sz w:val="20"/>
          <w:szCs w:val="20"/>
          <w:bdr w:val="none" w:sz="0" w:space="0" w:color="auto"/>
        </w:rPr>
      </w:pPr>
      <w:r>
        <w:rPr>
          <w:rStyle w:val="FootnoteReference"/>
          <w:sz w:val="20"/>
        </w:rPr>
        <w:footnoteRef/>
      </w:r>
      <w:r>
        <w:rPr>
          <w:sz w:val="20"/>
        </w:rPr>
        <w:t xml:space="preserve"> </w:t>
      </w:r>
      <w:r>
        <w:rPr>
          <w:color w:val="444444"/>
          <w:sz w:val="20"/>
          <w:bdr w:val="none" w:sz="0" w:space="0" w:color="auto"/>
        </w:rPr>
        <w:t>ОВ L 307, 28.10.2014 г., стр. 1—20.</w:t>
      </w:r>
    </w:p>
  </w:footnote>
  <w:footnote w:id="54">
    <w:p>
      <w:pPr>
        <w:pStyle w:val="FootnoteText"/>
      </w:pPr>
      <w:r>
        <w:rPr>
          <w:rStyle w:val="FootnoteReference"/>
          <w:rFonts w:ascii="Times New Roman" w:hAnsi="Times New Roman"/>
        </w:rPr>
        <w:footnoteRef/>
      </w:r>
      <w:r>
        <w:rPr>
          <w:rFonts w:ascii="Times New Roman" w:hAnsi="Times New Roman"/>
        </w:rPr>
        <w:t xml:space="preserve"> Вж. също Обобщение на Комисията на националните планове за инфраструктура за алтернативни горива: </w:t>
      </w:r>
      <w:hyperlink r:id="rId17">
        <w:r>
          <w:rPr>
            <w:rStyle w:val="Hyperlink"/>
            <w:rFonts w:ascii="Times New Roman" w:hAnsi="Times New Roman"/>
          </w:rPr>
          <w:t>https://ec.europa.eu/transport/sites/transport/files/2017-11-08-mobility-package two/summary_of_national_policy_frameworks_on_alternative_fuels.pdf</w:t>
        </w:r>
      </w:hyperlink>
    </w:p>
  </w:footnote>
  <w:footnote w:id="55">
    <w:p>
      <w:pPr>
        <w:pStyle w:val="FootnoteText"/>
        <w:jc w:val="both"/>
        <w:rPr>
          <w:rFonts w:ascii="Times New Roman" w:hAnsi="Times New Roman" w:cs="Times New Roman"/>
          <w:iCs/>
        </w:rPr>
      </w:pPr>
      <w:r>
        <w:rPr>
          <w:rStyle w:val="FootnoteReference"/>
          <w:rFonts w:ascii="Times New Roman" w:hAnsi="Times New Roman"/>
        </w:rPr>
        <w:footnoteRef/>
      </w:r>
      <w:r>
        <w:rPr>
          <w:rFonts w:ascii="Times New Roman" w:hAnsi="Times New Roman"/>
        </w:rPr>
        <w:t xml:space="preserve"> ОВ L 152, 11.6.2008 г., стр. 1—44. </w:t>
      </w:r>
    </w:p>
  </w:footnote>
  <w:footnote w:id="5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283, 31.10.2003 г., стр. 51.</w:t>
      </w:r>
    </w:p>
  </w:footnote>
  <w:footnote w:id="5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 Германия, Швеция и Дания (съответните решения за изпълнение на Съвета: 2014/722/ЕС от 14 октомври 2014 г., 2014/725/ЕС от 14 октомври 2014 г. и (ЕС) 2015/993 от 19 юни 2015 г.</w:t>
      </w:r>
    </w:p>
  </w:footnote>
  <w:footnote w:id="5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18">
        <w:r>
          <w:rPr>
            <w:rStyle w:val="Hyperlink"/>
            <w:rFonts w:ascii="Times New Roman" w:hAnsi="Times New Roman"/>
          </w:rPr>
          <w:t>http://www.imo.org/en/mediacentre/pressbriefings/pages/mepc-70-2020sulphur.aspx</w:t>
        </w:r>
      </w:hyperlink>
    </w:p>
  </w:footnote>
  <w:footnote w:id="59">
    <w:p>
      <w:pPr>
        <w:jc w:val="both"/>
        <w:rPr>
          <w:sz w:val="20"/>
          <w:szCs w:val="20"/>
        </w:rPr>
      </w:pPr>
      <w:r>
        <w:rPr>
          <w:rStyle w:val="FootnoteReference"/>
          <w:sz w:val="20"/>
        </w:rPr>
        <w:footnoteRef/>
      </w:r>
      <w:r>
        <w:rPr>
          <w:sz w:val="20"/>
        </w:rPr>
        <w:t xml:space="preserve"> ЕС и неговите държави членки са изпратили конкретна информация до ММО (например MEPC 70 / INF.41 и PPR 5/13/5) и предвиждат предоставяне на допълнителни сведения.</w:t>
      </w:r>
    </w:p>
  </w:footnote>
  <w:footnote w:id="60">
    <w:p>
      <w:pPr>
        <w:jc w:val="both"/>
        <w:rPr>
          <w:sz w:val="20"/>
          <w:szCs w:val="20"/>
        </w:rPr>
      </w:pPr>
      <w:r>
        <w:rPr>
          <w:rStyle w:val="FootnoteReference"/>
          <w:sz w:val="20"/>
        </w:rPr>
        <w:footnoteRef/>
      </w:r>
      <w:r>
        <w:rPr>
          <w:sz w:val="20"/>
        </w:rPr>
        <w:t xml:space="preserve"> През май 2014 г. се проведе специално обучение във връзка със замърсяването на въздуха за страни кандидатки и потенциални кандидатки за членство. За първото тримесечие на 2018 г. е предвидено още едно двудневно обучение. Вж.: </w:t>
      </w:r>
      <w:hyperlink r:id="rId19">
        <w:r>
          <w:rPr>
            <w:rStyle w:val="Hyperlink"/>
            <w:sz w:val="20"/>
          </w:rPr>
          <w:t>http://www.emsa.europa.eu/implementation-tasks/training-a-cooperation/training-for-candidates-a-potential-candidates.html</w:t>
        </w:r>
      </w:hyperlink>
    </w:p>
  </w:footnote>
  <w:footnote w:id="61">
    <w:p>
      <w:pPr>
        <w:jc w:val="both"/>
        <w:rPr>
          <w:sz w:val="20"/>
          <w:szCs w:val="20"/>
        </w:rPr>
      </w:pPr>
      <w:r>
        <w:rPr>
          <w:rStyle w:val="FootnoteReference"/>
          <w:sz w:val="20"/>
        </w:rPr>
        <w:footnoteRef/>
      </w:r>
      <w:r>
        <w:rPr>
          <w:sz w:val="20"/>
        </w:rPr>
        <w:t xml:space="preserve"> В рамките на проект „SAFEMED IV“ ЕАМБ предоставя техническа помощ в рамките на проекта „TRACECA“ за държави бенефициери, граничещи с Черно и Каспийско море, както и за бенефициери в южните съседни на ЕС държави. И двата проекта — всеки на стойност 4 милиона евро — са финансирани от Европейския инструмент за съседство (ЕИС). </w:t>
      </w:r>
    </w:p>
    <w:p>
      <w:pPr>
        <w:rPr>
          <w:sz w:val="20"/>
          <w:szCs w:val="20"/>
        </w:rPr>
      </w:pPr>
      <w:r>
        <w:rPr>
          <w:sz w:val="20"/>
        </w:rPr>
        <w:t>Вж.:  http://emsa.europa.eu/implementation-tasks/training-a-cooperation.html</w:t>
      </w:r>
    </w:p>
  </w:footnote>
  <w:footnote w:id="62">
    <w:p>
      <w:pPr>
        <w:pStyle w:val="FootnoteText"/>
        <w:jc w:val="both"/>
        <w:rPr>
          <w:rFonts w:ascii="Times New Roman" w:hAnsi="Times New Roman" w:cs="Times New Roman"/>
          <w:color w:val="auto"/>
        </w:rPr>
      </w:pPr>
      <w:r>
        <w:rPr>
          <w:rStyle w:val="FootnoteReference"/>
        </w:rPr>
        <w:footnoteRef/>
      </w:r>
      <w:r>
        <w:t xml:space="preserve"> </w:t>
      </w:r>
      <w:r>
        <w:rPr>
          <w:rFonts w:ascii="Times New Roman" w:hAnsi="Times New Roman"/>
          <w:color w:val="auto"/>
        </w:rPr>
        <w:t>Енергийната общност е международна организация, включваща ЕС и Албания, Босна и Херцеговина, Грузия, бившата югославска република Македония, Косово, Молдова, Черна гора, Сърбия и Украйна. Нейната цел е да разшири вътрешния енергиен пазар на ЕС към югоизточна Европа и Черноморския регион.</w:t>
      </w:r>
    </w:p>
  </w:footnote>
  <w:footnote w:id="63">
    <w:p>
      <w:pPr>
        <w:pStyle w:val="FootnoteText"/>
        <w:rPr>
          <w:rFonts w:ascii="Times New Roman" w:hAnsi="Times New Roman" w:cs="Times New Roman"/>
        </w:rPr>
      </w:pPr>
      <w:r>
        <w:rPr>
          <w:rStyle w:val="FootnoteReference"/>
          <w:rFonts w:ascii="Times New Roman" w:hAnsi="Times New Roman"/>
          <w:color w:val="auto"/>
        </w:rPr>
        <w:footnoteRef/>
      </w:r>
      <w:r>
        <w:rPr>
          <w:rFonts w:ascii="Times New Roman" w:hAnsi="Times New Roman"/>
          <w:color w:val="auto"/>
        </w:rPr>
        <w:t xml:space="preserve"> Решение 2016/15/MC-EnC на Съвета на министрите от 14 октомври 2016 г.</w:t>
      </w:r>
    </w:p>
  </w:footnote>
  <w:footnote w:id="6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20">
        <w:r>
          <w:rPr>
            <w:rStyle w:val="Hyperlink"/>
            <w:rFonts w:ascii="Times New Roman" w:hAnsi="Times New Roman"/>
          </w:rPr>
          <w:t>http://www.imo.org/en/MediaCentre/MeetingSummaries/MEPC/Pages/MEPC-70th-session.aspx</w:t>
        </w:r>
      </w:hyperlink>
      <w:r>
        <w:rPr>
          <w:rFonts w:ascii="Times New Roman" w:hAnsi="Times New Roman"/>
        </w:rPr>
        <w:t xml:space="preserve"> </w:t>
      </w:r>
    </w:p>
  </w:footnote>
  <w:footnote w:id="65">
    <w:p>
      <w:pPr>
        <w:pStyle w:val="FootnoteText"/>
        <w:jc w:val="both"/>
        <w:rPr>
          <w:rFonts w:ascii="Times New Roman" w:eastAsia="Times New Roman" w:hAnsi="Times New Roman" w:cs="Times New Roman"/>
          <w:bdr w:val="none" w:sz="0" w:space="0" w:color="auto"/>
        </w:rPr>
      </w:pPr>
      <w:r>
        <w:rPr>
          <w:rStyle w:val="FootnoteReference"/>
          <w:rFonts w:ascii="Times New Roman" w:hAnsi="Times New Roman"/>
        </w:rPr>
        <w:footnoteRef/>
      </w:r>
      <w:r>
        <w:rPr>
          <w:rFonts w:ascii="Times New Roman" w:hAnsi="Times New Roman"/>
        </w:rPr>
        <w:t xml:space="preserve"> Вж. също предложение на Комисията за Решение на Съвета от 22 септември 2016 г. относно позицията, която да бъде заета от името на Европейския съюз в ММО по време на 70-ата и 71-ата сесия на Комитета по опазване на морската среда във връзка с одобряването и приемането на измененията в приложение VI към Конвенцията MARPOL относно определянето на Балтийско и Северно море за зони с контрол на емисиите на азотни оксиди (NECA) и пораждането на правно действие от това определяне, COM(2016) 617 final. </w:t>
      </w:r>
    </w:p>
  </w:footnote>
  <w:footnote w:id="66">
    <w:p>
      <w:pPr>
        <w:jc w:val="both"/>
        <w:rPr>
          <w:sz w:val="20"/>
          <w:szCs w:val="20"/>
        </w:rPr>
      </w:pPr>
      <w:r>
        <w:rPr>
          <w:rStyle w:val="FootnoteReference"/>
          <w:sz w:val="20"/>
        </w:rPr>
        <w:footnoteRef/>
      </w:r>
      <w:r>
        <w:rPr>
          <w:sz w:val="20"/>
        </w:rPr>
        <w:t xml:space="preserve"> Европейска агенция за околната среда (ЕАОС), октомври 2017 г., „Air quality in Europe — 2017 report“ („Качество на въздуха в Европа — доклад за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3C"/>
    <w:multiLevelType w:val="multilevel"/>
    <w:tmpl w:val="E37C926E"/>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73292"/>
    <w:multiLevelType w:val="multilevel"/>
    <w:tmpl w:val="76A2C7E4"/>
    <w:lvl w:ilvl="0">
      <w:start w:val="1"/>
      <w:numFmt w:val="bullet"/>
      <w:lvlText w:val=""/>
      <w:lvlJc w:val="left"/>
      <w:pPr>
        <w:tabs>
          <w:tab w:val="num" w:pos="-556"/>
        </w:tabs>
        <w:ind w:left="-556" w:hanging="360"/>
      </w:pPr>
      <w:rPr>
        <w:rFonts w:ascii="Symbol" w:hAnsi="Symbol" w:hint="default"/>
        <w:sz w:val="20"/>
      </w:rPr>
    </w:lvl>
    <w:lvl w:ilvl="1" w:tentative="1">
      <w:start w:val="1"/>
      <w:numFmt w:val="bullet"/>
      <w:lvlText w:val="o"/>
      <w:lvlJc w:val="left"/>
      <w:pPr>
        <w:tabs>
          <w:tab w:val="num" w:pos="164"/>
        </w:tabs>
        <w:ind w:left="164" w:hanging="360"/>
      </w:pPr>
      <w:rPr>
        <w:rFonts w:ascii="Courier New" w:hAnsi="Courier New" w:hint="default"/>
        <w:sz w:val="20"/>
      </w:rPr>
    </w:lvl>
    <w:lvl w:ilvl="2" w:tentative="1">
      <w:start w:val="1"/>
      <w:numFmt w:val="bullet"/>
      <w:lvlText w:val=""/>
      <w:lvlJc w:val="left"/>
      <w:pPr>
        <w:tabs>
          <w:tab w:val="num" w:pos="884"/>
        </w:tabs>
        <w:ind w:left="884" w:hanging="360"/>
      </w:pPr>
      <w:rPr>
        <w:rFonts w:ascii="Wingdings" w:hAnsi="Wingdings" w:hint="default"/>
        <w:sz w:val="20"/>
      </w:rPr>
    </w:lvl>
    <w:lvl w:ilvl="3" w:tentative="1">
      <w:start w:val="1"/>
      <w:numFmt w:val="bullet"/>
      <w:lvlText w:val=""/>
      <w:lvlJc w:val="left"/>
      <w:pPr>
        <w:tabs>
          <w:tab w:val="num" w:pos="1604"/>
        </w:tabs>
        <w:ind w:left="1604" w:hanging="360"/>
      </w:pPr>
      <w:rPr>
        <w:rFonts w:ascii="Wingdings" w:hAnsi="Wingdings" w:hint="default"/>
        <w:sz w:val="20"/>
      </w:rPr>
    </w:lvl>
    <w:lvl w:ilvl="4" w:tentative="1">
      <w:start w:val="1"/>
      <w:numFmt w:val="bullet"/>
      <w:lvlText w:val=""/>
      <w:lvlJc w:val="left"/>
      <w:pPr>
        <w:tabs>
          <w:tab w:val="num" w:pos="2324"/>
        </w:tabs>
        <w:ind w:left="2324" w:hanging="360"/>
      </w:pPr>
      <w:rPr>
        <w:rFonts w:ascii="Wingdings" w:hAnsi="Wingdings" w:hint="default"/>
        <w:sz w:val="20"/>
      </w:rPr>
    </w:lvl>
    <w:lvl w:ilvl="5" w:tentative="1">
      <w:start w:val="1"/>
      <w:numFmt w:val="bullet"/>
      <w:lvlText w:val=""/>
      <w:lvlJc w:val="left"/>
      <w:pPr>
        <w:tabs>
          <w:tab w:val="num" w:pos="3044"/>
        </w:tabs>
        <w:ind w:left="3044" w:hanging="360"/>
      </w:pPr>
      <w:rPr>
        <w:rFonts w:ascii="Wingdings" w:hAnsi="Wingdings" w:hint="default"/>
        <w:sz w:val="20"/>
      </w:rPr>
    </w:lvl>
    <w:lvl w:ilvl="6" w:tentative="1">
      <w:start w:val="1"/>
      <w:numFmt w:val="bullet"/>
      <w:lvlText w:val=""/>
      <w:lvlJc w:val="left"/>
      <w:pPr>
        <w:tabs>
          <w:tab w:val="num" w:pos="3764"/>
        </w:tabs>
        <w:ind w:left="3764" w:hanging="360"/>
      </w:pPr>
      <w:rPr>
        <w:rFonts w:ascii="Wingdings" w:hAnsi="Wingdings" w:hint="default"/>
        <w:sz w:val="20"/>
      </w:rPr>
    </w:lvl>
    <w:lvl w:ilvl="7" w:tentative="1">
      <w:start w:val="1"/>
      <w:numFmt w:val="bullet"/>
      <w:lvlText w:val=""/>
      <w:lvlJc w:val="left"/>
      <w:pPr>
        <w:tabs>
          <w:tab w:val="num" w:pos="4484"/>
        </w:tabs>
        <w:ind w:left="4484" w:hanging="360"/>
      </w:pPr>
      <w:rPr>
        <w:rFonts w:ascii="Wingdings" w:hAnsi="Wingdings" w:hint="default"/>
        <w:sz w:val="20"/>
      </w:rPr>
    </w:lvl>
    <w:lvl w:ilvl="8" w:tentative="1">
      <w:start w:val="1"/>
      <w:numFmt w:val="bullet"/>
      <w:lvlText w:val=""/>
      <w:lvlJc w:val="left"/>
      <w:pPr>
        <w:tabs>
          <w:tab w:val="num" w:pos="5204"/>
        </w:tabs>
        <w:ind w:left="5204" w:hanging="360"/>
      </w:pPr>
      <w:rPr>
        <w:rFonts w:ascii="Wingdings" w:hAnsi="Wingdings" w:hint="default"/>
        <w:sz w:val="20"/>
      </w:rPr>
    </w:lvl>
  </w:abstractNum>
  <w:abstractNum w:abstractNumId="2">
    <w:nsid w:val="02E379BF"/>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F0653"/>
    <w:multiLevelType w:val="multilevel"/>
    <w:tmpl w:val="3386E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E817DA"/>
    <w:multiLevelType w:val="hybridMultilevel"/>
    <w:tmpl w:val="8BE8B9E0"/>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C69B0"/>
    <w:multiLevelType w:val="hybridMultilevel"/>
    <w:tmpl w:val="F382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11E6F"/>
    <w:multiLevelType w:val="hybridMultilevel"/>
    <w:tmpl w:val="2056F63C"/>
    <w:numStyleLink w:val="ImportierterStil6"/>
  </w:abstractNum>
  <w:abstractNum w:abstractNumId="7">
    <w:nsid w:val="16D46923"/>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C783E"/>
    <w:multiLevelType w:val="hybridMultilevel"/>
    <w:tmpl w:val="650A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A773B"/>
    <w:multiLevelType w:val="hybridMultilevel"/>
    <w:tmpl w:val="FAF669FC"/>
    <w:lvl w:ilvl="0" w:tplc="08090001">
      <w:start w:val="1"/>
      <w:numFmt w:val="bullet"/>
      <w:lvlText w:val=""/>
      <w:lvlJc w:val="left"/>
      <w:pPr>
        <w:ind w:left="720" w:hanging="360"/>
      </w:pPr>
      <w:rPr>
        <w:rFonts w:ascii="Symbol" w:hAnsi="Symbol" w:hint="default"/>
      </w:rPr>
    </w:lvl>
    <w:lvl w:ilvl="1" w:tplc="8258C95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81560"/>
    <w:multiLevelType w:val="hybridMultilevel"/>
    <w:tmpl w:val="60786DCE"/>
    <w:numStyleLink w:val="ImportierterStil4"/>
  </w:abstractNum>
  <w:abstractNum w:abstractNumId="11">
    <w:nsid w:val="21881AFC"/>
    <w:multiLevelType w:val="hybridMultilevel"/>
    <w:tmpl w:val="5422FDC0"/>
    <w:numStyleLink w:val="ImportierterStil2"/>
  </w:abstractNum>
  <w:abstractNum w:abstractNumId="12">
    <w:nsid w:val="22F14268"/>
    <w:multiLevelType w:val="hybridMultilevel"/>
    <w:tmpl w:val="B8FE9C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72624B6"/>
    <w:multiLevelType w:val="hybridMultilevel"/>
    <w:tmpl w:val="2056F63C"/>
    <w:styleLink w:val="ImportierterStil6"/>
    <w:lvl w:ilvl="0" w:tplc="1B18E0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EC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2B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E90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3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89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462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62A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66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EE2094"/>
    <w:multiLevelType w:val="hybridMultilevel"/>
    <w:tmpl w:val="3004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8C7163D"/>
    <w:multiLevelType w:val="hybridMultilevel"/>
    <w:tmpl w:val="EFB6BC3A"/>
    <w:lvl w:ilvl="0" w:tplc="7554BD26">
      <w:start w:val="2"/>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E3A12"/>
    <w:multiLevelType w:val="hybridMultilevel"/>
    <w:tmpl w:val="9CF048AC"/>
    <w:lvl w:ilvl="0" w:tplc="60947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E3A1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407FB1"/>
    <w:multiLevelType w:val="multilevel"/>
    <w:tmpl w:val="1FC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D52BA5"/>
    <w:multiLevelType w:val="hybridMultilevel"/>
    <w:tmpl w:val="FD264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0371B5"/>
    <w:multiLevelType w:val="hybridMultilevel"/>
    <w:tmpl w:val="18C00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65F1122"/>
    <w:multiLevelType w:val="hybridMultilevel"/>
    <w:tmpl w:val="DF26643C"/>
    <w:numStyleLink w:val="ImportierterStil3"/>
  </w:abstractNum>
  <w:abstractNum w:abstractNumId="25">
    <w:nsid w:val="3873564A"/>
    <w:multiLevelType w:val="hybridMultilevel"/>
    <w:tmpl w:val="19BC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B3307"/>
    <w:multiLevelType w:val="hybridMultilevel"/>
    <w:tmpl w:val="AB0EDC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AD4BC7"/>
    <w:multiLevelType w:val="multilevel"/>
    <w:tmpl w:val="3386EDFE"/>
    <w:lvl w:ilvl="0">
      <w:start w:val="1"/>
      <w:numFmt w:val="decimal"/>
      <w:lvlText w:val="%1."/>
      <w:lvlJc w:val="lef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6032225"/>
    <w:multiLevelType w:val="hybridMultilevel"/>
    <w:tmpl w:val="B1102062"/>
    <w:numStyleLink w:val="ImportierterStil1"/>
  </w:abstractNum>
  <w:abstractNum w:abstractNumId="30">
    <w:nsid w:val="4AE91906"/>
    <w:multiLevelType w:val="hybridMultilevel"/>
    <w:tmpl w:val="7C9C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1A458A2"/>
    <w:multiLevelType w:val="hybridMultilevel"/>
    <w:tmpl w:val="FEC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170082"/>
    <w:multiLevelType w:val="hybridMultilevel"/>
    <w:tmpl w:val="6A24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27762A2"/>
    <w:multiLevelType w:val="hybridMultilevel"/>
    <w:tmpl w:val="6016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4908FA"/>
    <w:multiLevelType w:val="hybridMultilevel"/>
    <w:tmpl w:val="662280F6"/>
    <w:lvl w:ilvl="0" w:tplc="62D87AD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A6732"/>
    <w:multiLevelType w:val="hybridMultilevel"/>
    <w:tmpl w:val="566AB9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67719D"/>
    <w:multiLevelType w:val="hybridMultilevel"/>
    <w:tmpl w:val="E1B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E87A73"/>
    <w:multiLevelType w:val="multilevel"/>
    <w:tmpl w:val="A7D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662B64"/>
    <w:multiLevelType w:val="hybridMultilevel"/>
    <w:tmpl w:val="AB1CD3B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AD23FF"/>
    <w:multiLevelType w:val="hybridMultilevel"/>
    <w:tmpl w:val="5148CE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3333B2"/>
    <w:multiLevelType w:val="hybridMultilevel"/>
    <w:tmpl w:val="FC16926C"/>
    <w:styleLink w:val="ImportierterStil5"/>
    <w:lvl w:ilvl="0" w:tplc="BA445088">
      <w:start w:val="1"/>
      <w:numFmt w:val="bullet"/>
      <w:lvlText w:val="•"/>
      <w:lvlJc w:val="left"/>
      <w:pPr>
        <w:ind w:left="7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CF372">
      <w:start w:val="1"/>
      <w:numFmt w:val="bullet"/>
      <w:lvlText w:val="o"/>
      <w:lvlJc w:val="left"/>
      <w:pPr>
        <w:ind w:left="15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367844">
      <w:start w:val="1"/>
      <w:numFmt w:val="bullet"/>
      <w:lvlText w:val="▪"/>
      <w:lvlJc w:val="left"/>
      <w:pPr>
        <w:ind w:left="22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0106">
      <w:start w:val="1"/>
      <w:numFmt w:val="bullet"/>
      <w:lvlText w:val="•"/>
      <w:lvlJc w:val="left"/>
      <w:pPr>
        <w:ind w:left="29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2C566">
      <w:start w:val="1"/>
      <w:numFmt w:val="bullet"/>
      <w:lvlText w:val="o"/>
      <w:lvlJc w:val="left"/>
      <w:pPr>
        <w:ind w:left="366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DD02">
      <w:start w:val="1"/>
      <w:numFmt w:val="bullet"/>
      <w:lvlText w:val="▪"/>
      <w:lvlJc w:val="left"/>
      <w:pPr>
        <w:ind w:left="438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69A">
      <w:start w:val="1"/>
      <w:numFmt w:val="bullet"/>
      <w:lvlText w:val="•"/>
      <w:lvlJc w:val="left"/>
      <w:pPr>
        <w:ind w:left="51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66BE0">
      <w:start w:val="1"/>
      <w:numFmt w:val="bullet"/>
      <w:lvlText w:val="o"/>
      <w:lvlJc w:val="left"/>
      <w:pPr>
        <w:ind w:left="58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ED864">
      <w:start w:val="1"/>
      <w:numFmt w:val="bullet"/>
      <w:lvlText w:val="▪"/>
      <w:lvlJc w:val="left"/>
      <w:pPr>
        <w:ind w:left="65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DC622F3"/>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21448"/>
    <w:multiLevelType w:val="hybridMultilevel"/>
    <w:tmpl w:val="34005528"/>
    <w:lvl w:ilvl="0" w:tplc="EFB6D084">
      <w:start w:val="1"/>
      <w:numFmt w:val="none"/>
      <w:lvlText w:val="3.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8B634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7B0181"/>
    <w:multiLevelType w:val="multilevel"/>
    <w:tmpl w:val="BA3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BD5BF1"/>
    <w:multiLevelType w:val="hybridMultilevel"/>
    <w:tmpl w:val="FC16926C"/>
    <w:numStyleLink w:val="ImportierterStil5"/>
  </w:abstractNum>
  <w:num w:numId="1">
    <w:abstractNumId w:val="13"/>
  </w:num>
  <w:num w:numId="2">
    <w:abstractNumId w:val="29"/>
    <w:lvlOverride w:ilvl="0">
      <w:lvl w:ilvl="0" w:tplc="D9006C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11"/>
  </w:num>
  <w:num w:numId="5">
    <w:abstractNumId w:val="15"/>
  </w:num>
  <w:num w:numId="6">
    <w:abstractNumId w:val="24"/>
  </w:num>
  <w:num w:numId="7">
    <w:abstractNumId w:val="28"/>
  </w:num>
  <w:num w:numId="8">
    <w:abstractNumId w:val="10"/>
  </w:num>
  <w:num w:numId="9">
    <w:abstractNumId w:val="40"/>
  </w:num>
  <w:num w:numId="10">
    <w:abstractNumId w:val="45"/>
    <w:lvlOverride w:ilvl="0">
      <w:lvl w:ilvl="0" w:tplc="E4D67508">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4"/>
  </w:num>
  <w:num w:numId="12">
    <w:abstractNumId w:val="6"/>
    <w:lvlOverride w:ilvl="0">
      <w:lvl w:ilvl="0" w:tplc="322044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1"/>
  </w:num>
  <w:num w:numId="14">
    <w:abstractNumId w:val="30"/>
  </w:num>
  <w:num w:numId="15">
    <w:abstractNumId w:val="16"/>
  </w:num>
  <w:num w:numId="16">
    <w:abstractNumId w:val="9"/>
  </w:num>
  <w:num w:numId="17">
    <w:abstractNumId w:val="6"/>
    <w:lvlOverride w:ilvl="0">
      <w:lvl w:ilvl="0" w:tplc="322044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1564D4E">
        <w:numFmt w:val="decimal"/>
        <w:lvlText w:val=""/>
        <w:lvlJc w:val="left"/>
      </w:lvl>
    </w:lvlOverride>
    <w:lvlOverride w:ilvl="2">
      <w:lvl w:ilvl="2" w:tplc="01D0C68A">
        <w:numFmt w:val="decimal"/>
        <w:lvlText w:val=""/>
        <w:lvlJc w:val="left"/>
      </w:lvl>
    </w:lvlOverride>
    <w:lvlOverride w:ilvl="3">
      <w:lvl w:ilvl="3" w:tplc="36720A86">
        <w:numFmt w:val="decimal"/>
        <w:lvlText w:val=""/>
        <w:lvlJc w:val="left"/>
      </w:lvl>
    </w:lvlOverride>
    <w:lvlOverride w:ilvl="4">
      <w:lvl w:ilvl="4" w:tplc="18C0F0B8">
        <w:numFmt w:val="decimal"/>
        <w:lvlText w:val=""/>
        <w:lvlJc w:val="left"/>
      </w:lvl>
    </w:lvlOverride>
    <w:lvlOverride w:ilvl="5">
      <w:lvl w:ilvl="5" w:tplc="697AF7F2">
        <w:numFmt w:val="decimal"/>
        <w:lvlText w:val=""/>
        <w:lvlJc w:val="left"/>
      </w:lvl>
    </w:lvlOverride>
    <w:lvlOverride w:ilvl="6">
      <w:lvl w:ilvl="6" w:tplc="9C92FBE6">
        <w:numFmt w:val="decimal"/>
        <w:lvlText w:val=""/>
        <w:lvlJc w:val="left"/>
      </w:lvl>
    </w:lvlOverride>
    <w:lvlOverride w:ilvl="7">
      <w:lvl w:ilvl="7" w:tplc="6DEE9F10">
        <w:numFmt w:val="decimal"/>
        <w:lvlText w:val=""/>
        <w:lvlJc w:val="left"/>
      </w:lvl>
    </w:lvlOverride>
    <w:lvlOverride w:ilvl="8">
      <w:lvl w:ilvl="8" w:tplc="AC8AB3C8">
        <w:numFmt w:val="decimal"/>
        <w:lvlText w:val=""/>
        <w:lvlJc w:val="left"/>
      </w:lvl>
    </w:lvlOverride>
  </w:num>
  <w:num w:numId="18">
    <w:abstractNumId w:val="36"/>
  </w:num>
  <w:num w:numId="19">
    <w:abstractNumId w:val="32"/>
  </w:num>
  <w:num w:numId="20">
    <w:abstractNumId w:val="22"/>
  </w:num>
  <w:num w:numId="21">
    <w:abstractNumId w:val="8"/>
  </w:num>
  <w:num w:numId="22">
    <w:abstractNumId w:val="33"/>
  </w:num>
  <w:num w:numId="23">
    <w:abstractNumId w:val="38"/>
  </w:num>
  <w:num w:numId="24">
    <w:abstractNumId w:val="37"/>
  </w:num>
  <w:num w:numId="25">
    <w:abstractNumId w:val="21"/>
  </w:num>
  <w:num w:numId="26">
    <w:abstractNumId w:val="35"/>
  </w:num>
  <w:num w:numId="27">
    <w:abstractNumId w:val="26"/>
  </w:num>
  <w:num w:numId="28">
    <w:abstractNumId w:val="39"/>
  </w:num>
  <w:num w:numId="29">
    <w:abstractNumId w:val="23"/>
  </w:num>
  <w:num w:numId="30">
    <w:abstractNumId w:val="12"/>
  </w:num>
  <w:num w:numId="31">
    <w:abstractNumId w:val="1"/>
  </w:num>
  <w:num w:numId="32">
    <w:abstractNumId w:val="7"/>
  </w:num>
  <w:num w:numId="33">
    <w:abstractNumId w:val="34"/>
  </w:num>
  <w:num w:numId="34">
    <w:abstractNumId w:val="2"/>
  </w:num>
  <w:num w:numId="35">
    <w:abstractNumId w:val="41"/>
  </w:num>
  <w:num w:numId="36">
    <w:abstractNumId w:val="4"/>
  </w:num>
  <w:num w:numId="37">
    <w:abstractNumId w:val="17"/>
  </w:num>
  <w:num w:numId="38">
    <w:abstractNumId w:val="25"/>
  </w:num>
  <w:num w:numId="39">
    <w:abstractNumId w:val="27"/>
  </w:num>
  <w:num w:numId="40">
    <w:abstractNumId w:val="18"/>
  </w:num>
  <w:num w:numId="41">
    <w:abstractNumId w:val="5"/>
  </w:num>
  <w:num w:numId="42">
    <w:abstractNumId w:val="44"/>
  </w:num>
  <w:num w:numId="43">
    <w:abstractNumId w:val="43"/>
  </w:num>
  <w:num w:numId="44">
    <w:abstractNumId w:val="42"/>
  </w:num>
  <w:num w:numId="45">
    <w:abstractNumId w:val="20"/>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2F5DC8-9A97-4D55-B5A2-10FFFC3F9390"/>
    <w:docVar w:name="LW_COVERPAGE_TYPE" w:val="1"/>
    <w:docVar w:name="LW_CROSSREFERENCE" w:val="&lt;UNUSED&gt;"/>
    <w:docVar w:name="LW_DocType" w:val="NORMAL"/>
    <w:docVar w:name="LW_EMISSION" w:val="16.4.2018"/>
    <w:docVar w:name="LW_EMISSION_ISODATE" w:val="2018-04-1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4?\u1098?\u1074?\u1077?\u1078?\u1076?\u1072?\u1085?\u1077?\u1090?\u1086? \u1080? \u1089?\u1087?\u1072?\u1079?\u1074?\u1072?\u1085?\u1077?\u1090?\u1086? \u1085?\u1072? \u1085?\u1086?\u1088?\u1084?\u1080?\u1090?\u1077? \u1079?\u1072? \u1089?\u1098?\u1076?\u1098?\u1088?\u1078?\u1072?\u1085?\u1080?\u1077?\u1090?\u1086? \u1085?\u1072? \u1089?\u1103?\u1088?\u1072? \u1074? \u1082?\u1086?\u1088?\u1072?\u1073?\u1085?\u1080?\u1090?\u1077? \u1075?\u1086?\u1088?\u1080?\u1074?\u1072?, \u1086?\u1087?\u1088?\u1077?\u1076?\u1077?\u1083?\u1077?\u1085?\u1080? \u1074? \u1044?\u1080?\u1088?\u1077?\u1082?\u1090?\u1080?\u1074?\u1072? 2016/802/\u1045?\u1057? \u1086?\u1090?\u1085?\u1086?\u1089?\u1085?\u1086? \u1085?\u1072?\u1084?\u1072?\u1083?\u1103?\u1074?\u1072?\u1085?\u1077?\u1090?\u1086? \u1085?\u1072? \u1089?\u1098?\u1076?\u1098?\u1088?\u1078?\u1072?\u1085?\u1080?\u1077?\u1090?\u1086? \u1085?\u1072? \u1089?\u1103?\u1088?\u1072? \u1074? \u1086?\u1087?\u1088?\u1077?\u1076?\u1077?\u1083?\u1077?\u1085?\u1080? \u1090?\u1077?\u1095?\u1085?\u1080? \u1075?\u1086?\u1088?\u1080?\u1074?\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bg-BG" w:eastAsia="bg-BG"/>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character" w:customStyle="1" w:styleId="FooterChar">
    <w:name w:val="Footer Char"/>
    <w:basedOn w:val="DefaultParagraphFont"/>
    <w:link w:val="Footer"/>
    <w:uiPriority w:val="99"/>
    <w:rPr>
      <w:rFonts w:eastAsiaTheme="minorHAnsi"/>
      <w:sz w:val="24"/>
      <w:szCs w:val="22"/>
      <w:bdr w:val="none" w:sz="0" w:space="0" w:color="auto"/>
      <w:lang w:val="bg-B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eastAsia="bg-BG"/>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bg-BG" w:eastAsia="bg-BG"/>
    </w:rPr>
  </w:style>
  <w:style w:type="paragraph" w:customStyle="1" w:styleId="astandard3520normal">
    <w:name w:val="a_standard__35__20_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Strong">
    <w:name w:val="Strong"/>
    <w:basedOn w:val="DefaultParagraphFont"/>
    <w:uiPriority w:val="22"/>
    <w:qFormat/>
    <w:rPr>
      <w:b/>
      <w:bCs/>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uiPriority w:val="99"/>
    <w:rPr>
      <w:rFonts w:ascii="Calibri" w:eastAsia="Calibri" w:hAnsi="Calibri" w:cs="Calibri"/>
      <w:color w:val="000000"/>
      <w:u w:color="000000"/>
      <w:lang w:val="bg-BG"/>
    </w:rPr>
  </w:style>
  <w:style w:type="character" w:styleId="Emphasis">
    <w:name w:val="Emphasis"/>
    <w:basedOn w:val="DefaultParagraphFont"/>
    <w:uiPriority w:val="20"/>
    <w:qFormat/>
    <w:rPr>
      <w:i/>
      <w:iCs/>
    </w:rPr>
  </w:style>
  <w:style w:type="paragraph" w:customStyle="1" w:styleId="bodytext">
    <w:name w:val="bodytex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ng-scope">
    <w:name w:val="ng-scop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xmsolistparagraph">
    <w:name w:val="x_msolist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super">
    <w:name w:val="super"/>
    <w:basedOn w:val="DefaultParagraphFont"/>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pbarticletitle1">
    <w:name w:val="pb_article_title1"/>
    <w:basedOn w:val="DefaultParagraphFont"/>
    <w:rPr>
      <w:color w:val="0094E8"/>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emission">
    <w:name w:val="emission"/>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stitutionnelle">
    <w:name w:val="rfrence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terinstitutionnelle">
    <w:name w:val="rfrenceinter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bg-BG" w:eastAsia="bg-BG"/>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character" w:customStyle="1" w:styleId="FooterChar">
    <w:name w:val="Footer Char"/>
    <w:basedOn w:val="DefaultParagraphFont"/>
    <w:link w:val="Footer"/>
    <w:uiPriority w:val="99"/>
    <w:rPr>
      <w:rFonts w:eastAsiaTheme="minorHAnsi"/>
      <w:sz w:val="24"/>
      <w:szCs w:val="22"/>
      <w:bdr w:val="none" w:sz="0" w:space="0" w:color="auto"/>
      <w:lang w:val="bg-B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eastAsia="bg-BG"/>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bg-BG" w:eastAsia="bg-BG"/>
    </w:rPr>
  </w:style>
  <w:style w:type="paragraph" w:customStyle="1" w:styleId="astandard3520normal">
    <w:name w:val="a_standard__35__20_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Strong">
    <w:name w:val="Strong"/>
    <w:basedOn w:val="DefaultParagraphFont"/>
    <w:uiPriority w:val="22"/>
    <w:qFormat/>
    <w:rPr>
      <w:b/>
      <w:bCs/>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uiPriority w:val="99"/>
    <w:rPr>
      <w:rFonts w:ascii="Calibri" w:eastAsia="Calibri" w:hAnsi="Calibri" w:cs="Calibri"/>
      <w:color w:val="000000"/>
      <w:u w:color="000000"/>
      <w:lang w:val="bg-BG"/>
    </w:rPr>
  </w:style>
  <w:style w:type="character" w:styleId="Emphasis">
    <w:name w:val="Emphasis"/>
    <w:basedOn w:val="DefaultParagraphFont"/>
    <w:uiPriority w:val="20"/>
    <w:qFormat/>
    <w:rPr>
      <w:i/>
      <w:iCs/>
    </w:rPr>
  </w:style>
  <w:style w:type="paragraph" w:customStyle="1" w:styleId="bodytext">
    <w:name w:val="bodytex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ng-scope">
    <w:name w:val="ng-scop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xmsolistparagraph">
    <w:name w:val="x_msolist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super">
    <w:name w:val="super"/>
    <w:basedOn w:val="DefaultParagraphFont"/>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pbarticletitle1">
    <w:name w:val="pb_article_title1"/>
    <w:basedOn w:val="DefaultParagraphFont"/>
    <w:rPr>
      <w:color w:val="0094E8"/>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emission">
    <w:name w:val="emission"/>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stitutionnelle">
    <w:name w:val="rfrence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terinstitutionnelle">
    <w:name w:val="rfrenceinter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3226">
      <w:bodyDiv w:val="1"/>
      <w:marLeft w:val="0"/>
      <w:marRight w:val="0"/>
      <w:marTop w:val="0"/>
      <w:marBottom w:val="0"/>
      <w:divBdr>
        <w:top w:val="none" w:sz="0" w:space="0" w:color="auto"/>
        <w:left w:val="none" w:sz="0" w:space="0" w:color="auto"/>
        <w:bottom w:val="none" w:sz="0" w:space="0" w:color="auto"/>
        <w:right w:val="none" w:sz="0" w:space="0" w:color="auto"/>
      </w:divBdr>
    </w:div>
    <w:div w:id="396435352">
      <w:bodyDiv w:val="1"/>
      <w:marLeft w:val="0"/>
      <w:marRight w:val="0"/>
      <w:marTop w:val="0"/>
      <w:marBottom w:val="0"/>
      <w:divBdr>
        <w:top w:val="none" w:sz="0" w:space="0" w:color="auto"/>
        <w:left w:val="none" w:sz="0" w:space="0" w:color="auto"/>
        <w:bottom w:val="none" w:sz="0" w:space="0" w:color="auto"/>
        <w:right w:val="none" w:sz="0" w:space="0" w:color="auto"/>
      </w:divBdr>
    </w:div>
    <w:div w:id="492719077">
      <w:bodyDiv w:val="1"/>
      <w:marLeft w:val="0"/>
      <w:marRight w:val="0"/>
      <w:marTop w:val="0"/>
      <w:marBottom w:val="0"/>
      <w:divBdr>
        <w:top w:val="none" w:sz="0" w:space="0" w:color="auto"/>
        <w:left w:val="none" w:sz="0" w:space="0" w:color="auto"/>
        <w:bottom w:val="none" w:sz="0" w:space="0" w:color="auto"/>
        <w:right w:val="none" w:sz="0" w:space="0" w:color="auto"/>
      </w:divBdr>
    </w:div>
    <w:div w:id="775633791">
      <w:bodyDiv w:val="1"/>
      <w:marLeft w:val="0"/>
      <w:marRight w:val="0"/>
      <w:marTop w:val="0"/>
      <w:marBottom w:val="0"/>
      <w:divBdr>
        <w:top w:val="none" w:sz="0" w:space="0" w:color="auto"/>
        <w:left w:val="none" w:sz="0" w:space="0" w:color="auto"/>
        <w:bottom w:val="none" w:sz="0" w:space="0" w:color="auto"/>
        <w:right w:val="none" w:sz="0" w:space="0" w:color="auto"/>
      </w:divBdr>
    </w:div>
    <w:div w:id="805246815">
      <w:bodyDiv w:val="1"/>
      <w:marLeft w:val="0"/>
      <w:marRight w:val="0"/>
      <w:marTop w:val="0"/>
      <w:marBottom w:val="0"/>
      <w:divBdr>
        <w:top w:val="none" w:sz="0" w:space="0" w:color="auto"/>
        <w:left w:val="none" w:sz="0" w:space="0" w:color="auto"/>
        <w:bottom w:val="none" w:sz="0" w:space="0" w:color="auto"/>
        <w:right w:val="none" w:sz="0" w:space="0" w:color="auto"/>
      </w:divBdr>
    </w:div>
    <w:div w:id="888491506">
      <w:bodyDiv w:val="1"/>
      <w:marLeft w:val="0"/>
      <w:marRight w:val="0"/>
      <w:marTop w:val="0"/>
      <w:marBottom w:val="0"/>
      <w:divBdr>
        <w:top w:val="none" w:sz="0" w:space="0" w:color="auto"/>
        <w:left w:val="none" w:sz="0" w:space="0" w:color="auto"/>
        <w:bottom w:val="none" w:sz="0" w:space="0" w:color="auto"/>
        <w:right w:val="none" w:sz="0" w:space="0" w:color="auto"/>
      </w:divBdr>
    </w:div>
    <w:div w:id="1010371258">
      <w:bodyDiv w:val="1"/>
      <w:marLeft w:val="0"/>
      <w:marRight w:val="0"/>
      <w:marTop w:val="0"/>
      <w:marBottom w:val="0"/>
      <w:divBdr>
        <w:top w:val="none" w:sz="0" w:space="0" w:color="auto"/>
        <w:left w:val="none" w:sz="0" w:space="0" w:color="auto"/>
        <w:bottom w:val="none" w:sz="0" w:space="0" w:color="auto"/>
        <w:right w:val="none" w:sz="0" w:space="0" w:color="auto"/>
      </w:divBdr>
    </w:div>
    <w:div w:id="1016925771">
      <w:bodyDiv w:val="1"/>
      <w:marLeft w:val="0"/>
      <w:marRight w:val="0"/>
      <w:marTop w:val="0"/>
      <w:marBottom w:val="0"/>
      <w:divBdr>
        <w:top w:val="none" w:sz="0" w:space="0" w:color="auto"/>
        <w:left w:val="none" w:sz="0" w:space="0" w:color="auto"/>
        <w:bottom w:val="none" w:sz="0" w:space="0" w:color="auto"/>
        <w:right w:val="none" w:sz="0" w:space="0" w:color="auto"/>
      </w:divBdr>
    </w:div>
    <w:div w:id="1152720802">
      <w:bodyDiv w:val="1"/>
      <w:marLeft w:val="0"/>
      <w:marRight w:val="0"/>
      <w:marTop w:val="0"/>
      <w:marBottom w:val="0"/>
      <w:divBdr>
        <w:top w:val="none" w:sz="0" w:space="0" w:color="auto"/>
        <w:left w:val="none" w:sz="0" w:space="0" w:color="auto"/>
        <w:bottom w:val="none" w:sz="0" w:space="0" w:color="auto"/>
        <w:right w:val="none" w:sz="0" w:space="0" w:color="auto"/>
      </w:divBdr>
    </w:div>
    <w:div w:id="1236041330">
      <w:bodyDiv w:val="1"/>
      <w:marLeft w:val="0"/>
      <w:marRight w:val="0"/>
      <w:marTop w:val="0"/>
      <w:marBottom w:val="0"/>
      <w:divBdr>
        <w:top w:val="none" w:sz="0" w:space="0" w:color="auto"/>
        <w:left w:val="none" w:sz="0" w:space="0" w:color="auto"/>
        <w:bottom w:val="none" w:sz="0" w:space="0" w:color="auto"/>
        <w:right w:val="none" w:sz="0" w:space="0" w:color="auto"/>
      </w:divBdr>
    </w:div>
    <w:div w:id="1318075318">
      <w:bodyDiv w:val="1"/>
      <w:marLeft w:val="0"/>
      <w:marRight w:val="0"/>
      <w:marTop w:val="0"/>
      <w:marBottom w:val="0"/>
      <w:divBdr>
        <w:top w:val="none" w:sz="0" w:space="0" w:color="auto"/>
        <w:left w:val="none" w:sz="0" w:space="0" w:color="auto"/>
        <w:bottom w:val="none" w:sz="0" w:space="0" w:color="auto"/>
        <w:right w:val="none" w:sz="0" w:space="0" w:color="auto"/>
      </w:divBdr>
    </w:div>
    <w:div w:id="1429933560">
      <w:bodyDiv w:val="1"/>
      <w:marLeft w:val="0"/>
      <w:marRight w:val="0"/>
      <w:marTop w:val="0"/>
      <w:marBottom w:val="0"/>
      <w:divBdr>
        <w:top w:val="none" w:sz="0" w:space="0" w:color="auto"/>
        <w:left w:val="none" w:sz="0" w:space="0" w:color="auto"/>
        <w:bottom w:val="none" w:sz="0" w:space="0" w:color="auto"/>
        <w:right w:val="none" w:sz="0" w:space="0" w:color="auto"/>
      </w:divBdr>
    </w:div>
    <w:div w:id="1521773638">
      <w:bodyDiv w:val="1"/>
      <w:marLeft w:val="0"/>
      <w:marRight w:val="0"/>
      <w:marTop w:val="0"/>
      <w:marBottom w:val="0"/>
      <w:divBdr>
        <w:top w:val="none" w:sz="0" w:space="0" w:color="auto"/>
        <w:left w:val="none" w:sz="0" w:space="0" w:color="auto"/>
        <w:bottom w:val="none" w:sz="0" w:space="0" w:color="auto"/>
        <w:right w:val="none" w:sz="0" w:space="0" w:color="auto"/>
      </w:divBdr>
    </w:div>
    <w:div w:id="1552884581">
      <w:bodyDiv w:val="1"/>
      <w:marLeft w:val="0"/>
      <w:marRight w:val="0"/>
      <w:marTop w:val="0"/>
      <w:marBottom w:val="0"/>
      <w:divBdr>
        <w:top w:val="none" w:sz="0" w:space="0" w:color="auto"/>
        <w:left w:val="none" w:sz="0" w:space="0" w:color="auto"/>
        <w:bottom w:val="none" w:sz="0" w:space="0" w:color="auto"/>
        <w:right w:val="none" w:sz="0" w:space="0" w:color="auto"/>
      </w:divBdr>
    </w:div>
    <w:div w:id="1791703942">
      <w:bodyDiv w:val="1"/>
      <w:marLeft w:val="0"/>
      <w:marRight w:val="0"/>
      <w:marTop w:val="0"/>
      <w:marBottom w:val="0"/>
      <w:divBdr>
        <w:top w:val="none" w:sz="0" w:space="0" w:color="auto"/>
        <w:left w:val="none" w:sz="0" w:space="0" w:color="auto"/>
        <w:bottom w:val="none" w:sz="0" w:space="0" w:color="auto"/>
        <w:right w:val="none" w:sz="0" w:space="0" w:color="auto"/>
      </w:divBdr>
    </w:div>
    <w:div w:id="2014985358">
      <w:bodyDiv w:val="1"/>
      <w:marLeft w:val="0"/>
      <w:marRight w:val="0"/>
      <w:marTop w:val="0"/>
      <w:marBottom w:val="0"/>
      <w:divBdr>
        <w:top w:val="none" w:sz="0" w:space="0" w:color="auto"/>
        <w:left w:val="none" w:sz="0" w:space="0" w:color="auto"/>
        <w:bottom w:val="none" w:sz="0" w:space="0" w:color="auto"/>
        <w:right w:val="none" w:sz="0" w:space="0" w:color="auto"/>
      </w:divBdr>
    </w:div>
    <w:div w:id="212881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msa.europa.eu/partnerships/operational-agreements.html" TargetMode="External"/><Relationship Id="rId13" Type="http://schemas.openxmlformats.org/officeDocument/2006/relationships/hyperlink" Target="http://www.emsa.europa.eu/operational-scenarios.html" TargetMode="External"/><Relationship Id="rId18" Type="http://schemas.openxmlformats.org/officeDocument/2006/relationships/hyperlink" Target="http://www.imo.org/en/mediacentre/pressbriefings/pages/mepc-70-2020sulphur.aspx" TargetMode="External"/><Relationship Id="rId3" Type="http://schemas.openxmlformats.org/officeDocument/2006/relationships/hyperlink" Target="http://www.ivl.se/" TargetMode="External"/><Relationship Id="rId7" Type="http://schemas.openxmlformats.org/officeDocument/2006/relationships/hyperlink" Target="https://ec.europa.eu/commission/news/juncker-plan-france-signature-first-green-financing-maritime-sector-2017-dec-12_en" TargetMode="External"/><Relationship Id="rId12" Type="http://schemas.openxmlformats.org/officeDocument/2006/relationships/hyperlink" Target="https://compmon.eu/" TargetMode="External"/><Relationship Id="rId17" Type="http://schemas.openxmlformats.org/officeDocument/2006/relationships/hyperlink" Target="https://ec.europa.eu/transport/sites/transport/files/2017-11-08-mobility-package%20two/summary_of_national_policy_frameworks_on_alternative_fuels.pdf" TargetMode="External"/><Relationship Id="rId2" Type="http://schemas.openxmlformats.org/officeDocument/2006/relationships/hyperlink" Target="http://en.mfvm.dk/news/news/nyhed/sulphur-content-in-the-air-halved-since-2014/" TargetMode="External"/><Relationship Id="rId16" Type="http://schemas.openxmlformats.org/officeDocument/2006/relationships/hyperlink" Target="http://www.emsa.europa.eu/news-a-press-centre/external-news/item/3207-guidance-on-lng-bunkering-to-port-authorities-and-administrations.html" TargetMode="External"/><Relationship Id="rId20" Type="http://schemas.openxmlformats.org/officeDocument/2006/relationships/hyperlink" Target="http://www.imo.org/en/MediaCentre/MeetingSummaries/MEPC/Pages/MEPC-70th-session.aspx" TargetMode="External"/><Relationship Id="rId1" Type="http://schemas.openxmlformats.org/officeDocument/2006/relationships/hyperlink" Target="http://ec.europa.eu/environment/air/clean_air/index.htm" TargetMode="External"/><Relationship Id="rId6" Type="http://schemas.openxmlformats.org/officeDocument/2006/relationships/hyperlink" Target="http://emsa.europa.eu/main/sustainable-toolbox/relevant-eu-projects.html" TargetMode="External"/><Relationship Id="rId11" Type="http://schemas.openxmlformats.org/officeDocument/2006/relationships/hyperlink" Target="http://ec.europa.eu/transparency/regcomitology/index.cfm" TargetMode="External"/><Relationship Id="rId5" Type="http://schemas.openxmlformats.org/officeDocument/2006/relationships/hyperlink" Target="http://ec.europa.eu/transparency/regexpert/index.cfm?Lang=BG" TargetMode="External"/><Relationship Id="rId15" Type="http://schemas.openxmlformats.org/officeDocument/2006/relationships/hyperlink" Target="https://ec.europa.eu/transport/sites/transport/files/acceptability_of_discharges_of_scrubber_wash_water.pdf" TargetMode="External"/><Relationship Id="rId10" Type="http://schemas.openxmlformats.org/officeDocument/2006/relationships/hyperlink" Target="http://www.emsa.europa.eu/visits-to-member-states/reduction-sulphur-content-of-certain-liquid-fuels.html" TargetMode="External"/><Relationship Id="rId19" Type="http://schemas.openxmlformats.org/officeDocument/2006/relationships/hyperlink" Target="http://www.emsa.europa.eu/implementation-tasks/training-a-cooperation/training-for-candidates-a-potential-candidates.html" TargetMode="External"/><Relationship Id="rId4" Type="http://schemas.openxmlformats.org/officeDocument/2006/relationships/hyperlink" Target="http://www.dcmr.nl/nieuws/nieuwsberichten/2015/07/schonere-scheepvaart.html" TargetMode="External"/><Relationship Id="rId9" Type="http://schemas.openxmlformats.org/officeDocument/2006/relationships/hyperlink" Target="http://emsa.europa.eu/implementation-tasks/training-a-cooperation/trainings-for-member-states.html" TargetMode="External"/><Relationship Id="rId14" Type="http://schemas.openxmlformats.org/officeDocument/2006/relationships/hyperlink" Target="https://portal.emsa.europa.eu/web/thetis-eu/hom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F1D2-B925-4CA8-BFCC-6EC55314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7822</Words>
  <Characters>44121</Characters>
  <Application>Microsoft Office Word</Application>
  <DocSecurity>0</DocSecurity>
  <Lines>802</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2018-03-21T16:14:00Z</dcterms:created>
  <dcterms:modified xsi:type="dcterms:W3CDTF">2018-04-09T09:24:00Z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ies>
</file>