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4B" w:rsidRDefault="00854B2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15122D3-31FD-4232-A6F0-4AFF59DB1A61" style="width:450.75pt;height:333.75pt">
            <v:imagedata r:id="rId9" o:title=""/>
          </v:shape>
        </w:pict>
      </w:r>
    </w:p>
    <w:bookmarkEnd w:id="0"/>
    <w:p w:rsidR="00C4604B" w:rsidRDefault="00C4604B">
      <w:pPr>
        <w:pStyle w:val="Text"/>
        <w:rPr>
          <w:noProof/>
          <w:color w:val="auto"/>
        </w:rPr>
        <w:sectPr w:rsidR="00C4604B">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C4604B" w:rsidRDefault="00854B22">
      <w:pPr>
        <w:pStyle w:val="Heading1"/>
        <w:numPr>
          <w:ilvl w:val="0"/>
          <w:numId w:val="39"/>
        </w:numPr>
        <w:ind w:left="426" w:hanging="426"/>
        <w:jc w:val="both"/>
        <w:rPr>
          <w:rFonts w:ascii="Times New Roman" w:hAnsi="Times New Roman" w:cs="Times New Roman"/>
          <w:noProof/>
          <w:color w:val="auto"/>
        </w:rPr>
      </w:pPr>
      <w:r>
        <w:rPr>
          <w:rFonts w:ascii="Times New Roman" w:hAnsi="Times New Roman" w:cs="Times New Roman"/>
          <w:noProof/>
          <w:color w:val="auto"/>
        </w:rPr>
        <w:lastRenderedPageBreak/>
        <w:t xml:space="preserve">Reporting on compliance with the sulphur standards, </w:t>
      </w:r>
      <w:bookmarkStart w:id="1" w:name="_GoBack"/>
      <w:bookmarkEnd w:id="1"/>
      <w:r>
        <w:rPr>
          <w:rFonts w:ascii="Times New Roman" w:hAnsi="Times New Roman" w:cs="Times New Roman"/>
          <w:noProof/>
          <w:color w:val="auto"/>
        </w:rPr>
        <w:t xml:space="preserve">evaluating the need for further strengtening of the Directive's provisions and considering the potential for further reducing air pollution </w:t>
      </w:r>
    </w:p>
    <w:p w:rsidR="00C4604B" w:rsidRDefault="00C4604B">
      <w:pPr>
        <w:rPr>
          <w:noProof/>
        </w:rPr>
      </w:pPr>
    </w:p>
    <w:p w:rsidR="00C4604B" w:rsidRDefault="00854B22">
      <w:pPr>
        <w:jc w:val="both"/>
        <w:rPr>
          <w:rFonts w:eastAsia="Times New Roman"/>
          <w:noProof/>
          <w:bdr w:val="none" w:sz="0" w:space="0" w:color="auto"/>
        </w:rPr>
      </w:pPr>
      <w:r>
        <w:rPr>
          <w:noProof/>
        </w:rPr>
        <w:t>Council Directive 1999/32/EC relating to a reduction in the s</w:t>
      </w:r>
      <w:r>
        <w:rPr>
          <w:noProof/>
        </w:rPr>
        <w:t>ulphur content of certain liquid fuels</w:t>
      </w:r>
      <w:r>
        <w:rPr>
          <w:rFonts w:eastAsia="Times New Roman"/>
          <w:noProof/>
          <w:bdr w:val="none" w:sz="0" w:space="0" w:color="auto"/>
          <w:vertAlign w:val="superscript"/>
        </w:rPr>
        <w:footnoteReference w:id="2"/>
      </w:r>
      <w:r>
        <w:rPr>
          <w:noProof/>
        </w:rPr>
        <w:t xml:space="preserve"> has been substantially amended several times, lastly by</w:t>
      </w:r>
      <w:r>
        <w:rPr>
          <w:rFonts w:eastAsia="Times New Roman"/>
          <w:noProof/>
          <w:bdr w:val="none" w:sz="0" w:space="0" w:color="auto"/>
        </w:rPr>
        <w:t xml:space="preserve"> </w:t>
      </w:r>
      <w:r>
        <w:rPr>
          <w:noProof/>
        </w:rPr>
        <w:t>Directive 2012/33/EU</w:t>
      </w:r>
      <w:r>
        <w:rPr>
          <w:rFonts w:eastAsia="Times New Roman"/>
          <w:noProof/>
          <w:bdr w:val="none" w:sz="0" w:space="0" w:color="auto"/>
          <w:vertAlign w:val="superscript"/>
        </w:rPr>
        <w:t xml:space="preserve"> </w:t>
      </w:r>
      <w:r>
        <w:rPr>
          <w:rFonts w:eastAsia="Times New Roman"/>
          <w:noProof/>
          <w:bdr w:val="none" w:sz="0" w:space="0" w:color="auto"/>
        </w:rPr>
        <w:t>of 21 November 2012 as regards the sulphur content of marine fuels</w:t>
      </w:r>
      <w:r>
        <w:rPr>
          <w:rFonts w:eastAsia="Times New Roman"/>
          <w:noProof/>
          <w:bdr w:val="none" w:sz="0" w:space="0" w:color="auto"/>
          <w:vertAlign w:val="superscript"/>
        </w:rPr>
        <w:footnoteReference w:id="3"/>
      </w:r>
      <w:r>
        <w:rPr>
          <w:rFonts w:eastAsia="Times New Roman"/>
          <w:noProof/>
          <w:bdr w:val="none" w:sz="0" w:space="0" w:color="auto"/>
        </w:rPr>
        <w:t xml:space="preserve"> which</w:t>
      </w:r>
      <w:r>
        <w:rPr>
          <w:noProof/>
        </w:rPr>
        <w:t xml:space="preserve"> </w:t>
      </w:r>
      <w:r>
        <w:rPr>
          <w:rFonts w:eastAsia="Times New Roman"/>
          <w:noProof/>
          <w:bdr w:val="none" w:sz="0" w:space="0" w:color="auto"/>
        </w:rPr>
        <w:t>entered into force on 17 December 2012 and had to be transposed b</w:t>
      </w:r>
      <w:r>
        <w:rPr>
          <w:rFonts w:eastAsia="Times New Roman"/>
          <w:noProof/>
          <w:bdr w:val="none" w:sz="0" w:space="0" w:color="auto"/>
        </w:rPr>
        <w:t>y 18 June 2014. To preserve clarity and rationality following the different substantial amendments of Council Directive 1999/32/EC, it was codified as Directive (EU) 2016/802 of 11 May 2016 relating to a reduction in the sulphur content of certain liquid f</w:t>
      </w:r>
      <w:r>
        <w:rPr>
          <w:rFonts w:eastAsia="Times New Roman"/>
          <w:noProof/>
          <w:bdr w:val="none" w:sz="0" w:space="0" w:color="auto"/>
        </w:rPr>
        <w:t>uels</w:t>
      </w:r>
      <w:r>
        <w:rPr>
          <w:rFonts w:eastAsia="Times New Roman"/>
          <w:noProof/>
          <w:bdr w:val="none" w:sz="0" w:space="0" w:color="auto"/>
          <w:vertAlign w:val="superscript"/>
        </w:rPr>
        <w:footnoteReference w:id="4"/>
      </w:r>
      <w:r>
        <w:rPr>
          <w:rFonts w:eastAsia="Times New Roman"/>
          <w:noProof/>
          <w:bdr w:val="none" w:sz="0" w:space="0" w:color="auto"/>
        </w:rPr>
        <w:t xml:space="preserve"> (hereinafter “the Sulphur Directive”).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The Sulphur Directive’s principal aim is to reduce harmful health effects and environmental damage caused by sulphur dioxide (SO</w:t>
      </w:r>
      <w:r>
        <w:rPr>
          <w:rFonts w:eastAsia="Times New Roman"/>
          <w:noProof/>
          <w:bdr w:val="none" w:sz="0" w:space="0" w:color="auto"/>
          <w:vertAlign w:val="subscript"/>
        </w:rPr>
        <w:t>2</w:t>
      </w:r>
      <w:r>
        <w:rPr>
          <w:rFonts w:eastAsia="Times New Roman"/>
          <w:noProof/>
          <w:bdr w:val="none" w:sz="0" w:space="0" w:color="auto"/>
        </w:rPr>
        <w:t>) emissions resulting from the combustion of certain types of liquid fuels. Irre</w:t>
      </w:r>
      <w:r>
        <w:rPr>
          <w:rFonts w:eastAsia="Times New Roman"/>
          <w:noProof/>
          <w:bdr w:val="none" w:sz="0" w:space="0" w:color="auto"/>
        </w:rPr>
        <w:t>spective of Articles 3 and 4 which regulate the sulphur content of heavy fuel oil (HFO) and gas oils used in certain combustion plants on land, the Directive now mostly regulates the sulphur content of liquid fuels used by ships ('marine fuels').</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 xml:space="preserve">Article </w:t>
      </w:r>
      <w:r>
        <w:rPr>
          <w:rFonts w:eastAsia="Times New Roman"/>
          <w:noProof/>
          <w:bdr w:val="none" w:sz="0" w:space="0" w:color="auto"/>
        </w:rPr>
        <w:t>14(1) of Directive (EU) 2016/802 requires Member States to submit each year by 30 June a report to the Commission outlining compliance with the sulphur standards of the liquid fuels falling within the scope of the Directive on the basis of checks carried o</w:t>
      </w:r>
      <w:r>
        <w:rPr>
          <w:rFonts w:eastAsia="Times New Roman"/>
          <w:noProof/>
          <w:bdr w:val="none" w:sz="0" w:space="0" w:color="auto"/>
        </w:rPr>
        <w:t>ut in the preceding year. On the basis of these national reports and on the notifications regarding the non-availability of marine fuels, the Commission shall each year report on the implementation of the Directive. Article 14(1) furthermore requires the C</w:t>
      </w:r>
      <w:r>
        <w:rPr>
          <w:rFonts w:eastAsia="Times New Roman"/>
          <w:noProof/>
          <w:bdr w:val="none" w:sz="0" w:space="0" w:color="auto"/>
        </w:rPr>
        <w:t>ommission to evaluate the need for further strengthening of the relevant provisions of the Directive and to make any legislative proposals to that effect.</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 xml:space="preserve">The transposition deadline of Directive 2012/33/EU was 18 June 2014. Notwithstanding, the main </w:t>
      </w:r>
      <w:r>
        <w:rPr>
          <w:rFonts w:eastAsia="Times New Roman"/>
          <w:noProof/>
          <w:bdr w:val="none" w:sz="0" w:space="0" w:color="auto"/>
        </w:rPr>
        <w:t>change brought by Directive 2012/33/EU, namely the mandatory use of low sulphur marine fuels in the Baltic Sea and North Sea designated as Sulphur Oxides Emissions Control Areas (‘European SO</w:t>
      </w:r>
      <w:r>
        <w:rPr>
          <w:rFonts w:eastAsia="Times New Roman"/>
          <w:noProof/>
          <w:bdr w:val="none" w:sz="0" w:space="0" w:color="auto"/>
          <w:vertAlign w:val="subscript"/>
        </w:rPr>
        <w:t>x</w:t>
      </w:r>
      <w:r>
        <w:rPr>
          <w:rFonts w:eastAsia="Times New Roman"/>
          <w:noProof/>
          <w:bdr w:val="none" w:sz="0" w:space="0" w:color="auto"/>
        </w:rPr>
        <w:t>-ECAs’), took effect only on 1 January 2015. Consequently, the C</w:t>
      </w:r>
      <w:r>
        <w:rPr>
          <w:rFonts w:eastAsia="Times New Roman"/>
          <w:noProof/>
          <w:bdr w:val="none" w:sz="0" w:space="0" w:color="auto"/>
        </w:rPr>
        <w:t>ommission received Member States' first reporting on compliance with the new sulphur requirements in the European SO</w:t>
      </w:r>
      <w:r>
        <w:rPr>
          <w:rFonts w:eastAsia="Times New Roman"/>
          <w:noProof/>
          <w:bdr w:val="none" w:sz="0" w:space="0" w:color="auto"/>
          <w:vertAlign w:val="subscript"/>
        </w:rPr>
        <w:t>x</w:t>
      </w:r>
      <w:r>
        <w:rPr>
          <w:rFonts w:eastAsia="Times New Roman"/>
          <w:noProof/>
          <w:bdr w:val="none" w:sz="0" w:space="0" w:color="auto"/>
        </w:rPr>
        <w:t>-ECAs not earlier than 30 June 2016. However, considering that for their 2016 reporting not all Member States made use yet of the new repor</w:t>
      </w:r>
      <w:r>
        <w:rPr>
          <w:rFonts w:eastAsia="Times New Roman"/>
          <w:noProof/>
          <w:bdr w:val="none" w:sz="0" w:space="0" w:color="auto"/>
        </w:rPr>
        <w:t xml:space="preserve">ting tools and template, the EU-wide picture of the level of enforcement and compliance with the new sulphur standards was still somewhat convoluted in 2016. Thus, to present the European Parliament and Council a more stable and aggregated overview of the </w:t>
      </w:r>
      <w:r>
        <w:rPr>
          <w:rFonts w:eastAsia="Times New Roman"/>
          <w:noProof/>
          <w:bdr w:val="none" w:sz="0" w:space="0" w:color="auto"/>
        </w:rPr>
        <w:t>level of enforcement and compliance with the stricter sulphur standards for marine fuels since the entry-into-force of the low sulphur requirements in the European SO</w:t>
      </w:r>
      <w:r>
        <w:rPr>
          <w:rFonts w:eastAsia="Times New Roman"/>
          <w:noProof/>
          <w:bdr w:val="none" w:sz="0" w:space="0" w:color="auto"/>
          <w:vertAlign w:val="subscript"/>
        </w:rPr>
        <w:t>x</w:t>
      </w:r>
      <w:r>
        <w:rPr>
          <w:rFonts w:eastAsia="Times New Roman"/>
          <w:noProof/>
          <w:bdr w:val="none" w:sz="0" w:space="0" w:color="auto"/>
        </w:rPr>
        <w:t>-ECAs on 1 January 2015, the Commission decided to cover the years 2015 to 2017 jointly i</w:t>
      </w:r>
      <w:r>
        <w:rPr>
          <w:rFonts w:eastAsia="Times New Roman"/>
          <w:noProof/>
          <w:bdr w:val="none" w:sz="0" w:space="0" w:color="auto"/>
        </w:rPr>
        <w:t>n this single report.</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lastRenderedPageBreak/>
        <w:t xml:space="preserve">This report also provides an overview of the relevant EU support mechanisms put in place to support Member States and the European shipping industry with implementing, enforcing and complying with the amendments brought by Directive 2012/33/EU. It finally </w:t>
      </w:r>
      <w:r>
        <w:rPr>
          <w:rFonts w:eastAsia="Times New Roman"/>
          <w:noProof/>
          <w:bdr w:val="none" w:sz="0" w:space="0" w:color="auto"/>
        </w:rPr>
        <w:t xml:space="preserve">addresses technical assistance provided to neighbouring countries, international cooperation, and puts forward some suggestions for further strengthening some of the Directive's provisions. </w:t>
      </w:r>
    </w:p>
    <w:p w:rsidR="00C4604B" w:rsidRDefault="00C4604B">
      <w:pPr>
        <w:jc w:val="both"/>
        <w:rPr>
          <w:rFonts w:eastAsia="Times New Roman"/>
          <w:noProof/>
          <w:bdr w:val="none" w:sz="0" w:space="0" w:color="auto"/>
        </w:rPr>
      </w:pPr>
    </w:p>
    <w:p w:rsidR="00C4604B" w:rsidRDefault="00854B22">
      <w:pPr>
        <w:jc w:val="both"/>
        <w:rPr>
          <w:b/>
          <w:noProof/>
        </w:rPr>
      </w:pPr>
      <w:r>
        <w:rPr>
          <w:rFonts w:eastAsia="Times New Roman"/>
          <w:noProof/>
          <w:bdr w:val="none" w:sz="0" w:space="0" w:color="auto"/>
          <w:lang w:val="en-GB" w:eastAsia="en-GB"/>
        </w:rPr>
        <w:t xml:space="preserve">In accordance with Article 14(2) of Directive (EU) 2016/802, </w:t>
      </w:r>
      <w:r>
        <w:rPr>
          <w:noProof/>
          <w:lang w:eastAsia="en-GB"/>
        </w:rPr>
        <w:t>the</w:t>
      </w:r>
      <w:r>
        <w:rPr>
          <w:noProof/>
          <w:lang w:eastAsia="en-GB"/>
        </w:rPr>
        <w:t xml:space="preserve"> Commission already addressed the costs and benefits of potential additional Union action on reducing air emissions including from shipping in its ‘Clean Air Policy Package’</w:t>
      </w:r>
      <w:r>
        <w:rPr>
          <w:rStyle w:val="FootnoteReference"/>
          <w:noProof/>
          <w:lang w:eastAsia="en-GB"/>
        </w:rPr>
        <w:footnoteReference w:id="5"/>
      </w:r>
      <w:r>
        <w:rPr>
          <w:noProof/>
          <w:vertAlign w:val="superscript"/>
          <w:lang w:eastAsia="en-GB"/>
        </w:rPr>
        <w:t>,</w:t>
      </w:r>
      <w:r>
        <w:rPr>
          <w:rStyle w:val="FootnoteReference"/>
          <w:noProof/>
          <w:lang w:eastAsia="en-GB"/>
        </w:rPr>
        <w:footnoteReference w:id="6"/>
      </w:r>
      <w:r>
        <w:rPr>
          <w:noProof/>
          <w:lang w:eastAsia="en-GB"/>
        </w:rPr>
        <w:t xml:space="preserve"> of December 2013 which followed from an in-depth review of the EU's air quality</w:t>
      </w:r>
      <w:r>
        <w:rPr>
          <w:noProof/>
          <w:lang w:eastAsia="en-GB"/>
        </w:rPr>
        <w:t xml:space="preserve"> policies. Following this review, the Commission decided to not put forward a specific legislative proposal addressing ship emissions as part of its Clean Air Policy Package. Nonetheless, in its proposal for a Directive on the reduction of national </w:t>
      </w:r>
      <w:r>
        <w:rPr>
          <w:noProof/>
          <w:color w:val="000000"/>
        </w:rPr>
        <w:t>emissio</w:t>
      </w:r>
      <w:r>
        <w:rPr>
          <w:noProof/>
          <w:color w:val="000000"/>
        </w:rPr>
        <w:t>ns of certain atmospheric pollutants</w:t>
      </w:r>
      <w:r>
        <w:rPr>
          <w:rStyle w:val="FootnoteReference"/>
          <w:noProof/>
          <w:lang w:eastAsia="en-GB"/>
        </w:rPr>
        <w:footnoteReference w:id="7"/>
      </w:r>
      <w:r>
        <w:rPr>
          <w:noProof/>
          <w:lang w:eastAsia="en-GB"/>
        </w:rPr>
        <w:t xml:space="preserve"> the Commission included a provision (Article 5(1)) that would allow Member States to 'offset' their total national emission reduction obligations by the reduction of SO</w:t>
      </w:r>
      <w:r>
        <w:rPr>
          <w:noProof/>
          <w:vertAlign w:val="subscript"/>
          <w:lang w:eastAsia="en-GB"/>
        </w:rPr>
        <w:t>2</w:t>
      </w:r>
      <w:r>
        <w:rPr>
          <w:noProof/>
          <w:lang w:eastAsia="en-GB"/>
        </w:rPr>
        <w:t>, nitrogen oxides (NO</w:t>
      </w:r>
      <w:r>
        <w:rPr>
          <w:noProof/>
          <w:vertAlign w:val="subscript"/>
          <w:lang w:eastAsia="en-GB"/>
        </w:rPr>
        <w:t>x</w:t>
      </w:r>
      <w:r>
        <w:rPr>
          <w:noProof/>
          <w:lang w:eastAsia="en-GB"/>
        </w:rPr>
        <w:t>) and fine particulate matt</w:t>
      </w:r>
      <w:r>
        <w:rPr>
          <w:noProof/>
          <w:lang w:eastAsia="en-GB"/>
        </w:rPr>
        <w:t>er (PM</w:t>
      </w:r>
      <w:r>
        <w:rPr>
          <w:noProof/>
          <w:vertAlign w:val="subscript"/>
          <w:lang w:eastAsia="en-GB"/>
        </w:rPr>
        <w:t>2,5</w:t>
      </w:r>
      <w:r>
        <w:rPr>
          <w:noProof/>
          <w:lang w:eastAsia="en-GB"/>
        </w:rPr>
        <w:t>) emissions achieved through additional measures regulating air pollution from ships. However, this proposed flexibility, or any other provision addressing a reduction of ship emissions, was not included in Directive (EU) 2016/2284 on the reductio</w:t>
      </w:r>
      <w:r>
        <w:rPr>
          <w:noProof/>
          <w:lang w:eastAsia="en-GB"/>
        </w:rPr>
        <w:t>n of national emissions of certain atmospheric pollutants</w:t>
      </w:r>
      <w:r>
        <w:rPr>
          <w:rStyle w:val="FootnoteReference"/>
          <w:noProof/>
          <w:lang w:eastAsia="en-GB"/>
        </w:rPr>
        <w:footnoteReference w:id="8"/>
      </w:r>
      <w:r>
        <w:rPr>
          <w:noProof/>
          <w:color w:val="000000"/>
        </w:rPr>
        <w:t xml:space="preserve"> (the 'new NEC Directive’)</w:t>
      </w:r>
      <w:r>
        <w:rPr>
          <w:noProof/>
          <w:lang w:eastAsia="en-GB"/>
        </w:rPr>
        <w:t>.</w:t>
      </w:r>
      <w:r>
        <w:rPr>
          <w:b/>
          <w:noProof/>
        </w:rPr>
        <w:t xml:space="preserve"> </w:t>
      </w:r>
    </w:p>
    <w:p w:rsidR="00C4604B" w:rsidRDefault="00C4604B">
      <w:pPr>
        <w:jc w:val="both"/>
        <w:rPr>
          <w:b/>
          <w:noProof/>
        </w:rPr>
      </w:pPr>
    </w:p>
    <w:p w:rsidR="00C4604B" w:rsidRDefault="00854B22">
      <w:pPr>
        <w:jc w:val="both"/>
        <w:rPr>
          <w:noProof/>
          <w:lang w:eastAsia="en-GB"/>
        </w:rPr>
      </w:pPr>
      <w:r>
        <w:rPr>
          <w:noProof/>
          <w:lang w:eastAsia="en-GB"/>
        </w:rPr>
        <w:t>The Commission continues to assess progress in reducing emissions from ships, including emissions other than SO</w:t>
      </w:r>
      <w:r>
        <w:rPr>
          <w:noProof/>
          <w:vertAlign w:val="subscript"/>
          <w:lang w:eastAsia="en-GB"/>
        </w:rPr>
        <w:t>x</w:t>
      </w:r>
      <w:r>
        <w:rPr>
          <w:noProof/>
          <w:lang w:eastAsia="en-GB"/>
        </w:rPr>
        <w:t>, and the potential for further reduce emissions from th</w:t>
      </w:r>
      <w:r>
        <w:rPr>
          <w:noProof/>
          <w:lang w:eastAsia="en-GB"/>
        </w:rPr>
        <w:t xml:space="preserve">is sector. On-going initiatives in that regard are also briefly set out in this report.    </w:t>
      </w:r>
    </w:p>
    <w:p w:rsidR="00C4604B" w:rsidRDefault="00854B22">
      <w:pPr>
        <w:pStyle w:val="Heading1"/>
        <w:numPr>
          <w:ilvl w:val="0"/>
          <w:numId w:val="39"/>
        </w:numPr>
        <w:ind w:left="426" w:hanging="426"/>
        <w:jc w:val="both"/>
        <w:rPr>
          <w:rFonts w:ascii="Times New Roman" w:hAnsi="Times New Roman" w:cs="Times New Roman"/>
          <w:noProof/>
          <w:color w:val="auto"/>
        </w:rPr>
      </w:pPr>
      <w:r>
        <w:rPr>
          <w:rFonts w:ascii="Times New Roman" w:hAnsi="Times New Roman" w:cs="Times New Roman"/>
          <w:noProof/>
          <w:color w:val="auto"/>
        </w:rPr>
        <w:t>Main changes and effects brought by Directive 2012/33/EU</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In 2008, the International Maritime Organisation (IMO) adopted amendments to Annex VI to the International</w:t>
      </w:r>
      <w:r>
        <w:rPr>
          <w:rFonts w:eastAsia="Times New Roman"/>
          <w:noProof/>
          <w:bdr w:val="none" w:sz="0" w:space="0" w:color="auto"/>
        </w:rPr>
        <w:t xml:space="preserve"> Convention for the Prevention of Pollution from Ships (the ‘revised MARPOL Annex VI’) containing regulations for the prevention of air pollution from ships. The revised MARPOL Annex VI entered into force on 1 July 2010 and Article 1(6)(b) of Directive 201</w:t>
      </w:r>
      <w:r>
        <w:rPr>
          <w:rFonts w:eastAsia="Times New Roman"/>
          <w:noProof/>
          <w:bdr w:val="none" w:sz="0" w:space="0" w:color="auto"/>
        </w:rPr>
        <w:t>2/33/EU introduced one of the main changes of the revision, namely the mandatory use of marine fuels with a maximum 0,10% sulphur content in SO</w:t>
      </w:r>
      <w:r>
        <w:rPr>
          <w:rFonts w:eastAsia="Times New Roman"/>
          <w:noProof/>
          <w:bdr w:val="none" w:sz="0" w:space="0" w:color="auto"/>
          <w:vertAlign w:val="subscript"/>
        </w:rPr>
        <w:t>x</w:t>
      </w:r>
      <w:r>
        <w:rPr>
          <w:rFonts w:eastAsia="Times New Roman"/>
          <w:noProof/>
          <w:bdr w:val="none" w:sz="0" w:space="0" w:color="auto"/>
        </w:rPr>
        <w:t xml:space="preserve">-ECAs as of 1 January 2015,  into Union law (Article 6(2) of Directive (EU) 2016/802).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 xml:space="preserve">Similarly to the </w:t>
      </w:r>
      <w:r>
        <w:rPr>
          <w:rFonts w:eastAsia="Times New Roman"/>
          <w:noProof/>
          <w:bdr w:val="none" w:sz="0" w:space="0" w:color="auto"/>
        </w:rPr>
        <w:t>revised MARPOL Annex VI, Article 1(6)(c) of Directive 2012/33/EU also established the use of fuels with a maximum sulphur content of 0,50% in all other waters falling under the jurisdiction of a Member State (‘European waters’) outside the SO</w:t>
      </w:r>
      <w:r>
        <w:rPr>
          <w:rFonts w:eastAsia="Times New Roman"/>
          <w:noProof/>
          <w:bdr w:val="none" w:sz="0" w:space="0" w:color="auto"/>
          <w:vertAlign w:val="subscript"/>
        </w:rPr>
        <w:t>x</w:t>
      </w:r>
      <w:r>
        <w:rPr>
          <w:rFonts w:eastAsia="Times New Roman"/>
          <w:noProof/>
          <w:bdr w:val="none" w:sz="0" w:space="0" w:color="auto"/>
        </w:rPr>
        <w:t>-ECAs as from</w:t>
      </w:r>
      <w:r>
        <w:rPr>
          <w:rFonts w:eastAsia="Times New Roman"/>
          <w:noProof/>
          <w:bdr w:val="none" w:sz="0" w:space="0" w:color="auto"/>
        </w:rPr>
        <w:t xml:space="preserve"> 1 January 2020 (Article 6(1) of Directive (EU) 2016/802). However, contrary to the revised MARPOL Annex VI, the coming into effect of this requirement in the EU in 2020 </w:t>
      </w:r>
      <w:r>
        <w:rPr>
          <w:rFonts w:eastAsia="Times New Roman"/>
          <w:noProof/>
          <w:bdr w:val="none" w:sz="0" w:space="0" w:color="auto"/>
        </w:rPr>
        <w:lastRenderedPageBreak/>
        <w:t>was not subject to a later review of availability of compliant fuels, thus ensuring le</w:t>
      </w:r>
      <w:r>
        <w:rPr>
          <w:rFonts w:eastAsia="Times New Roman"/>
          <w:noProof/>
          <w:bdr w:val="none" w:sz="0" w:space="0" w:color="auto"/>
        </w:rPr>
        <w:t xml:space="preserve">gal certainty from the outset and leaving the industry sufficient time to prepare. </w:t>
      </w:r>
    </w:p>
    <w:p w:rsidR="00C4604B" w:rsidRDefault="00C4604B">
      <w:pPr>
        <w:jc w:val="both"/>
        <w:rPr>
          <w:rFonts w:eastAsia="Times New Roman"/>
          <w:noProof/>
          <w:bdr w:val="none" w:sz="0" w:space="0" w:color="auto"/>
        </w:rPr>
      </w:pPr>
    </w:p>
    <w:p w:rsidR="00C4604B" w:rsidRDefault="00854B22">
      <w:pPr>
        <w:jc w:val="both"/>
        <w:rPr>
          <w:noProof/>
          <w:lang w:val="en-GB"/>
        </w:rPr>
      </w:pPr>
      <w:r>
        <w:rPr>
          <w:rFonts w:eastAsia="Times New Roman"/>
          <w:noProof/>
          <w:bdr w:val="none" w:sz="0" w:space="0" w:color="auto"/>
        </w:rPr>
        <w:t xml:space="preserve">So far </w:t>
      </w:r>
      <w:r>
        <w:rPr>
          <w:noProof/>
          <w:lang w:val="en-GB"/>
        </w:rPr>
        <w:t>the mandatory use of marine fuels with a sulphur content of 0,10% in the European SO</w:t>
      </w:r>
      <w:r>
        <w:rPr>
          <w:noProof/>
          <w:vertAlign w:val="subscript"/>
          <w:lang w:val="en-GB"/>
        </w:rPr>
        <w:t>x</w:t>
      </w:r>
      <w:r>
        <w:rPr>
          <w:noProof/>
          <w:lang w:val="en-GB"/>
        </w:rPr>
        <w:t>-ECAs as from January 2015 has proven to effectively contribute to achieving th</w:t>
      </w:r>
      <w:r>
        <w:rPr>
          <w:noProof/>
          <w:lang w:val="en-GB"/>
        </w:rPr>
        <w:t>e Directive’s purpose of reducing harmful effects of sulphur dioxide emissions from ships on humans and the environment. Over 93% of the inspected ships in the SO</w:t>
      </w:r>
      <w:r>
        <w:rPr>
          <w:noProof/>
          <w:vertAlign w:val="subscript"/>
          <w:lang w:val="en-GB"/>
        </w:rPr>
        <w:t>x</w:t>
      </w:r>
      <w:r>
        <w:rPr>
          <w:noProof/>
          <w:lang w:val="en-GB"/>
        </w:rPr>
        <w:t xml:space="preserve">-ECAs respected the stricter sulphur concentrations which lead to a significant reduction of </w:t>
      </w:r>
      <w:r>
        <w:rPr>
          <w:noProof/>
          <w:lang w:val="en-GB"/>
        </w:rPr>
        <w:t>sulphur dioxides concentrations in ambient air in regions bordering the SO</w:t>
      </w:r>
      <w:r>
        <w:rPr>
          <w:noProof/>
          <w:vertAlign w:val="subscript"/>
          <w:lang w:val="en-GB"/>
        </w:rPr>
        <w:t>x</w:t>
      </w:r>
      <w:r>
        <w:rPr>
          <w:noProof/>
          <w:lang w:val="en-GB"/>
        </w:rPr>
        <w:t>-ECAs (e.g. up to 60% in Denmark</w:t>
      </w:r>
      <w:r>
        <w:rPr>
          <w:rStyle w:val="FootnoteReference"/>
          <w:noProof/>
          <w:lang w:val="en-GB"/>
        </w:rPr>
        <w:footnoteReference w:id="9"/>
      </w:r>
      <w:r>
        <w:rPr>
          <w:noProof/>
          <w:lang w:val="en-GB"/>
        </w:rPr>
        <w:t>, to 50% reduction at the German North Sea island 'Neuwerk'</w:t>
      </w:r>
      <w:r>
        <w:rPr>
          <w:rStyle w:val="FootnoteReference"/>
          <w:noProof/>
          <w:lang w:val="en-GB"/>
        </w:rPr>
        <w:footnoteReference w:id="10"/>
      </w:r>
      <w:r>
        <w:rPr>
          <w:noProof/>
          <w:lang w:val="en-GB"/>
        </w:rPr>
        <w:t xml:space="preserve"> and the Swedish islands of </w:t>
      </w:r>
      <w:r>
        <w:rPr>
          <w:noProof/>
          <w:color w:val="222222"/>
          <w:lang w:val="en"/>
        </w:rPr>
        <w:t xml:space="preserve">Öland (Ottenby) </w:t>
      </w:r>
      <w:r>
        <w:rPr>
          <w:noProof/>
          <w:lang w:val="en-GB"/>
        </w:rPr>
        <w:t>and Gotland (Hoburgen)</w:t>
      </w:r>
      <w:r>
        <w:rPr>
          <w:rStyle w:val="FootnoteReference"/>
          <w:noProof/>
          <w:lang w:val="en-GB"/>
        </w:rPr>
        <w:footnoteReference w:id="11"/>
      </w:r>
      <w:r>
        <w:rPr>
          <w:noProof/>
          <w:lang w:val="en-GB"/>
        </w:rPr>
        <w:t>, and over 20% reduct</w:t>
      </w:r>
      <w:r>
        <w:rPr>
          <w:noProof/>
          <w:lang w:val="en-GB"/>
        </w:rPr>
        <w:t>ion in the Rotterdam-Rijnmond region</w:t>
      </w:r>
      <w:r>
        <w:rPr>
          <w:rStyle w:val="FootnoteReference"/>
          <w:noProof/>
          <w:lang w:val="en-GB"/>
        </w:rPr>
        <w:footnoteReference w:id="12"/>
      </w:r>
      <w:r>
        <w:rPr>
          <w:noProof/>
          <w:lang w:val="en-GB"/>
        </w:rPr>
        <w:t xml:space="preserve">). </w:t>
      </w:r>
    </w:p>
    <w:p w:rsidR="00C4604B" w:rsidRDefault="00C4604B">
      <w:pPr>
        <w:jc w:val="both"/>
        <w:rPr>
          <w:noProof/>
          <w:lang w:val="en-GB"/>
        </w:rPr>
      </w:pPr>
    </w:p>
    <w:p w:rsidR="00C4604B" w:rsidRDefault="00854B22">
      <w:pPr>
        <w:jc w:val="both"/>
        <w:rPr>
          <w:noProof/>
          <w:lang w:val="en-GB"/>
        </w:rPr>
      </w:pPr>
      <w:r>
        <w:rPr>
          <w:noProof/>
          <w:lang w:val="en-GB"/>
        </w:rPr>
        <w:t>A reduction of SO</w:t>
      </w:r>
      <w:r>
        <w:rPr>
          <w:noProof/>
          <w:vertAlign w:val="subscript"/>
          <w:lang w:val="en-GB"/>
        </w:rPr>
        <w:t>2</w:t>
      </w:r>
      <w:r>
        <w:rPr>
          <w:noProof/>
          <w:lang w:val="en-GB"/>
        </w:rPr>
        <w:t xml:space="preserve"> concentrations in ambient air is also expected for all other coastal regions in the EU once the 0,50% maximum sulphur content requirement will take effect in 2020. However, it will still have to </w:t>
      </w:r>
      <w:r>
        <w:rPr>
          <w:noProof/>
          <w:lang w:val="en-GB"/>
        </w:rPr>
        <w:t xml:space="preserve">be determined whether the 0,50% sulphur limit will bring the same benefits as the 0,10% sulphur limit in the European SOx-ECAs allowing all EU citizens to benefit from an equal protection from air pollution from ships. </w:t>
      </w:r>
    </w:p>
    <w:p w:rsidR="00C4604B" w:rsidRDefault="00854B22">
      <w:pPr>
        <w:pStyle w:val="Heading1"/>
        <w:numPr>
          <w:ilvl w:val="0"/>
          <w:numId w:val="39"/>
        </w:numPr>
        <w:ind w:left="426" w:hanging="426"/>
        <w:jc w:val="both"/>
        <w:rPr>
          <w:rFonts w:ascii="Times New Roman" w:hAnsi="Times New Roman" w:cs="Times New Roman"/>
          <w:noProof/>
          <w:color w:val="auto"/>
        </w:rPr>
      </w:pPr>
      <w:r>
        <w:rPr>
          <w:rFonts w:ascii="Times New Roman" w:hAnsi="Times New Roman" w:cs="Times New Roman"/>
          <w:noProof/>
          <w:color w:val="auto"/>
        </w:rPr>
        <w:t>Union support to Member States and i</w:t>
      </w:r>
      <w:r>
        <w:rPr>
          <w:rFonts w:ascii="Times New Roman" w:hAnsi="Times New Roman" w:cs="Times New Roman"/>
          <w:noProof/>
          <w:color w:val="auto"/>
        </w:rPr>
        <w:t>ndustry to facilitate enforcement and compliance of the stricter sulphur standards</w:t>
      </w:r>
    </w:p>
    <w:p w:rsidR="00C4604B" w:rsidRDefault="00C4604B">
      <w:pPr>
        <w:pStyle w:val="Default"/>
        <w:jc w:val="both"/>
        <w:rPr>
          <w:rFonts w:ascii="Times New Roman" w:hAnsi="Times New Roman" w:cs="Times New Roman"/>
          <w:noProof/>
          <w:color w:val="auto"/>
        </w:rPr>
      </w:pPr>
    </w:p>
    <w:p w:rsidR="00C4604B" w:rsidRDefault="00854B22">
      <w:pPr>
        <w:pStyle w:val="Default"/>
        <w:jc w:val="both"/>
        <w:rPr>
          <w:rFonts w:ascii="Times New Roman" w:eastAsia="Times New Roman" w:hAnsi="Times New Roman" w:cs="Times New Roman"/>
          <w:noProof/>
          <w:color w:val="auto"/>
          <w:bdr w:val="none" w:sz="0" w:space="0" w:color="auto"/>
        </w:rPr>
      </w:pPr>
      <w:r>
        <w:rPr>
          <w:rFonts w:ascii="Times New Roman" w:eastAsia="Times New Roman" w:hAnsi="Times New Roman" w:cs="Times New Roman"/>
          <w:noProof/>
          <w:color w:val="auto"/>
          <w:bdr w:val="none" w:sz="0" w:space="0" w:color="auto"/>
        </w:rPr>
        <w:t>In the run-up to 1 January 2015, the price of marine fuels with a maximum of 0,10% sulphur (‘marine gas oil’ or ‘MGO’) was projected to be up to 65-80% higher than the pric</w:t>
      </w:r>
      <w:r>
        <w:rPr>
          <w:rFonts w:ascii="Times New Roman" w:eastAsia="Times New Roman" w:hAnsi="Times New Roman" w:cs="Times New Roman"/>
          <w:noProof/>
          <w:color w:val="auto"/>
          <w:bdr w:val="none" w:sz="0" w:space="0" w:color="auto"/>
        </w:rPr>
        <w:t>e of the HFO used in the SO</w:t>
      </w:r>
      <w:r>
        <w:rPr>
          <w:rFonts w:ascii="Times New Roman" w:eastAsia="Times New Roman" w:hAnsi="Times New Roman" w:cs="Times New Roman"/>
          <w:noProof/>
          <w:color w:val="auto"/>
          <w:bdr w:val="none" w:sz="0" w:space="0" w:color="auto"/>
          <w:vertAlign w:val="subscript"/>
        </w:rPr>
        <w:t>x</w:t>
      </w:r>
      <w:r>
        <w:rPr>
          <w:rFonts w:ascii="Times New Roman" w:eastAsia="Times New Roman" w:hAnsi="Times New Roman" w:cs="Times New Roman"/>
          <w:noProof/>
          <w:color w:val="auto"/>
          <w:bdr w:val="none" w:sz="0" w:space="0" w:color="auto"/>
        </w:rPr>
        <w:t>-ECAs until then.</w:t>
      </w:r>
      <w:r>
        <w:rPr>
          <w:rStyle w:val="FootnoteReference"/>
          <w:rFonts w:ascii="Times New Roman" w:eastAsia="Times New Roman" w:hAnsi="Times New Roman" w:cs="Times New Roman"/>
          <w:noProof/>
          <w:color w:val="auto"/>
          <w:bdr w:val="none" w:sz="0" w:space="0" w:color="auto"/>
        </w:rPr>
        <w:footnoteReference w:id="13"/>
      </w:r>
      <w:r>
        <w:rPr>
          <w:rFonts w:ascii="Times New Roman" w:eastAsia="Times New Roman" w:hAnsi="Times New Roman" w:cs="Times New Roman"/>
          <w:noProof/>
          <w:color w:val="auto"/>
          <w:bdr w:val="none" w:sz="0" w:space="0" w:color="auto"/>
        </w:rPr>
        <w:t xml:space="preserve"> Many ship owners and operators expected </w:t>
      </w:r>
      <w:r>
        <w:rPr>
          <w:rFonts w:ascii="Times New Roman" w:hAnsi="Times New Roman" w:cs="Times New Roman"/>
          <w:noProof/>
          <w:color w:val="auto"/>
        </w:rPr>
        <w:t xml:space="preserve">the coming into effect of the 0,10% sulphur content requirement </w:t>
      </w:r>
      <w:r>
        <w:rPr>
          <w:rFonts w:ascii="Times New Roman" w:eastAsia="Times New Roman" w:hAnsi="Times New Roman" w:cs="Times New Roman"/>
          <w:noProof/>
          <w:color w:val="auto"/>
          <w:bdr w:val="none" w:sz="0" w:space="0" w:color="auto"/>
        </w:rPr>
        <w:t xml:space="preserve">to lead to considerable economic impacts resulting from a significant increase in operating costs, </w:t>
      </w:r>
      <w:r>
        <w:rPr>
          <w:rFonts w:ascii="Times New Roman" w:eastAsia="Times New Roman" w:hAnsi="Times New Roman" w:cs="Times New Roman"/>
          <w:noProof/>
          <w:color w:val="auto"/>
          <w:bdr w:val="none" w:sz="0" w:space="0" w:color="auto"/>
        </w:rPr>
        <w:t>especially for ship owners with large parts of their activities in the European SO</w:t>
      </w:r>
      <w:r>
        <w:rPr>
          <w:rFonts w:ascii="Times New Roman" w:eastAsia="Times New Roman" w:hAnsi="Times New Roman" w:cs="Times New Roman"/>
          <w:noProof/>
          <w:color w:val="auto"/>
          <w:bdr w:val="none" w:sz="0" w:space="0" w:color="auto"/>
          <w:vertAlign w:val="subscript"/>
        </w:rPr>
        <w:t>x</w:t>
      </w:r>
      <w:r>
        <w:rPr>
          <w:rFonts w:ascii="Times New Roman" w:eastAsia="Times New Roman" w:hAnsi="Times New Roman" w:cs="Times New Roman"/>
          <w:noProof/>
          <w:color w:val="auto"/>
          <w:bdr w:val="none" w:sz="0" w:space="0" w:color="auto"/>
        </w:rPr>
        <w:t>-ECAs. The Commission put forward a number of accompanying measures and support mechanisms (further elaborated below) to support enforcement and compliance with the stricter</w:t>
      </w:r>
      <w:r>
        <w:rPr>
          <w:rFonts w:ascii="Times New Roman" w:eastAsia="Times New Roman" w:hAnsi="Times New Roman" w:cs="Times New Roman"/>
          <w:noProof/>
          <w:color w:val="auto"/>
          <w:bdr w:val="none" w:sz="0" w:space="0" w:color="auto"/>
        </w:rPr>
        <w:t xml:space="preserve"> sulphur standards and to minimise unwanted collateral effects.</w:t>
      </w:r>
    </w:p>
    <w:p w:rsidR="00C4604B" w:rsidRDefault="00854B22">
      <w:pPr>
        <w:pStyle w:val="Default"/>
        <w:jc w:val="both"/>
        <w:rPr>
          <w:rFonts w:ascii="Times New Roman" w:eastAsia="Times New Roman" w:hAnsi="Times New Roman" w:cs="Times New Roman"/>
          <w:noProof/>
          <w:color w:val="auto"/>
          <w:bdr w:val="none" w:sz="0" w:space="0" w:color="auto"/>
        </w:rPr>
      </w:pPr>
      <w:r>
        <w:rPr>
          <w:rFonts w:ascii="Times New Roman" w:eastAsia="Times New Roman" w:hAnsi="Times New Roman" w:cs="Times New Roman"/>
          <w:noProof/>
          <w:color w:val="auto"/>
          <w:bdr w:val="none" w:sz="0" w:space="0" w:color="auto"/>
        </w:rPr>
        <w:t xml:space="preserve"> </w:t>
      </w:r>
    </w:p>
    <w:p w:rsidR="00C4604B" w:rsidRDefault="00854B22">
      <w:pPr>
        <w:pStyle w:val="Default"/>
        <w:jc w:val="both"/>
        <w:rPr>
          <w:rFonts w:ascii="Times New Roman" w:eastAsia="Times New Roman" w:hAnsi="Times New Roman" w:cs="Times New Roman"/>
          <w:noProof/>
          <w:color w:val="auto"/>
          <w:bdr w:val="none" w:sz="0" w:space="0" w:color="auto"/>
        </w:rPr>
      </w:pPr>
      <w:r>
        <w:rPr>
          <w:rFonts w:ascii="Times New Roman" w:eastAsia="Times New Roman" w:hAnsi="Times New Roman" w:cs="Times New Roman"/>
          <w:noProof/>
          <w:color w:val="auto"/>
          <w:bdr w:val="none" w:sz="0" w:space="0" w:color="auto"/>
        </w:rPr>
        <w:t>Several subsequent studies</w:t>
      </w:r>
      <w:r>
        <w:rPr>
          <w:rStyle w:val="FootnoteReference"/>
          <w:rFonts w:ascii="Times New Roman" w:hAnsi="Times New Roman" w:cs="Times New Roman"/>
          <w:noProof/>
          <w:lang w:val="en-GB"/>
        </w:rPr>
        <w:footnoteReference w:id="14"/>
      </w:r>
      <w:r>
        <w:rPr>
          <w:rFonts w:ascii="Times New Roman" w:hAnsi="Times New Roman" w:cs="Times New Roman"/>
          <w:noProof/>
          <w:vertAlign w:val="superscript"/>
          <w:lang w:val="en-GB"/>
        </w:rPr>
        <w:t>,</w:t>
      </w:r>
      <w:r>
        <w:rPr>
          <w:rStyle w:val="FootnoteReference"/>
          <w:rFonts w:ascii="Times New Roman" w:hAnsi="Times New Roman" w:cs="Times New Roman"/>
          <w:noProof/>
          <w:lang w:val="en-GB"/>
        </w:rPr>
        <w:footnoteReference w:id="15"/>
      </w:r>
      <w:r>
        <w:rPr>
          <w:rFonts w:ascii="Times New Roman" w:hAnsi="Times New Roman" w:cs="Times New Roman"/>
          <w:noProof/>
          <w:vertAlign w:val="superscript"/>
          <w:lang w:val="en-GB"/>
        </w:rPr>
        <w:t>,</w:t>
      </w:r>
      <w:r>
        <w:rPr>
          <w:rStyle w:val="FootnoteReference"/>
          <w:rFonts w:ascii="Times New Roman" w:hAnsi="Times New Roman" w:cs="Times New Roman"/>
          <w:noProof/>
          <w:lang w:val="en-GB"/>
        </w:rPr>
        <w:footnoteReference w:id="16"/>
      </w:r>
      <w:r>
        <w:rPr>
          <w:rFonts w:ascii="Times New Roman" w:eastAsia="Times New Roman" w:hAnsi="Times New Roman" w:cs="Times New Roman"/>
          <w:noProof/>
          <w:color w:val="auto"/>
          <w:bdr w:val="none" w:sz="0" w:space="0" w:color="auto"/>
        </w:rPr>
        <w:t xml:space="preserve"> concluded, however, that the introduction of the low sulphur requirements in the European SOx-ECAs did not result in any loss of traffic or significant shifts</w:t>
      </w:r>
      <w:r>
        <w:rPr>
          <w:rFonts w:ascii="Times New Roman" w:eastAsia="Times New Roman" w:hAnsi="Times New Roman" w:cs="Times New Roman"/>
          <w:noProof/>
          <w:color w:val="auto"/>
          <w:bdr w:val="none" w:sz="0" w:space="0" w:color="auto"/>
        </w:rPr>
        <w:t xml:space="preserve"> towards road transport. No company or maritime service shutdowns, nor any decrease in cargo turnover in Northern European ports that can be directly linked to the SOx-ECA requirements were found, and no severe cases of unavailability of compliant fuels we</w:t>
      </w:r>
      <w:r>
        <w:rPr>
          <w:rFonts w:ascii="Times New Roman" w:eastAsia="Times New Roman" w:hAnsi="Times New Roman" w:cs="Times New Roman"/>
          <w:noProof/>
          <w:color w:val="auto"/>
          <w:bdr w:val="none" w:sz="0" w:space="0" w:color="auto"/>
        </w:rPr>
        <w:t>re reported. Whereas the drop of oil prices is considered as the main reason as to why no negative effects were observed from the low sulphur requirements in the SOx-ECAs, the EU's support for Member States and maritime stakeholders also contributed to kee</w:t>
      </w:r>
      <w:r>
        <w:rPr>
          <w:rFonts w:ascii="Times New Roman" w:eastAsia="Times New Roman" w:hAnsi="Times New Roman" w:cs="Times New Roman"/>
          <w:noProof/>
          <w:color w:val="auto"/>
          <w:bdr w:val="none" w:sz="0" w:space="0" w:color="auto"/>
        </w:rPr>
        <w:t xml:space="preserve">ping </w:t>
      </w:r>
      <w:r>
        <w:rPr>
          <w:rFonts w:ascii="Times New Roman" w:hAnsi="Times New Roman" w:cs="Times New Roman"/>
          <w:noProof/>
          <w:lang w:val="en-GB"/>
        </w:rPr>
        <w:t>the impact of the low sulphur requirements on the sector’s competitiveness and modal shares minimal.</w:t>
      </w:r>
    </w:p>
    <w:p w:rsidR="00C4604B" w:rsidRDefault="00C4604B">
      <w:pPr>
        <w:pStyle w:val="Default"/>
        <w:jc w:val="both"/>
        <w:rPr>
          <w:rFonts w:ascii="Times New Roman" w:eastAsia="Times New Roman" w:hAnsi="Times New Roman" w:cs="Times New Roman"/>
          <w:noProof/>
          <w:color w:val="auto"/>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The European Sustainable Shipping Forum</w:t>
      </w:r>
    </w:p>
    <w:p w:rsidR="00C4604B" w:rsidRDefault="00C4604B">
      <w:pPr>
        <w:pStyle w:val="Default"/>
        <w:ind w:left="426"/>
        <w:jc w:val="both"/>
        <w:rPr>
          <w:rFonts w:ascii="Times New Roman" w:eastAsia="Times New Roman" w:hAnsi="Times New Roman" w:cs="Times New Roman"/>
          <w:b/>
          <w:noProof/>
          <w:color w:val="auto"/>
          <w:bdr w:val="none" w:sz="0" w:space="0" w:color="auto"/>
        </w:rPr>
      </w:pPr>
    </w:p>
    <w:p w:rsidR="00C4604B" w:rsidRDefault="00854B22">
      <w:pPr>
        <w:pStyle w:val="Default"/>
        <w:jc w:val="both"/>
        <w:rPr>
          <w:rFonts w:ascii="Times New Roman" w:eastAsia="Times New Roman" w:hAnsi="Times New Roman" w:cs="Times New Roman"/>
          <w:noProof/>
          <w:color w:val="auto"/>
          <w:bdr w:val="none" w:sz="0" w:space="0" w:color="auto"/>
        </w:rPr>
      </w:pPr>
      <w:r>
        <w:rPr>
          <w:rFonts w:ascii="Times New Roman" w:eastAsia="Times New Roman" w:hAnsi="Times New Roman" w:cs="Times New Roman"/>
          <w:noProof/>
          <w:color w:val="auto"/>
          <w:bdr w:val="none" w:sz="0" w:space="0" w:color="auto"/>
        </w:rPr>
        <w:t>In follow-up to the 'Sustainable Waterborne Transport Toolbox' of September 2011</w:t>
      </w:r>
      <w:r>
        <w:rPr>
          <w:rStyle w:val="FootnoteReference"/>
          <w:rFonts w:ascii="Times New Roman" w:eastAsia="Times New Roman" w:hAnsi="Times New Roman" w:cs="Times New Roman"/>
          <w:noProof/>
          <w:color w:val="auto"/>
          <w:bdr w:val="none" w:sz="0" w:space="0" w:color="auto"/>
        </w:rPr>
        <w:footnoteReference w:id="17"/>
      </w:r>
      <w:r>
        <w:rPr>
          <w:rFonts w:ascii="Times New Roman" w:eastAsia="Times New Roman" w:hAnsi="Times New Roman" w:cs="Times New Roman"/>
          <w:noProof/>
          <w:color w:val="auto"/>
          <w:bdr w:val="none" w:sz="0" w:space="0" w:color="auto"/>
        </w:rPr>
        <w:t xml:space="preserve">, the Commission set up in </w:t>
      </w:r>
      <w:r>
        <w:rPr>
          <w:rFonts w:ascii="Times New Roman" w:eastAsia="Times New Roman" w:hAnsi="Times New Roman" w:cs="Times New Roman"/>
          <w:noProof/>
          <w:color w:val="auto"/>
          <w:bdr w:val="none" w:sz="0" w:space="0" w:color="auto"/>
        </w:rPr>
        <w:t>2013 the ESSF</w:t>
      </w:r>
      <w:r>
        <w:rPr>
          <w:rStyle w:val="FootnoteReference"/>
          <w:rFonts w:ascii="Times New Roman" w:eastAsia="Times New Roman" w:hAnsi="Times New Roman" w:cs="Times New Roman"/>
          <w:noProof/>
          <w:color w:val="auto"/>
          <w:bdr w:val="none" w:sz="0" w:space="0" w:color="auto"/>
        </w:rPr>
        <w:footnoteReference w:id="18"/>
      </w:r>
      <w:r>
        <w:rPr>
          <w:rFonts w:ascii="Times New Roman" w:eastAsia="Times New Roman" w:hAnsi="Times New Roman" w:cs="Times New Roman"/>
          <w:noProof/>
          <w:color w:val="auto"/>
          <w:bdr w:val="none" w:sz="0" w:space="0" w:color="auto"/>
        </w:rPr>
        <w:t xml:space="preserve"> as a special forum facilitating a structured dialogue and cooperation among different Commission services, Member States and maritime stakeholders to better address environmental sustainability challenges confronting the EU maritime transpor</w:t>
      </w:r>
      <w:r>
        <w:rPr>
          <w:rFonts w:ascii="Times New Roman" w:eastAsia="Times New Roman" w:hAnsi="Times New Roman" w:cs="Times New Roman"/>
          <w:noProof/>
          <w:color w:val="auto"/>
          <w:bdr w:val="none" w:sz="0" w:space="0" w:color="auto"/>
        </w:rPr>
        <w:t xml:space="preserve">t sector. Besides technical matters related to the various low sulphur compliance options, the ESSF also addresses the competitiveness of the EU’s shipping sector and new ways of financing sustainable maritime transport. </w:t>
      </w:r>
    </w:p>
    <w:p w:rsidR="00C4604B" w:rsidRDefault="00C4604B">
      <w:pPr>
        <w:pStyle w:val="Default"/>
        <w:jc w:val="both"/>
        <w:rPr>
          <w:rFonts w:ascii="Times New Roman" w:eastAsia="Times New Roman" w:hAnsi="Times New Roman" w:cs="Times New Roman"/>
          <w:noProof/>
          <w:color w:val="auto"/>
          <w:bdr w:val="none" w:sz="0" w:space="0" w:color="auto"/>
        </w:rPr>
      </w:pPr>
    </w:p>
    <w:p w:rsidR="00C4604B" w:rsidRDefault="00854B22">
      <w:pPr>
        <w:pStyle w:val="Default"/>
        <w:jc w:val="both"/>
        <w:rPr>
          <w:rFonts w:ascii="Times New Roman" w:eastAsia="Times New Roman" w:hAnsi="Times New Roman" w:cs="Times New Roman"/>
          <w:noProof/>
          <w:color w:val="auto"/>
          <w:bdr w:val="none" w:sz="0" w:space="0" w:color="auto"/>
        </w:rPr>
      </w:pPr>
      <w:r>
        <w:rPr>
          <w:rFonts w:ascii="Times New Roman" w:eastAsia="Times New Roman" w:hAnsi="Times New Roman" w:cs="Times New Roman"/>
          <w:noProof/>
          <w:color w:val="auto"/>
          <w:bdr w:val="none" w:sz="0" w:space="0" w:color="auto"/>
        </w:rPr>
        <w:t>The ESSF consists of a plenary an</w:t>
      </w:r>
      <w:r>
        <w:rPr>
          <w:rFonts w:ascii="Times New Roman" w:eastAsia="Times New Roman" w:hAnsi="Times New Roman" w:cs="Times New Roman"/>
          <w:noProof/>
          <w:color w:val="auto"/>
          <w:bdr w:val="none" w:sz="0" w:space="0" w:color="auto"/>
        </w:rPr>
        <w:t>d technical expert groups (the ‘sub-groups’) and is chaired by the Commission while the European Maritime Safety Agency (EMSA) acts as technical secretariat. The ESSF currently comprises four specialized sub-groups</w:t>
      </w:r>
      <w:r>
        <w:rPr>
          <w:rStyle w:val="FootnoteReference"/>
          <w:rFonts w:ascii="Times New Roman" w:eastAsia="Times New Roman" w:hAnsi="Times New Roman" w:cs="Times New Roman"/>
          <w:noProof/>
          <w:color w:val="auto"/>
          <w:bdr w:val="none" w:sz="0" w:space="0" w:color="auto"/>
        </w:rPr>
        <w:footnoteReference w:id="19"/>
      </w:r>
      <w:r>
        <w:rPr>
          <w:rFonts w:ascii="Times New Roman" w:eastAsia="Times New Roman" w:hAnsi="Times New Roman" w:cs="Times New Roman"/>
          <w:noProof/>
          <w:color w:val="auto"/>
          <w:bdr w:val="none" w:sz="0" w:space="0" w:color="auto"/>
        </w:rPr>
        <w:t>, each consisting of Member State experts</w:t>
      </w:r>
      <w:r>
        <w:rPr>
          <w:rFonts w:ascii="Times New Roman" w:eastAsia="Times New Roman" w:hAnsi="Times New Roman" w:cs="Times New Roman"/>
          <w:noProof/>
          <w:color w:val="auto"/>
          <w:bdr w:val="none" w:sz="0" w:space="0" w:color="auto"/>
        </w:rPr>
        <w:t xml:space="preserve"> and stakeholders, and are co-chaired by the Commission, Member State and/or stakeholders representatives. The sub-group on the ‘Implementation of the Sulphur Directive’, later replaced by the sub-group on ‘Air Emissions from Ships’, had a central role in </w:t>
      </w:r>
      <w:r>
        <w:rPr>
          <w:rFonts w:ascii="Times New Roman" w:eastAsia="Times New Roman" w:hAnsi="Times New Roman" w:cs="Times New Roman"/>
          <w:noProof/>
          <w:color w:val="auto"/>
          <w:bdr w:val="none" w:sz="0" w:space="0" w:color="auto"/>
        </w:rPr>
        <w:t>supporting preparations for the taking effect of the 0,10% sulphur requirement in the European SO</w:t>
      </w:r>
      <w:r>
        <w:rPr>
          <w:rFonts w:ascii="Times New Roman" w:eastAsia="Times New Roman" w:hAnsi="Times New Roman" w:cs="Times New Roman"/>
          <w:noProof/>
          <w:color w:val="auto"/>
          <w:bdr w:val="none" w:sz="0" w:space="0" w:color="auto"/>
          <w:vertAlign w:val="subscript"/>
        </w:rPr>
        <w:t>x</w:t>
      </w:r>
      <w:r>
        <w:rPr>
          <w:rFonts w:ascii="Times New Roman" w:eastAsia="Times New Roman" w:hAnsi="Times New Roman" w:cs="Times New Roman"/>
          <w:noProof/>
          <w:color w:val="auto"/>
          <w:bdr w:val="none" w:sz="0" w:space="0" w:color="auto"/>
        </w:rPr>
        <w:t>-ECAs, and is currently supporting the preparations for the implementation of the 0,50% sulphur content requirement</w:t>
      </w:r>
      <w:r>
        <w:rPr>
          <w:rStyle w:val="FootnoteReference"/>
          <w:rFonts w:ascii="Times New Roman" w:eastAsia="Times New Roman" w:hAnsi="Times New Roman" w:cs="Times New Roman"/>
          <w:noProof/>
          <w:color w:val="auto"/>
          <w:bdr w:val="none" w:sz="0" w:space="0" w:color="auto"/>
        </w:rPr>
        <w:footnoteReference w:id="20"/>
      </w:r>
      <w:r>
        <w:rPr>
          <w:rFonts w:ascii="Times New Roman" w:eastAsia="Times New Roman" w:hAnsi="Times New Roman" w:cs="Times New Roman"/>
          <w:noProof/>
          <w:color w:val="auto"/>
          <w:bdr w:val="none" w:sz="0" w:space="0" w:color="auto"/>
        </w:rPr>
        <w:t>.  The scope of the ESSF is not limited to</w:t>
      </w:r>
      <w:r>
        <w:rPr>
          <w:rFonts w:ascii="Times New Roman" w:eastAsia="Times New Roman" w:hAnsi="Times New Roman" w:cs="Times New Roman"/>
          <w:noProof/>
          <w:color w:val="auto"/>
          <w:bdr w:val="none" w:sz="0" w:space="0" w:color="auto"/>
        </w:rPr>
        <w:t xml:space="preserve"> the implementation of the Sulphur Directive, and the Forum has also addressed greenhouse gas emissions from ships and ship-generated waste</w:t>
      </w:r>
      <w:r>
        <w:rPr>
          <w:rStyle w:val="FootnoteReference"/>
          <w:rFonts w:ascii="Times New Roman" w:eastAsia="Times New Roman" w:hAnsi="Times New Roman" w:cs="Times New Roman"/>
          <w:noProof/>
          <w:color w:val="auto"/>
          <w:bdr w:val="none" w:sz="0" w:space="0" w:color="auto"/>
        </w:rPr>
        <w:footnoteReference w:id="21"/>
      </w:r>
      <w:r>
        <w:rPr>
          <w:rFonts w:ascii="Times New Roman" w:eastAsia="Times New Roman" w:hAnsi="Times New Roman" w:cs="Times New Roman"/>
          <w:noProof/>
          <w:color w:val="auto"/>
          <w:bdr w:val="none" w:sz="0" w:space="0" w:color="auto"/>
        </w:rPr>
        <w:t>.</w:t>
      </w:r>
    </w:p>
    <w:p w:rsidR="00C4604B" w:rsidRDefault="00C4604B">
      <w:pPr>
        <w:pStyle w:val="Default"/>
        <w:jc w:val="both"/>
        <w:rPr>
          <w:rFonts w:ascii="Times New Roman" w:eastAsia="Times New Roman" w:hAnsi="Times New Roman" w:cs="Times New Roman"/>
          <w:noProof/>
          <w:color w:val="auto"/>
          <w:bdr w:val="none" w:sz="0" w:space="0" w:color="auto"/>
        </w:rPr>
      </w:pPr>
    </w:p>
    <w:p w:rsidR="00C4604B" w:rsidRDefault="00854B22">
      <w:pPr>
        <w:pStyle w:val="Default"/>
        <w:jc w:val="both"/>
        <w:rPr>
          <w:rFonts w:ascii="Times New Roman" w:eastAsia="Times New Roman" w:hAnsi="Times New Roman" w:cs="Times New Roman"/>
          <w:noProof/>
          <w:color w:val="auto"/>
          <w:bdr w:val="none" w:sz="0" w:space="0" w:color="auto"/>
        </w:rPr>
      </w:pPr>
      <w:r>
        <w:rPr>
          <w:rFonts w:ascii="Times New Roman" w:eastAsia="Times New Roman" w:hAnsi="Times New Roman" w:cs="Times New Roman"/>
          <w:noProof/>
          <w:color w:val="auto"/>
          <w:bdr w:val="none" w:sz="0" w:space="0" w:color="auto"/>
        </w:rPr>
        <w:t>The ESSF provides concrete and tailor-made support to Member States and industry in the respective areas of the s</w:t>
      </w:r>
      <w:r>
        <w:rPr>
          <w:rFonts w:ascii="Times New Roman" w:eastAsia="Times New Roman" w:hAnsi="Times New Roman" w:cs="Times New Roman"/>
          <w:noProof/>
          <w:color w:val="auto"/>
          <w:bdr w:val="none" w:sz="0" w:space="0" w:color="auto"/>
        </w:rPr>
        <w:t>ub-groups. Its work facilitated the drawing-up of Commission and EMSA guidance documents, Commission implementing and delegated acts, (EU) submissions to the IMO and the review of Union legislative acts</w:t>
      </w:r>
      <w:r>
        <w:rPr>
          <w:rStyle w:val="FootnoteReference"/>
          <w:rFonts w:ascii="Times New Roman" w:eastAsia="Times New Roman" w:hAnsi="Times New Roman" w:cs="Times New Roman"/>
          <w:noProof/>
          <w:color w:val="auto"/>
          <w:bdr w:val="none" w:sz="0" w:space="0" w:color="auto"/>
        </w:rPr>
        <w:footnoteReference w:id="22"/>
      </w:r>
      <w:r>
        <w:rPr>
          <w:rFonts w:ascii="Times New Roman" w:eastAsia="Times New Roman" w:hAnsi="Times New Roman" w:cs="Times New Roman"/>
          <w:noProof/>
          <w:color w:val="auto"/>
          <w:bdr w:val="none" w:sz="0" w:space="0" w:color="auto"/>
        </w:rPr>
        <w:t>. The ESSF reflects the productive cooperation betwee</w:t>
      </w:r>
      <w:r>
        <w:rPr>
          <w:rFonts w:ascii="Times New Roman" w:eastAsia="Times New Roman" w:hAnsi="Times New Roman" w:cs="Times New Roman"/>
          <w:noProof/>
          <w:color w:val="auto"/>
          <w:bdr w:val="none" w:sz="0" w:space="0" w:color="auto"/>
        </w:rPr>
        <w:t>n Commission services, national experts and stakeholders aimed at reinforcing a sustainable and competitive EU shipping sector. In view of its success, the ESSF’s mandate was extended until 30 June 2018</w:t>
      </w:r>
      <w:r>
        <w:rPr>
          <w:rStyle w:val="FootnoteReference"/>
          <w:rFonts w:ascii="Times New Roman" w:eastAsia="Times New Roman" w:hAnsi="Times New Roman" w:cs="Times New Roman"/>
          <w:noProof/>
          <w:color w:val="auto"/>
          <w:bdr w:val="none" w:sz="0" w:space="0" w:color="auto"/>
        </w:rPr>
        <w:footnoteReference w:id="23"/>
      </w:r>
      <w:r>
        <w:rPr>
          <w:rFonts w:ascii="Times New Roman" w:eastAsia="Times New Roman" w:hAnsi="Times New Roman" w:cs="Times New Roman"/>
          <w:noProof/>
          <w:color w:val="auto"/>
          <w:bdr w:val="none" w:sz="0" w:space="0" w:color="auto"/>
        </w:rPr>
        <w:t xml:space="preserve"> and the last ESSF Plenary meeting of 16 October 2017</w:t>
      </w:r>
      <w:r>
        <w:rPr>
          <w:rFonts w:ascii="Times New Roman" w:eastAsia="Times New Roman" w:hAnsi="Times New Roman" w:cs="Times New Roman"/>
          <w:noProof/>
          <w:color w:val="auto"/>
          <w:bdr w:val="none" w:sz="0" w:space="0" w:color="auto"/>
        </w:rPr>
        <w:t xml:space="preserve"> recommended a further extension.</w:t>
      </w:r>
    </w:p>
    <w:p w:rsidR="00C4604B" w:rsidRDefault="00C4604B">
      <w:pPr>
        <w:pStyle w:val="Default"/>
        <w:jc w:val="both"/>
        <w:rPr>
          <w:rFonts w:ascii="Times New Roman" w:eastAsia="Times New Roman" w:hAnsi="Times New Roman" w:cs="Times New Roman"/>
          <w:noProof/>
          <w:color w:val="auto"/>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EU financial support for the uptake of clean ship technologies</w:t>
      </w:r>
    </w:p>
    <w:p w:rsidR="00C4604B" w:rsidRDefault="00C4604B">
      <w:pPr>
        <w:pStyle w:val="Default"/>
        <w:jc w:val="both"/>
        <w:rPr>
          <w:rFonts w:ascii="Times New Roman" w:eastAsia="Times New Roman" w:hAnsi="Times New Roman" w:cs="Times New Roman"/>
          <w:noProof/>
          <w:bdr w:val="none" w:sz="0" w:space="0" w:color="auto"/>
        </w:rPr>
      </w:pPr>
    </w:p>
    <w:p w:rsidR="00C4604B" w:rsidRDefault="00854B22">
      <w:pPr>
        <w:pStyle w:val="Default"/>
        <w:jc w:val="both"/>
        <w:rPr>
          <w:rFonts w:ascii="Times New Roman" w:hAnsi="Times New Roman" w:cs="Times New Roman"/>
          <w:noProof/>
        </w:rPr>
      </w:pPr>
      <w:r>
        <w:rPr>
          <w:rFonts w:ascii="Times New Roman" w:hAnsi="Times New Roman" w:cs="Times New Roman"/>
          <w:noProof/>
        </w:rPr>
        <w:t xml:space="preserve">The Commission actively supports increasing the sustainability of maritime transport in the EU through a wide-range of financial instruments aimed at research, development and deployment projects of innovative technologies or clean fuels. </w:t>
      </w:r>
    </w:p>
    <w:p w:rsidR="00C4604B" w:rsidRDefault="00C4604B">
      <w:pPr>
        <w:pStyle w:val="Default"/>
        <w:jc w:val="both"/>
        <w:rPr>
          <w:rFonts w:ascii="Times New Roman" w:hAnsi="Times New Roman" w:cs="Times New Roman"/>
          <w:noProof/>
        </w:rPr>
      </w:pPr>
    </w:p>
    <w:p w:rsidR="00C4604B" w:rsidRDefault="00854B22">
      <w:pPr>
        <w:pStyle w:val="Default"/>
        <w:jc w:val="both"/>
        <w:rPr>
          <w:rFonts w:ascii="Times New Roman" w:hAnsi="Times New Roman" w:cs="Times New Roman"/>
          <w:noProof/>
        </w:rPr>
      </w:pPr>
      <w:r>
        <w:rPr>
          <w:rFonts w:ascii="Times New Roman" w:hAnsi="Times New Roman" w:cs="Times New Roman"/>
          <w:noProof/>
        </w:rPr>
        <w:t>The 'Horizon 20</w:t>
      </w:r>
      <w:r>
        <w:rPr>
          <w:rFonts w:ascii="Times New Roman" w:hAnsi="Times New Roman" w:cs="Times New Roman"/>
          <w:noProof/>
        </w:rPr>
        <w:t>20' programme</w:t>
      </w:r>
      <w:r>
        <w:rPr>
          <w:rStyle w:val="FootnoteReference"/>
          <w:rFonts w:ascii="Times New Roman" w:hAnsi="Times New Roman" w:cs="Times New Roman"/>
          <w:noProof/>
        </w:rPr>
        <w:footnoteReference w:id="24"/>
      </w:r>
      <w:r>
        <w:rPr>
          <w:rFonts w:ascii="Times New Roman" w:hAnsi="Times New Roman" w:cs="Times New Roman"/>
          <w:noProof/>
        </w:rPr>
        <w:t xml:space="preserve"> co-finances Research and Innovation (R&amp;I) projects that aim at technology improvements in support of sustainable shipping (e.g. exhaust treatment systems, clean and efficient engines, new technologies such as fuel cells, electrification and </w:t>
      </w:r>
      <w:r>
        <w:rPr>
          <w:rFonts w:ascii="Times New Roman" w:hAnsi="Times New Roman" w:cs="Times New Roman"/>
          <w:noProof/>
        </w:rPr>
        <w:t xml:space="preserve">renewable propulsion power (e.g. wind), improved hydrodynamics) and preparing the EU's shipping industry to meet Union and international environmental obligations and objectives. </w:t>
      </w:r>
    </w:p>
    <w:p w:rsidR="00C4604B" w:rsidRDefault="00C4604B">
      <w:pPr>
        <w:pStyle w:val="Default"/>
        <w:jc w:val="both"/>
        <w:rPr>
          <w:rFonts w:ascii="Times New Roman" w:hAnsi="Times New Roman" w:cs="Times New Roman"/>
          <w:noProof/>
        </w:rPr>
      </w:pPr>
    </w:p>
    <w:p w:rsidR="00C4604B" w:rsidRDefault="00854B22">
      <w:pPr>
        <w:pStyle w:val="Default"/>
        <w:jc w:val="both"/>
        <w:rPr>
          <w:rFonts w:ascii="Times New Roman" w:hAnsi="Times New Roman" w:cs="Times New Roman"/>
          <w:noProof/>
        </w:rPr>
      </w:pPr>
      <w:r>
        <w:rPr>
          <w:rFonts w:ascii="Times New Roman" w:hAnsi="Times New Roman" w:cs="Times New Roman"/>
          <w:noProof/>
        </w:rPr>
        <w:t>The Connecting Europe Facility (CEF) supports the promotion of green shippi</w:t>
      </w:r>
      <w:r>
        <w:rPr>
          <w:rFonts w:ascii="Times New Roman" w:hAnsi="Times New Roman" w:cs="Times New Roman"/>
          <w:noProof/>
        </w:rPr>
        <w:t>ng through funding of ‘green’ infrastructure and on-board equipment. For the years 2014 and 2015 alone, the CEF (</w:t>
      </w:r>
      <w:r>
        <w:rPr>
          <w:rFonts w:ascii="Times New Roman" w:hAnsi="Times New Roman" w:cs="Times New Roman"/>
          <w:noProof/>
          <w:lang w:val="en-GB"/>
        </w:rPr>
        <w:t>including the 'Motorways of the Seas' programme</w:t>
      </w:r>
      <w:r>
        <w:rPr>
          <w:rStyle w:val="FootnoteReference"/>
          <w:rFonts w:ascii="Times New Roman" w:hAnsi="Times New Roman" w:cs="Times New Roman"/>
          <w:noProof/>
          <w:lang w:val="en-GB"/>
        </w:rPr>
        <w:footnoteReference w:id="25"/>
      </w:r>
      <w:r>
        <w:rPr>
          <w:rFonts w:ascii="Times New Roman" w:hAnsi="Times New Roman" w:cs="Times New Roman"/>
          <w:noProof/>
          <w:lang w:val="en-GB"/>
        </w:rPr>
        <w:t>) allocated over €185M to studies, pilot actions and infrastructure projects.</w:t>
      </w:r>
      <w:r>
        <w:rPr>
          <w:rStyle w:val="FootnoteReference"/>
          <w:rFonts w:ascii="Times New Roman" w:hAnsi="Times New Roman" w:cs="Times New Roman"/>
          <w:noProof/>
          <w:lang w:val="en-GB"/>
        </w:rPr>
        <w:footnoteReference w:id="26"/>
      </w:r>
    </w:p>
    <w:p w:rsidR="00C4604B" w:rsidRDefault="00C4604B">
      <w:pPr>
        <w:pStyle w:val="Default"/>
        <w:jc w:val="both"/>
        <w:rPr>
          <w:rFonts w:ascii="Times New Roman" w:hAnsi="Times New Roman" w:cs="Times New Roman"/>
          <w:noProof/>
        </w:rPr>
      </w:pPr>
    </w:p>
    <w:p w:rsidR="00C4604B" w:rsidRDefault="00854B22">
      <w:pPr>
        <w:pStyle w:val="Default"/>
        <w:jc w:val="both"/>
        <w:rPr>
          <w:rFonts w:ascii="Times New Roman" w:eastAsia="Times New Roman" w:hAnsi="Times New Roman" w:cs="Times New Roman"/>
          <w:noProof/>
          <w:bdr w:val="none" w:sz="0" w:space="0" w:color="auto"/>
        </w:rPr>
      </w:pPr>
      <w:r>
        <w:rPr>
          <w:rFonts w:ascii="Times New Roman" w:eastAsia="Times New Roman" w:hAnsi="Times New Roman" w:cs="Times New Roman"/>
          <w:noProof/>
          <w:bdr w:val="none" w:sz="0" w:space="0" w:color="auto"/>
        </w:rPr>
        <w:t>T</w:t>
      </w:r>
      <w:r>
        <w:rPr>
          <w:rFonts w:ascii="Times New Roman" w:eastAsia="Times New Roman" w:hAnsi="Times New Roman" w:cs="Times New Roman"/>
          <w:noProof/>
          <w:bdr w:val="none" w:sz="0" w:space="0" w:color="auto"/>
          <w:lang w:val="en-GB"/>
        </w:rPr>
        <w:t xml:space="preserve">o address the </w:t>
      </w:r>
      <w:r>
        <w:rPr>
          <w:rFonts w:ascii="Times New Roman" w:eastAsia="Times New Roman" w:hAnsi="Times New Roman" w:cs="Times New Roman"/>
          <w:noProof/>
          <w:bdr w:val="none" w:sz="0" w:space="0" w:color="auto"/>
          <w:lang w:val="en-GB"/>
        </w:rPr>
        <w:t xml:space="preserve">European shipping sector's challenge to </w:t>
      </w:r>
      <w:r>
        <w:rPr>
          <w:rFonts w:ascii="Times New Roman" w:hAnsi="Times New Roman" w:cs="Times New Roman"/>
          <w:noProof/>
          <w:lang w:val="en-GB"/>
        </w:rPr>
        <w:t xml:space="preserve">access financial support from commercial banks for </w:t>
      </w:r>
      <w:r>
        <w:rPr>
          <w:rFonts w:ascii="Times New Roman" w:eastAsia="Times New Roman" w:hAnsi="Times New Roman" w:cs="Times New Roman"/>
          <w:noProof/>
          <w:bdr w:val="none" w:sz="0" w:space="0" w:color="auto"/>
          <w:lang w:val="en-GB"/>
        </w:rPr>
        <w:t>financing green ship technology,</w:t>
      </w:r>
      <w:r>
        <w:rPr>
          <w:rFonts w:ascii="Times New Roman" w:eastAsia="Times New Roman" w:hAnsi="Times New Roman" w:cs="Times New Roman"/>
          <w:noProof/>
          <w:bdr w:val="none" w:sz="0" w:space="0" w:color="auto"/>
        </w:rPr>
        <w:t xml:space="preserve"> t</w:t>
      </w:r>
      <w:r>
        <w:rPr>
          <w:rFonts w:ascii="Times New Roman" w:eastAsia="Times New Roman" w:hAnsi="Times New Roman" w:cs="Times New Roman"/>
          <w:noProof/>
          <w:bdr w:val="none" w:sz="0" w:space="0" w:color="auto"/>
          <w:lang w:val="en-GB"/>
        </w:rPr>
        <w:t>he Commission, following preparatory work by the ESSF and in close cooperation with the European Investment Bank developed the Gree</w:t>
      </w:r>
      <w:r>
        <w:rPr>
          <w:rFonts w:ascii="Times New Roman" w:eastAsia="Times New Roman" w:hAnsi="Times New Roman" w:cs="Times New Roman"/>
          <w:noProof/>
          <w:bdr w:val="none" w:sz="0" w:space="0" w:color="auto"/>
          <w:lang w:val="en-GB"/>
        </w:rPr>
        <w:t>n Shipping Guarantee (GSG) programme. The GSG programme is financed through the CEF and the European Fund for Strategic Investments (EFSI) and its total financial envelope amounts to €750M. The programme is expected to generate €3 billion of investments in</w:t>
      </w:r>
      <w:r>
        <w:rPr>
          <w:rFonts w:ascii="Times New Roman" w:eastAsia="Times New Roman" w:hAnsi="Times New Roman" w:cs="Times New Roman"/>
          <w:noProof/>
          <w:bdr w:val="none" w:sz="0" w:space="0" w:color="auto"/>
          <w:lang w:val="en-GB"/>
        </w:rPr>
        <w:t xml:space="preserve"> the European shipping sector. </w:t>
      </w:r>
      <w:r>
        <w:rPr>
          <w:rFonts w:ascii="Times New Roman" w:eastAsia="Times New Roman" w:hAnsi="Times New Roman" w:cs="Times New Roman"/>
          <w:noProof/>
          <w:bdr w:val="none" w:sz="0" w:space="0" w:color="auto"/>
        </w:rPr>
        <w:t>In December 2017, the first transaction within the GSG programme was signed to finance the construction of a LNG fueled ferry</w:t>
      </w:r>
      <w:r>
        <w:rPr>
          <w:rStyle w:val="FootnoteReference"/>
          <w:rFonts w:ascii="Times New Roman" w:eastAsia="Times New Roman" w:hAnsi="Times New Roman" w:cs="Times New Roman"/>
          <w:noProof/>
          <w:bdr w:val="none" w:sz="0" w:space="0" w:color="auto"/>
        </w:rPr>
        <w:footnoteReference w:id="27"/>
      </w:r>
      <w:r>
        <w:rPr>
          <w:rFonts w:ascii="Times New Roman" w:eastAsia="Times New Roman" w:hAnsi="Times New Roman" w:cs="Times New Roman"/>
          <w:noProof/>
          <w:bdr w:val="none" w:sz="0" w:space="0" w:color="auto"/>
        </w:rPr>
        <w:t xml:space="preserve">. </w:t>
      </w:r>
    </w:p>
    <w:p w:rsidR="00C4604B" w:rsidRDefault="00C4604B">
      <w:pPr>
        <w:pStyle w:val="Default"/>
        <w:jc w:val="both"/>
        <w:rPr>
          <w:rFonts w:ascii="Times New Roman" w:eastAsia="Times New Roman" w:hAnsi="Times New Roman" w:cs="Times New Roman"/>
          <w:b/>
          <w:noProof/>
          <w:color w:val="auto"/>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 xml:space="preserve">Technical support to Member States by the European Maritime Safety Agency </w:t>
      </w:r>
    </w:p>
    <w:p w:rsidR="00C4604B" w:rsidRDefault="00C4604B">
      <w:pPr>
        <w:pStyle w:val="Default"/>
        <w:jc w:val="both"/>
        <w:rPr>
          <w:rFonts w:ascii="Times New Roman" w:eastAsia="Times New Roman" w:hAnsi="Times New Roman" w:cs="Times New Roman"/>
          <w:noProof/>
          <w:color w:val="auto"/>
          <w:bdr w:val="none" w:sz="0" w:space="0" w:color="auto"/>
        </w:rPr>
      </w:pPr>
    </w:p>
    <w:p w:rsidR="00C4604B" w:rsidRDefault="00854B22">
      <w:pPr>
        <w:pStyle w:val="Default"/>
        <w:jc w:val="both"/>
        <w:rPr>
          <w:rFonts w:ascii="Times New Roman" w:eastAsia="Times New Roman" w:hAnsi="Times New Roman" w:cs="Times New Roman"/>
          <w:noProof/>
          <w:color w:val="auto"/>
          <w:bdr w:val="none" w:sz="0" w:space="0" w:color="auto"/>
        </w:rPr>
      </w:pPr>
      <w:r>
        <w:rPr>
          <w:rFonts w:ascii="Times New Roman" w:eastAsia="Times New Roman" w:hAnsi="Times New Roman" w:cs="Times New Roman"/>
          <w:noProof/>
          <w:color w:val="auto"/>
          <w:bdr w:val="none" w:sz="0" w:space="0" w:color="auto"/>
        </w:rPr>
        <w:t xml:space="preserve">The Commission </w:t>
      </w:r>
      <w:r>
        <w:rPr>
          <w:rFonts w:ascii="Times New Roman" w:eastAsia="Times New Roman" w:hAnsi="Times New Roman" w:cs="Times New Roman"/>
          <w:noProof/>
          <w:color w:val="auto"/>
          <w:bdr w:val="none" w:sz="0" w:space="0" w:color="auto"/>
        </w:rPr>
        <w:t>tasked EMSA</w:t>
      </w:r>
      <w:r>
        <w:rPr>
          <w:rStyle w:val="FootnoteReference"/>
          <w:rFonts w:ascii="Times New Roman" w:eastAsia="Times New Roman" w:hAnsi="Times New Roman" w:cs="Times New Roman"/>
          <w:noProof/>
          <w:color w:val="auto"/>
          <w:bdr w:val="none" w:sz="0" w:space="0" w:color="auto"/>
        </w:rPr>
        <w:footnoteReference w:id="28"/>
      </w:r>
      <w:r>
        <w:rPr>
          <w:rFonts w:ascii="Times New Roman" w:eastAsia="Times New Roman" w:hAnsi="Times New Roman" w:cs="Times New Roman"/>
          <w:noProof/>
          <w:color w:val="auto"/>
          <w:bdr w:val="none" w:sz="0" w:space="0" w:color="auto"/>
        </w:rPr>
        <w:t xml:space="preserve"> with additional activities facilitating the implementation and enforcement of the low sulphur requirements. In this context EMSA provides dedicated technical assistance to Member States’ administrations by means of workshops, training seminars</w:t>
      </w:r>
      <w:r>
        <w:rPr>
          <w:rStyle w:val="FootnoteReference"/>
          <w:rFonts w:ascii="Times New Roman" w:eastAsia="Times New Roman" w:hAnsi="Times New Roman" w:cs="Times New Roman"/>
          <w:noProof/>
          <w:color w:val="auto"/>
          <w:bdr w:val="none" w:sz="0" w:space="0" w:color="auto"/>
        </w:rPr>
        <w:footnoteReference w:id="29"/>
      </w:r>
      <w:r>
        <w:rPr>
          <w:rFonts w:ascii="Times New Roman" w:eastAsia="Times New Roman" w:hAnsi="Times New Roman" w:cs="Times New Roman"/>
          <w:noProof/>
          <w:color w:val="auto"/>
          <w:bdr w:val="none" w:sz="0" w:space="0" w:color="auto"/>
        </w:rPr>
        <w:t xml:space="preserve">, exchange-of-best-practices and other technical guidance and tools. </w:t>
      </w:r>
    </w:p>
    <w:p w:rsidR="00C4604B" w:rsidRDefault="00C4604B">
      <w:pPr>
        <w:pStyle w:val="Default"/>
        <w:jc w:val="both"/>
        <w:rPr>
          <w:rFonts w:ascii="Times New Roman" w:eastAsia="Times New Roman" w:hAnsi="Times New Roman" w:cs="Times New Roman"/>
          <w:noProof/>
          <w:color w:val="auto"/>
          <w:bdr w:val="none" w:sz="0" w:space="0" w:color="auto"/>
        </w:rPr>
      </w:pPr>
    </w:p>
    <w:p w:rsidR="00C4604B" w:rsidRDefault="00854B22">
      <w:pPr>
        <w:pStyle w:val="Default"/>
        <w:jc w:val="both"/>
        <w:rPr>
          <w:rFonts w:ascii="Times New Roman" w:eastAsia="Times New Roman" w:hAnsi="Times New Roman" w:cs="Times New Roman"/>
          <w:noProof/>
          <w:bdr w:val="none" w:sz="0" w:space="0" w:color="auto"/>
        </w:rPr>
      </w:pPr>
      <w:r>
        <w:rPr>
          <w:rFonts w:ascii="Times New Roman" w:eastAsia="Times New Roman" w:hAnsi="Times New Roman" w:cs="Times New Roman"/>
          <w:noProof/>
          <w:bdr w:val="none" w:sz="0" w:space="0" w:color="auto"/>
        </w:rPr>
        <w:t>The Commission also mandated EMSA to carry out a ‘cycle of visits’ to Member States to monitor the effective implementation of the Directive and relevant implementing legislation</w:t>
      </w:r>
      <w:r>
        <w:rPr>
          <w:rStyle w:val="FootnoteReference"/>
          <w:rFonts w:ascii="Times New Roman" w:eastAsia="Times New Roman" w:hAnsi="Times New Roman" w:cs="Times New Roman"/>
          <w:noProof/>
          <w:bdr w:val="none" w:sz="0" w:space="0" w:color="auto"/>
        </w:rPr>
        <w:footnoteReference w:id="30"/>
      </w:r>
      <w:r>
        <w:rPr>
          <w:rFonts w:ascii="Times New Roman" w:eastAsia="Times New Roman" w:hAnsi="Times New Roman" w:cs="Times New Roman"/>
          <w:noProof/>
          <w:bdr w:val="none" w:sz="0" w:space="0" w:color="auto"/>
        </w:rPr>
        <w:t>. The</w:t>
      </w:r>
      <w:r>
        <w:rPr>
          <w:rFonts w:ascii="Times New Roman" w:eastAsia="Times New Roman" w:hAnsi="Times New Roman" w:cs="Times New Roman"/>
          <w:noProof/>
          <w:bdr w:val="none" w:sz="0" w:space="0" w:color="auto"/>
        </w:rPr>
        <w:t xml:space="preserve"> visits by EMSA typically take several days during which the national legislation and procedures are discussed in detail with the different competent authorities (e.g. Ministries, Coast Guard, as well as local authorities such as port authorities). The cyc</w:t>
      </w:r>
      <w:r>
        <w:rPr>
          <w:rFonts w:ascii="Times New Roman" w:eastAsia="Times New Roman" w:hAnsi="Times New Roman" w:cs="Times New Roman"/>
          <w:noProof/>
          <w:bdr w:val="none" w:sz="0" w:space="0" w:color="auto"/>
        </w:rPr>
        <w:t>le of visits started at the end of 2016 and is expected to be completed in 2021. By the end of 2017 seven Member States had been visited by EMSA. Initial reactions from the Member States underline the thoroughness of the visits and confirm how EMSA’s findi</w:t>
      </w:r>
      <w:r>
        <w:rPr>
          <w:rFonts w:ascii="Times New Roman" w:eastAsia="Times New Roman" w:hAnsi="Times New Roman" w:cs="Times New Roman"/>
          <w:noProof/>
          <w:bdr w:val="none" w:sz="0" w:space="0" w:color="auto"/>
        </w:rPr>
        <w:t xml:space="preserve">ngs increase mutual understanding and serve as catalyst for national dialogue and for follow-up actions to ensure the effectiveness of national implementation measures. EMSA foresees to organise a mid-term workshop in 2019 to discuss interim results. Once </w:t>
      </w:r>
      <w:r>
        <w:rPr>
          <w:rFonts w:ascii="Times New Roman" w:eastAsia="Times New Roman" w:hAnsi="Times New Roman" w:cs="Times New Roman"/>
          <w:noProof/>
          <w:bdr w:val="none" w:sz="0" w:space="0" w:color="auto"/>
        </w:rPr>
        <w:t xml:space="preserve">all Member States have been visited, EMSA will provide the Commission with a horizontal report containing general findings and conclusions on the implementation of the Directive.  </w:t>
      </w:r>
    </w:p>
    <w:p w:rsidR="00C4604B" w:rsidRDefault="00C4604B">
      <w:pPr>
        <w:pStyle w:val="Default"/>
        <w:ind w:left="426"/>
        <w:jc w:val="both"/>
        <w:rPr>
          <w:rFonts w:ascii="Times New Roman" w:eastAsia="Times New Roman" w:hAnsi="Times New Roman" w:cs="Times New Roman"/>
          <w:b/>
          <w:noProof/>
          <w:color w:val="auto"/>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Member State Committee for the Implementation of the Sulphur Directive</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In</w:t>
      </w:r>
      <w:r>
        <w:rPr>
          <w:rFonts w:eastAsia="Times New Roman"/>
          <w:noProof/>
          <w:bdr w:val="none" w:sz="0" w:space="0" w:color="auto"/>
        </w:rPr>
        <w:t xml:space="preserve"> accordance with Article 17 of Directive (EU) 2016/802, the Commission established the Committee on the Implementation of the Sulphur Directive to support its coherent and effective implementation (hereafter, "the Committee")</w:t>
      </w:r>
      <w:r>
        <w:rPr>
          <w:rStyle w:val="FootnoteReference"/>
          <w:rFonts w:eastAsia="Times New Roman"/>
          <w:noProof/>
          <w:bdr w:val="none" w:sz="0" w:space="0" w:color="auto"/>
        </w:rPr>
        <w:footnoteReference w:id="31"/>
      </w:r>
      <w:r>
        <w:rPr>
          <w:rFonts w:eastAsia="Times New Roman"/>
          <w:noProof/>
          <w:bdr w:val="none" w:sz="0" w:space="0" w:color="auto"/>
        </w:rPr>
        <w:t xml:space="preserve">. It met for the first time in October 2014, and five times so far. The Committee assists the Commission with exercising its implementing powers, with drafting submissions to the IMO, and reviewing outputs of the ESSF Sub-groups on ‘Implementation’ and on </w:t>
      </w:r>
      <w:r>
        <w:rPr>
          <w:rFonts w:eastAsia="Times New Roman"/>
          <w:noProof/>
          <w:bdr w:val="none" w:sz="0" w:space="0" w:color="auto"/>
        </w:rPr>
        <w:t>‘Air Emissions from Ships’. Through the active engagement of Member State, the Committee has a key role in ensuring a consistent and cost-effective implementation and enforcement of the Directive across the EU, and is instrumental in preparing for the entr</w:t>
      </w:r>
      <w:r>
        <w:rPr>
          <w:rFonts w:eastAsia="Times New Roman"/>
          <w:noProof/>
          <w:bdr w:val="none" w:sz="0" w:space="0" w:color="auto"/>
        </w:rPr>
        <w:t xml:space="preserve">y-into-force of the 0,50% sulphur requirement in 2020. </w:t>
      </w:r>
    </w:p>
    <w:p w:rsidR="00C4604B" w:rsidRDefault="00854B22">
      <w:pPr>
        <w:pStyle w:val="Heading1"/>
        <w:numPr>
          <w:ilvl w:val="0"/>
          <w:numId w:val="47"/>
        </w:numPr>
        <w:ind w:left="426" w:hanging="426"/>
        <w:jc w:val="both"/>
        <w:rPr>
          <w:rFonts w:ascii="Times New Roman" w:hAnsi="Times New Roman" w:cs="Times New Roman"/>
          <w:noProof/>
          <w:color w:val="auto"/>
        </w:rPr>
      </w:pPr>
      <w:r>
        <w:rPr>
          <w:rFonts w:ascii="Times New Roman" w:hAnsi="Times New Roman" w:cs="Times New Roman"/>
          <w:noProof/>
          <w:color w:val="auto"/>
        </w:rPr>
        <w:t>Support to compliance checking of the sulphur limits for marine fuels</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Prior to 2012, in the absence of precise clauses in the Directive on the yearly number of ship inspections and fuel samples to be carried out by Member States, their overall number was relatively low and largely differed between Member States. To alter thi</w:t>
      </w:r>
      <w:r>
        <w:rPr>
          <w:rFonts w:eastAsia="Times New Roman"/>
          <w:noProof/>
          <w:bdr w:val="none" w:sz="0" w:space="0" w:color="auto"/>
        </w:rPr>
        <w:t xml:space="preserve">s, Directive 2012/33/EU empowered the Commission to adopt implementing acts on ‘sampling methods’ for marine fuels, the definition of a ‘sample representative’ and on the ‘frequency of sampling’ of marine fuels (Article 13(4) of Directive 2016/802/EU).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 xml:space="preserve">The Commission adopted on 16 February 2015 the Implementing Decision </w:t>
      </w:r>
      <w:r>
        <w:rPr>
          <w:noProof/>
          <w:color w:val="000000" w:themeColor="text1"/>
          <w:lang w:val="en-GB"/>
        </w:rPr>
        <w:t>(EU) 2015/253</w:t>
      </w:r>
      <w:r>
        <w:rPr>
          <w:rStyle w:val="FootnoteReference"/>
          <w:rFonts w:eastAsia="Times New Roman"/>
          <w:noProof/>
          <w:bdr w:val="none" w:sz="0" w:space="0" w:color="auto"/>
        </w:rPr>
        <w:footnoteReference w:id="32"/>
      </w:r>
      <w:r>
        <w:rPr>
          <w:noProof/>
          <w:color w:val="000000" w:themeColor="text1"/>
          <w:lang w:val="en-GB"/>
        </w:rPr>
        <w:t xml:space="preserve"> (hereinafter "the Implementing Act") </w:t>
      </w:r>
      <w:r>
        <w:rPr>
          <w:rFonts w:eastAsia="Times New Roman"/>
          <w:noProof/>
          <w:color w:val="000000" w:themeColor="text1"/>
          <w:bdr w:val="none" w:sz="0" w:space="0" w:color="auto"/>
        </w:rPr>
        <w:t>laying</w:t>
      </w:r>
      <w:r>
        <w:rPr>
          <w:rFonts w:eastAsia="Times New Roman"/>
          <w:noProof/>
          <w:bdr w:val="none" w:sz="0" w:space="0" w:color="auto"/>
        </w:rPr>
        <w:t xml:space="preserve"> down rules concerning the on-board sampling procedure, control of bunker suppliers as well as a binding number of ship inspectio</w:t>
      </w:r>
      <w:r>
        <w:rPr>
          <w:rFonts w:eastAsia="Times New Roman"/>
          <w:noProof/>
          <w:bdr w:val="none" w:sz="0" w:space="0" w:color="auto"/>
        </w:rPr>
        <w:t xml:space="preserve">ns and fuel samples each Member State has to carry out annually to verify the sulphur content of marine fuels being used by ships operating in the waters falling under their competence.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After discussions with Member States and the ESSF, EMSA published in</w:t>
      </w:r>
      <w:r>
        <w:rPr>
          <w:rFonts w:eastAsia="Times New Roman"/>
          <w:noProof/>
          <w:bdr w:val="none" w:sz="0" w:space="0" w:color="auto"/>
        </w:rPr>
        <w:t xml:space="preserve"> July 2015 its ‘Sulphur Inspection Guidance’</w:t>
      </w:r>
      <w:r>
        <w:rPr>
          <w:rStyle w:val="FootnoteReference"/>
          <w:rFonts w:eastAsia="Times New Roman"/>
          <w:noProof/>
          <w:bdr w:val="none" w:sz="0" w:space="0" w:color="auto"/>
        </w:rPr>
        <w:footnoteReference w:id="33"/>
      </w:r>
      <w:r>
        <w:rPr>
          <w:rFonts w:eastAsia="Times New Roman"/>
          <w:noProof/>
          <w:bdr w:val="none" w:sz="0" w:space="0" w:color="auto"/>
        </w:rPr>
        <w:t xml:space="preserve"> which complements the Implementing Act in facilitating a harmonised approach to the verification of sulphur standards. The Guidance elaborates for instance on how to effectively use the available ship documenta</w:t>
      </w:r>
      <w:r>
        <w:rPr>
          <w:rFonts w:eastAsia="Times New Roman"/>
          <w:noProof/>
          <w:bdr w:val="none" w:sz="0" w:space="0" w:color="auto"/>
        </w:rPr>
        <w:t>tion (e.g. bunker delivery notes, the ship’s log books including the Oil Record Books and Engine logbooks, tank soundings and fuel oil change-over records, tank plans or piping diagrams) for the purpose of compliance checking. EMSA also developed a model t</w:t>
      </w:r>
      <w:r>
        <w:rPr>
          <w:rFonts w:eastAsia="Times New Roman"/>
          <w:noProof/>
          <w:bdr w:val="none" w:sz="0" w:space="0" w:color="auto"/>
        </w:rPr>
        <w:t xml:space="preserve">raining course on enforcement of the Directive which has been delivered to over 200 Member States inspectors since 2015. </w:t>
      </w:r>
    </w:p>
    <w:p w:rsidR="00C4604B" w:rsidRDefault="00C4604B">
      <w:pPr>
        <w:jc w:val="both"/>
        <w:rPr>
          <w:rFonts w:eastAsia="Times New Roman"/>
          <w:noProof/>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Sampling of marine fuels used on-board ships</w:t>
      </w:r>
    </w:p>
    <w:p w:rsidR="00C4604B" w:rsidRDefault="00C4604B">
      <w:pPr>
        <w:jc w:val="both"/>
        <w:rPr>
          <w:rFonts w:eastAsia="Times New Roman"/>
          <w:noProof/>
          <w:u w:val="single"/>
          <w:bdr w:val="none" w:sz="0" w:space="0" w:color="auto"/>
        </w:rPr>
      </w:pPr>
    </w:p>
    <w:p w:rsidR="00C4604B" w:rsidRDefault="00854B2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r>
        <w:rPr>
          <w:rFonts w:eastAsia="Times New Roman"/>
          <w:noProof/>
          <w:color w:val="000000" w:themeColor="text1"/>
          <w:bdr w:val="none" w:sz="0" w:space="0" w:color="auto"/>
          <w:shd w:val="clear" w:color="auto" w:fill="FFFFFF"/>
        </w:rPr>
        <w:t xml:space="preserve">Physical sampling of marine fuels being used by ships for the purpose of verifying </w:t>
      </w:r>
      <w:r>
        <w:rPr>
          <w:rFonts w:eastAsia="Times New Roman"/>
          <w:noProof/>
          <w:color w:val="000000" w:themeColor="text1"/>
          <w:bdr w:val="none" w:sz="0" w:space="0" w:color="auto"/>
          <w:shd w:val="clear" w:color="auto" w:fill="FFFFFF"/>
        </w:rPr>
        <w:t>their sulphur content should be carried out either by analysing the sealed ‘bunker sample’ or the ‘representative sample’ accompanying the bunker delivery note and available on-board, or by obtaining and analysing a ‘fuel spot sample’ drawn from the ship's</w:t>
      </w:r>
      <w:r>
        <w:rPr>
          <w:rFonts w:eastAsia="Times New Roman"/>
          <w:noProof/>
          <w:color w:val="000000" w:themeColor="text1"/>
          <w:bdr w:val="none" w:sz="0" w:space="0" w:color="auto"/>
          <w:shd w:val="clear" w:color="auto" w:fill="FFFFFF"/>
        </w:rPr>
        <w:t xml:space="preserve"> fuel service system.</w:t>
      </w:r>
    </w:p>
    <w:p w:rsidR="00C4604B" w:rsidRDefault="00C4604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p>
    <w:p w:rsidR="00C4604B" w:rsidRDefault="00854B2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color w:val="000000" w:themeColor="text1"/>
          <w:bdr w:val="none" w:sz="0" w:space="0" w:color="auto"/>
          <w:shd w:val="clear" w:color="auto" w:fill="FFFFFF"/>
        </w:rPr>
      </w:pPr>
      <w:r>
        <w:rPr>
          <w:rFonts w:eastAsia="Times New Roman"/>
          <w:noProof/>
          <w:color w:val="000000" w:themeColor="text1"/>
          <w:bdr w:val="none" w:sz="0" w:space="0" w:color="auto"/>
          <w:shd w:val="clear" w:color="auto" w:fill="FFFFFF"/>
        </w:rPr>
        <w:t>Whereas an IMO procedure for analysing the bunker samples in accordance with Regulation 18(8.1) and (8.2) of MARPOL Annex VI was already in place, the Implementing Act defined a procedure for drawing an on-board fuel spot sample from</w:t>
      </w:r>
      <w:r>
        <w:rPr>
          <w:rFonts w:eastAsia="Times New Roman"/>
          <w:noProof/>
          <w:color w:val="000000" w:themeColor="text1"/>
          <w:bdr w:val="none" w:sz="0" w:space="0" w:color="auto"/>
          <w:shd w:val="clear" w:color="auto" w:fill="FFFFFF"/>
        </w:rPr>
        <w:t xml:space="preserve"> the ship’s fuel service system. Prior to the Implementing Act, inspectors across the EU used different locations in the ship’s piping system for taking samples which could affect the observed sulphur content of the samples. To encourage the development of</w:t>
      </w:r>
      <w:r>
        <w:rPr>
          <w:rFonts w:eastAsia="Times New Roman"/>
          <w:noProof/>
          <w:color w:val="000000" w:themeColor="text1"/>
          <w:bdr w:val="none" w:sz="0" w:space="0" w:color="auto"/>
          <w:shd w:val="clear" w:color="auto" w:fill="FFFFFF"/>
        </w:rPr>
        <w:t xml:space="preserve"> an internationally harmonised procedure, the Union procedure for drawing spot samples was submitted to the IMO which resulted in the ‘Guidelines for on-board sampling and verification of the sulphur content of fuel used on-board ships’</w:t>
      </w:r>
      <w:r>
        <w:rPr>
          <w:rStyle w:val="FootnoteReference"/>
          <w:rFonts w:eastAsia="Times New Roman"/>
          <w:noProof/>
          <w:color w:val="000000" w:themeColor="text1"/>
          <w:bdr w:val="none" w:sz="0" w:space="0" w:color="auto"/>
          <w:shd w:val="clear" w:color="auto" w:fill="FFFFFF"/>
        </w:rPr>
        <w:footnoteReference w:id="34"/>
      </w:r>
      <w:r>
        <w:rPr>
          <w:rFonts w:eastAsia="Times New Roman"/>
          <w:noProof/>
          <w:color w:val="000000" w:themeColor="text1"/>
          <w:bdr w:val="none" w:sz="0" w:space="0" w:color="auto"/>
          <w:shd w:val="clear" w:color="auto" w:fill="FFFFFF"/>
        </w:rPr>
        <w:t>, largely taking ov</w:t>
      </w:r>
      <w:r>
        <w:rPr>
          <w:rFonts w:eastAsia="Times New Roman"/>
          <w:noProof/>
          <w:color w:val="000000" w:themeColor="text1"/>
          <w:bdr w:val="none" w:sz="0" w:space="0" w:color="auto"/>
          <w:shd w:val="clear" w:color="auto" w:fill="FFFFFF"/>
        </w:rPr>
        <w:t xml:space="preserve">er the procedure defined in the Implementing Act. </w:t>
      </w:r>
    </w:p>
    <w:p w:rsidR="00C4604B" w:rsidRDefault="00C4604B">
      <w:pPr>
        <w:jc w:val="both"/>
        <w:rPr>
          <w:rFonts w:eastAsia="Times New Roman"/>
          <w:noProof/>
          <w:u w:val="single"/>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Other compliance checking technologies</w:t>
      </w:r>
    </w:p>
    <w:p w:rsidR="00C4604B" w:rsidRDefault="00C4604B">
      <w:pPr>
        <w:jc w:val="both"/>
        <w:rPr>
          <w:rFonts w:eastAsia="Times New Roman"/>
          <w:noProof/>
          <w:u w:val="single"/>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An increasing number of Member States uses compliance checking technology other than documentation checks and physical fuel sampling to obtain a quick indication of</w:t>
      </w:r>
      <w:r>
        <w:rPr>
          <w:rFonts w:eastAsia="Times New Roman"/>
          <w:noProof/>
          <w:bdr w:val="none" w:sz="0" w:space="0" w:color="auto"/>
        </w:rPr>
        <w:t xml:space="preserve"> whether a ship appears compliant with the sulphur standards or whether there is a reasonable doubt that triggers targeting the ship for a formal inspection to check sulphur content of the used fuel.</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 xml:space="preserve">Different ‘alternative compliance checking </w:t>
      </w:r>
      <w:r>
        <w:rPr>
          <w:rFonts w:eastAsia="Times New Roman"/>
          <w:noProof/>
          <w:bdr w:val="none" w:sz="0" w:space="0" w:color="auto"/>
        </w:rPr>
        <w:t xml:space="preserve">technologies’, such as portable sampling devices (which can give an almost immediate indication of the sulphur content of the fuels found on-board), remote sensing technology, and ‘sniffers’ (exhaust gas analysers) that can define the sulphur content from </w:t>
      </w:r>
      <w:r>
        <w:rPr>
          <w:rFonts w:eastAsia="Times New Roman"/>
          <w:noProof/>
          <w:bdr w:val="none" w:sz="0" w:space="0" w:color="auto"/>
        </w:rPr>
        <w:t>measuring the ship’s exhaust gases while they are operating, have been installed onto bridges, port entry points, patrol vessels and on small planes and are being used or tested by different Member States. The EU also allocated funds to support the develop</w:t>
      </w:r>
      <w:r>
        <w:rPr>
          <w:rFonts w:eastAsia="Times New Roman"/>
          <w:noProof/>
          <w:bdr w:val="none" w:sz="0" w:space="0" w:color="auto"/>
        </w:rPr>
        <w:t>ment and use of these technologies</w:t>
      </w:r>
      <w:r>
        <w:rPr>
          <w:rStyle w:val="FootnoteReference"/>
          <w:rFonts w:eastAsia="Times New Roman"/>
          <w:noProof/>
          <w:bdr w:val="none" w:sz="0" w:space="0" w:color="auto"/>
        </w:rPr>
        <w:footnoteReference w:id="35"/>
      </w:r>
      <w:r>
        <w:rPr>
          <w:rFonts w:eastAsia="Times New Roman"/>
          <w:noProof/>
          <w:bdr w:val="none" w:sz="0" w:space="0" w:color="auto"/>
        </w:rPr>
        <w:t>. In addition, EMSA has recently contracted drones/‘Remotely Piloted Aircraft Systems’ (RPAS)</w:t>
      </w:r>
      <w:r>
        <w:rPr>
          <w:rStyle w:val="FootnoteReference"/>
          <w:rFonts w:eastAsia="Times New Roman"/>
          <w:noProof/>
          <w:bdr w:val="none" w:sz="0" w:space="0" w:color="auto"/>
        </w:rPr>
        <w:footnoteReference w:id="36"/>
      </w:r>
      <w:r>
        <w:rPr>
          <w:rFonts w:eastAsia="Times New Roman"/>
          <w:noProof/>
          <w:bdr w:val="none" w:sz="0" w:space="0" w:color="auto"/>
        </w:rPr>
        <w:t xml:space="preserve"> that can assist Member State authorities in detecting marine pollution (e.g. oil spills) or monitoring air emissions. </w:t>
      </w:r>
    </w:p>
    <w:p w:rsidR="00C4604B" w:rsidRDefault="00C4604B">
      <w:pPr>
        <w:jc w:val="both"/>
        <w:rPr>
          <w:rFonts w:eastAsia="Times New Roman"/>
          <w:noProof/>
          <w:bdr w:val="none" w:sz="0" w:space="0" w:color="auto"/>
        </w:rPr>
      </w:pPr>
    </w:p>
    <w:p w:rsidR="00C4604B" w:rsidRDefault="00854B22">
      <w:pPr>
        <w:jc w:val="both"/>
        <w:rPr>
          <w:rFonts w:eastAsia="Times New Roman"/>
          <w:noProof/>
          <w:color w:val="000000" w:themeColor="text1"/>
          <w:bdr w:val="none" w:sz="0" w:space="0" w:color="auto"/>
        </w:rPr>
      </w:pPr>
      <w:r>
        <w:rPr>
          <w:rFonts w:eastAsia="Times New Roman"/>
          <w:noProof/>
          <w:bdr w:val="none" w:sz="0" w:space="0" w:color="auto"/>
        </w:rPr>
        <w:t xml:space="preserve">The use of these alternative technologies can reduce the overall cost and time associated with compliance checking of the sulphur standards for Member States. The Committee has exchanged experiences with </w:t>
      </w:r>
      <w:r>
        <w:rPr>
          <w:rFonts w:eastAsia="Times New Roman"/>
          <w:noProof/>
          <w:color w:val="000000" w:themeColor="text1"/>
          <w:bdr w:val="none" w:sz="0" w:space="0" w:color="auto"/>
        </w:rPr>
        <w:t>using these compliance checking technologies, and th</w:t>
      </w:r>
      <w:r>
        <w:rPr>
          <w:rFonts w:eastAsia="Times New Roman"/>
          <w:noProof/>
          <w:color w:val="000000" w:themeColor="text1"/>
          <w:bdr w:val="none" w:sz="0" w:space="0" w:color="auto"/>
        </w:rPr>
        <w:t>eir findings were shared with the IMO</w:t>
      </w:r>
      <w:r>
        <w:rPr>
          <w:rStyle w:val="FootnoteReference"/>
          <w:rFonts w:eastAsia="Times New Roman"/>
          <w:noProof/>
          <w:color w:val="000000" w:themeColor="text1"/>
          <w:bdr w:val="none" w:sz="0" w:space="0" w:color="auto"/>
        </w:rPr>
        <w:footnoteReference w:id="37"/>
      </w:r>
      <w:r>
        <w:rPr>
          <w:rFonts w:eastAsia="Times New Roman"/>
          <w:noProof/>
          <w:color w:val="000000" w:themeColor="text1"/>
          <w:bdr w:val="none" w:sz="0" w:space="0" w:color="auto"/>
        </w:rPr>
        <w:t xml:space="preserve">. The Implementing Act specifically recognises the potential of innovative compliance verification technologies and encourages Member States to use those.  </w:t>
      </w:r>
    </w:p>
    <w:p w:rsidR="00C4604B" w:rsidRDefault="00C4604B">
      <w:pPr>
        <w:jc w:val="both"/>
        <w:rPr>
          <w:rFonts w:eastAsia="Times New Roman"/>
          <w:noProof/>
          <w:color w:val="000000" w:themeColor="text1"/>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 xml:space="preserve">Mandatory frequency of inspections and fuel sampling </w:t>
      </w:r>
    </w:p>
    <w:p w:rsidR="00C4604B" w:rsidRDefault="00C4604B">
      <w:pPr>
        <w:jc w:val="both"/>
        <w:rPr>
          <w:rFonts w:eastAsia="Times New Roman"/>
          <w:noProof/>
          <w:color w:val="000000" w:themeColor="text1"/>
          <w:u w:val="single"/>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To en</w:t>
      </w:r>
      <w:r>
        <w:rPr>
          <w:rFonts w:eastAsia="Times New Roman"/>
          <w:noProof/>
          <w:bdr w:val="none" w:sz="0" w:space="0" w:color="auto"/>
        </w:rPr>
        <w:t>sure an equal enforcement burden among Member States and a level-playing-field for EU ports and operators, Directive 2012/33/EU empowered the Commission to define a binding frequency of inspections and sampling of marine fuels (Article 13(4) of Directive (</w:t>
      </w:r>
      <w:r>
        <w:rPr>
          <w:rFonts w:eastAsia="Times New Roman"/>
          <w:noProof/>
          <w:bdr w:val="none" w:sz="0" w:space="0" w:color="auto"/>
        </w:rPr>
        <w:t xml:space="preserve">EU) 2016/802) which was laid down in the Implementing Act.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color w:val="000000" w:themeColor="text1"/>
          <w:bdr w:val="none" w:sz="0" w:space="0" w:color="auto"/>
          <w:shd w:val="clear" w:color="auto" w:fill="FFFFFF"/>
        </w:rPr>
        <w:t>This frequency is primarily determined by the annual number of individual ships calling in a Member State. Pursuant to Article 3(1) of Implementing Decision (EU) 2015/253, all Member States shall</w:t>
      </w:r>
      <w:r>
        <w:rPr>
          <w:rFonts w:eastAsia="Times New Roman"/>
          <w:noProof/>
          <w:color w:val="000000" w:themeColor="text1"/>
          <w:bdr w:val="none" w:sz="0" w:space="0" w:color="auto"/>
          <w:shd w:val="clear" w:color="auto" w:fill="FFFFFF"/>
        </w:rPr>
        <w:t xml:space="preserve"> carry out inspections of the ship’s documentation on at least 10% of the individual ships calling in their ports. Member States have to complement the documentation check by sampling and analysing the sulphur content of the fuels of 20 to 40% of the inspe</w:t>
      </w:r>
      <w:r>
        <w:rPr>
          <w:rFonts w:eastAsia="Times New Roman"/>
          <w:noProof/>
          <w:color w:val="000000" w:themeColor="text1"/>
          <w:bdr w:val="none" w:sz="0" w:space="0" w:color="auto"/>
          <w:shd w:val="clear" w:color="auto" w:fill="FFFFFF"/>
        </w:rPr>
        <w:t>cted ships depending on whether the Member State is (partly) bordering a SO</w:t>
      </w:r>
      <w:r>
        <w:rPr>
          <w:rFonts w:eastAsia="Times New Roman"/>
          <w:noProof/>
          <w:color w:val="000000" w:themeColor="text1"/>
          <w:bdr w:val="none" w:sz="0" w:space="0" w:color="auto"/>
          <w:shd w:val="clear" w:color="auto" w:fill="FFFFFF"/>
          <w:vertAlign w:val="subscript"/>
        </w:rPr>
        <w:t>x</w:t>
      </w:r>
      <w:r>
        <w:rPr>
          <w:rFonts w:eastAsia="Times New Roman"/>
          <w:noProof/>
          <w:color w:val="000000" w:themeColor="text1"/>
          <w:bdr w:val="none" w:sz="0" w:space="0" w:color="auto"/>
          <w:shd w:val="clear" w:color="auto" w:fill="FFFFFF"/>
        </w:rPr>
        <w:t>-ECA or not.  The frequency of sampling in the SOx-ECA areas is higher than that in other European waters given that the price premium for low sulphur marine fuels could incentivis</w:t>
      </w:r>
      <w:r>
        <w:rPr>
          <w:rFonts w:eastAsia="Times New Roman"/>
          <w:noProof/>
          <w:color w:val="000000" w:themeColor="text1"/>
          <w:bdr w:val="none" w:sz="0" w:space="0" w:color="auto"/>
          <w:shd w:val="clear" w:color="auto" w:fill="FFFFFF"/>
        </w:rPr>
        <w:t xml:space="preserve">e operators to risk a potential penalty for not using compliant fuel. It remains the prerogative of national inspectors to select the </w:t>
      </w:r>
      <w:r>
        <w:rPr>
          <w:rFonts w:eastAsia="Times New Roman"/>
          <w:noProof/>
          <w:bdr w:val="none" w:sz="0" w:space="0" w:color="auto"/>
        </w:rPr>
        <w:t xml:space="preserve">ships that will be subject to an inspection and/or fuel sampling. In accordance with the Implementing Act </w:t>
      </w:r>
      <w:r>
        <w:rPr>
          <w:rFonts w:eastAsia="Times New Roman"/>
          <w:noProof/>
          <w:color w:val="000000" w:themeColor="text1"/>
          <w:bdr w:val="none" w:sz="0" w:space="0" w:color="auto"/>
          <w:shd w:val="clear" w:color="auto" w:fill="FFFFFF"/>
        </w:rPr>
        <w:t xml:space="preserve">the total </w:t>
      </w:r>
      <w:r>
        <w:rPr>
          <w:rFonts w:eastAsia="Times New Roman"/>
          <w:noProof/>
          <w:bdr w:val="none" w:sz="0" w:space="0" w:color="auto"/>
        </w:rPr>
        <w:t>number</w:t>
      </w:r>
      <w:r>
        <w:rPr>
          <w:rFonts w:eastAsia="Times New Roman"/>
          <w:noProof/>
          <w:bdr w:val="none" w:sz="0" w:space="0" w:color="auto"/>
        </w:rPr>
        <w:t xml:space="preserve"> of yearly fuel samples for a Member State </w:t>
      </w:r>
      <w:r>
        <w:rPr>
          <w:rFonts w:eastAsia="Times New Roman"/>
          <w:noProof/>
          <w:color w:val="000000" w:themeColor="text1"/>
          <w:bdr w:val="none" w:sz="0" w:space="0" w:color="auto"/>
          <w:shd w:val="clear" w:color="auto" w:fill="FFFFFF"/>
        </w:rPr>
        <w:t xml:space="preserve">can be adjusted in case it makes use of </w:t>
      </w:r>
      <w:r>
        <w:rPr>
          <w:rFonts w:eastAsia="Times New Roman"/>
          <w:noProof/>
          <w:bdr w:val="none" w:sz="0" w:space="0" w:color="auto"/>
        </w:rPr>
        <w:t xml:space="preserve">alternative compliance checking technology.  </w:t>
      </w:r>
    </w:p>
    <w:p w:rsidR="00C4604B" w:rsidRDefault="00C4604B">
      <w:pPr>
        <w:jc w:val="both"/>
        <w:rPr>
          <w:rFonts w:eastAsia="Times New Roman"/>
          <w:noProof/>
          <w:color w:val="000000" w:themeColor="text1"/>
          <w:bdr w:val="none" w:sz="0" w:space="0" w:color="auto"/>
          <w:shd w:val="clear" w:color="auto" w:fill="FFFFFF"/>
        </w:rPr>
      </w:pPr>
    </w:p>
    <w:p w:rsidR="00C4604B" w:rsidRDefault="00854B22">
      <w:pPr>
        <w:jc w:val="both"/>
        <w:rPr>
          <w:rFonts w:eastAsia="Times New Roman"/>
          <w:noProof/>
          <w:color w:val="000000" w:themeColor="text1"/>
          <w:bdr w:val="none" w:sz="0" w:space="0" w:color="auto"/>
          <w:shd w:val="clear" w:color="auto" w:fill="FFFFFF"/>
        </w:rPr>
      </w:pPr>
      <w:r>
        <w:rPr>
          <w:rFonts w:eastAsia="Times New Roman"/>
          <w:noProof/>
          <w:color w:val="000000" w:themeColor="text1"/>
          <w:bdr w:val="none" w:sz="0" w:space="0" w:color="auto"/>
          <w:shd w:val="clear" w:color="auto" w:fill="FFFFFF"/>
        </w:rPr>
        <w:t xml:space="preserve">The Commission may consider revising the inspection and sampling frequency in the future in view of the coming into force of </w:t>
      </w:r>
      <w:r>
        <w:rPr>
          <w:rFonts w:eastAsia="Times New Roman"/>
          <w:noProof/>
          <w:color w:val="000000" w:themeColor="text1"/>
          <w:bdr w:val="none" w:sz="0" w:space="0" w:color="auto"/>
          <w:shd w:val="clear" w:color="auto" w:fill="FFFFFF"/>
        </w:rPr>
        <w:t>the 0,50% sulphur requirement in 2020, but also to introduce  a risk-based Union inspection approach to target enforcement efforts to the most likely offenders. The development of a such a mechanism requires substantial information on compliance patterns o</w:t>
      </w:r>
      <w:r>
        <w:rPr>
          <w:rFonts w:eastAsia="Times New Roman"/>
          <w:noProof/>
          <w:color w:val="000000" w:themeColor="text1"/>
          <w:bdr w:val="none" w:sz="0" w:space="0" w:color="auto"/>
          <w:shd w:val="clear" w:color="auto" w:fill="FFFFFF"/>
        </w:rPr>
        <w:t>f ship-types, operators, routes and fuel suppliers to be available.</w:t>
      </w:r>
    </w:p>
    <w:p w:rsidR="00C4604B" w:rsidRDefault="00C4604B">
      <w:pPr>
        <w:jc w:val="both"/>
        <w:rPr>
          <w:rFonts w:eastAsia="Times New Roman"/>
          <w:b/>
          <w:noProof/>
          <w:color w:val="000000" w:themeColor="text1"/>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Sampling of marine fuels while being delivered to the ship</w:t>
      </w:r>
    </w:p>
    <w:p w:rsidR="00C4604B" w:rsidRDefault="00C4604B">
      <w:pPr>
        <w:jc w:val="both"/>
        <w:rPr>
          <w:rFonts w:eastAsia="Times New Roman"/>
          <w:noProof/>
          <w:color w:val="000000" w:themeColor="text1"/>
          <w:u w:val="single"/>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Whereas compliance checking of the sulphur content of marine fuels is mainly focused on the ‘ship-side’, Directive 2012/33/EU a</w:t>
      </w:r>
      <w:r>
        <w:rPr>
          <w:rFonts w:eastAsia="Times New Roman"/>
          <w:noProof/>
          <w:bdr w:val="none" w:sz="0" w:space="0" w:color="auto"/>
        </w:rPr>
        <w:t>lso introduced provisions to strengthen controls of fuel suppliers, i.e. the ‘land-side’ (Article 6(9) of Directive (EU) 2016/802). Member States are now obliged to take action against fuel suppliers that have been found to deliver marine fuel that does no</w:t>
      </w:r>
      <w:r>
        <w:rPr>
          <w:rFonts w:eastAsia="Times New Roman"/>
          <w:noProof/>
          <w:bdr w:val="none" w:sz="0" w:space="0" w:color="auto"/>
        </w:rPr>
        <w:t>t comply with the specification on the bunker delivery note and to maintain a publicly available register of suppliers of marine fuels to increase transparency.  Member States are also required to control marine fuel suppliers by taking samples of their pr</w:t>
      </w:r>
      <w:r>
        <w:rPr>
          <w:rFonts w:eastAsia="Times New Roman"/>
          <w:noProof/>
          <w:bdr w:val="none" w:sz="0" w:space="0" w:color="auto"/>
        </w:rPr>
        <w:t xml:space="preserve">oducts upon delivery to a ship in case of recurrent reports of alleged quality issues (‘letters of protest’) (Article 4 of Implementing Decision (EU) 2015/253).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In 2016 the Commission launched a study</w:t>
      </w:r>
      <w:r>
        <w:rPr>
          <w:rStyle w:val="FootnoteReference"/>
          <w:rFonts w:eastAsia="Times New Roman"/>
          <w:noProof/>
          <w:bdr w:val="none" w:sz="0" w:space="0" w:color="auto"/>
        </w:rPr>
        <w:footnoteReference w:id="38"/>
      </w:r>
      <w:r>
        <w:rPr>
          <w:rFonts w:eastAsia="Times New Roman"/>
          <w:noProof/>
          <w:bdr w:val="none" w:sz="0" w:space="0" w:color="auto"/>
        </w:rPr>
        <w:t xml:space="preserve"> to further assess the oversight and licensing proced</w:t>
      </w:r>
      <w:r>
        <w:rPr>
          <w:rFonts w:eastAsia="Times New Roman"/>
          <w:noProof/>
          <w:bdr w:val="none" w:sz="0" w:space="0" w:color="auto"/>
        </w:rPr>
        <w:t>ures of bunker suppliers in the Member States. The study will also provide indications of where controls of marine fuel suppliers may have to be reinforced to ensure the delivery of high quality, compliant fuels to ships visiting EU ports</w:t>
      </w:r>
      <w:r>
        <w:rPr>
          <w:rStyle w:val="FootnoteReference"/>
          <w:rFonts w:eastAsia="Times New Roman"/>
          <w:noProof/>
          <w:bdr w:val="none" w:sz="0" w:space="0" w:color="auto"/>
        </w:rPr>
        <w:footnoteReference w:id="39"/>
      </w:r>
      <w:r>
        <w:rPr>
          <w:rFonts w:eastAsia="Times New Roman"/>
          <w:noProof/>
          <w:bdr w:val="none" w:sz="0" w:space="0" w:color="auto"/>
        </w:rPr>
        <w:t xml:space="preserve">. </w:t>
      </w:r>
    </w:p>
    <w:p w:rsidR="00C4604B" w:rsidRDefault="00854B22">
      <w:pPr>
        <w:pStyle w:val="Heading1"/>
        <w:numPr>
          <w:ilvl w:val="0"/>
          <w:numId w:val="47"/>
        </w:numPr>
        <w:ind w:left="426" w:hanging="426"/>
        <w:jc w:val="both"/>
        <w:rPr>
          <w:rFonts w:ascii="Times New Roman" w:hAnsi="Times New Roman" w:cs="Times New Roman"/>
          <w:noProof/>
          <w:color w:val="auto"/>
        </w:rPr>
      </w:pPr>
      <w:r>
        <w:rPr>
          <w:rFonts w:ascii="Times New Roman" w:hAnsi="Times New Roman" w:cs="Times New Roman"/>
          <w:noProof/>
          <w:color w:val="auto"/>
        </w:rPr>
        <w:t xml:space="preserve">Reporting by </w:t>
      </w:r>
      <w:r>
        <w:rPr>
          <w:rFonts w:ascii="Times New Roman" w:hAnsi="Times New Roman" w:cs="Times New Roman"/>
          <w:noProof/>
          <w:color w:val="auto"/>
        </w:rPr>
        <w:t>Member States and THETIS-EU</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Reporting by Member States in the past had proved to be insufficient to obtain an EU-wide overview of compliance with the sulphur standards due to a lack of harmonised provisions on the content and the format of the Member Stat</w:t>
      </w:r>
      <w:r>
        <w:rPr>
          <w:rFonts w:eastAsia="Times New Roman"/>
          <w:noProof/>
          <w:bdr w:val="none" w:sz="0" w:space="0" w:color="auto"/>
        </w:rPr>
        <w:t>es’ reports</w:t>
      </w:r>
      <w:r>
        <w:rPr>
          <w:rStyle w:val="FootnoteReference"/>
          <w:rFonts w:eastAsia="Times New Roman"/>
          <w:noProof/>
          <w:bdr w:val="none" w:sz="0" w:space="0" w:color="auto"/>
        </w:rPr>
        <w:footnoteReference w:id="40"/>
      </w:r>
      <w:r>
        <w:rPr>
          <w:rFonts w:eastAsia="Times New Roman"/>
          <w:noProof/>
          <w:bdr w:val="none" w:sz="0" w:space="0" w:color="auto"/>
        </w:rPr>
        <w:t xml:space="preserve">. The 2012 revision of the Sulphur Directive therefore empowered the Commission to adopt more detailed provisions on the content and format of the annual reports of Member States.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To that purpose, Article 7 of the Implementing Decision (EU) 2</w:t>
      </w:r>
      <w:r>
        <w:rPr>
          <w:rFonts w:eastAsia="Times New Roman"/>
          <w:noProof/>
          <w:bdr w:val="none" w:sz="0" w:space="0" w:color="auto"/>
        </w:rPr>
        <w:t>015/253 defines all information concerning the enforcement of the sulphur standards in marine fuels to be included in the annual reports of Member States. Annual reporting by Member States on their actions to verify the sulphur content of fuels used in com</w:t>
      </w:r>
      <w:r>
        <w:rPr>
          <w:rFonts w:eastAsia="Times New Roman"/>
          <w:noProof/>
          <w:bdr w:val="none" w:sz="0" w:space="0" w:color="auto"/>
        </w:rPr>
        <w:t>bustion plants on land is done in accordance with a template that was agreed for voluntary use in the Committee in 2016.</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In view of the taking effect of the low sulphur requirements in the SO</w:t>
      </w:r>
      <w:r>
        <w:rPr>
          <w:rFonts w:eastAsia="Times New Roman"/>
          <w:noProof/>
          <w:bdr w:val="none" w:sz="0" w:space="0" w:color="auto"/>
          <w:vertAlign w:val="subscript"/>
        </w:rPr>
        <w:t>x</w:t>
      </w:r>
      <w:r>
        <w:rPr>
          <w:rFonts w:eastAsia="Times New Roman"/>
          <w:noProof/>
          <w:bdr w:val="none" w:sz="0" w:space="0" w:color="auto"/>
        </w:rPr>
        <w:t xml:space="preserve">-ECAs on 1 January 2015, the Commission tasked EMSA to develop </w:t>
      </w:r>
      <w:r>
        <w:rPr>
          <w:rFonts w:eastAsia="Times New Roman"/>
          <w:noProof/>
          <w:bdr w:val="none" w:sz="0" w:space="0" w:color="auto"/>
        </w:rPr>
        <w:t xml:space="preserve">a 'Union information system' for recording and exchanging the details and findings of inspections on-board ships, including from fuel sampling and analysis. EMSA designed ‘THETIS-EU’ which became fully operational on 1 January 2015.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THETIS-EU contains all mandatory reporting fields laid down in Article 7 of Implementing Decision (EU) 2015/253 and allows for almost real-time monitoring of the compliance record of individual ships in all Member States. All Member States use THETIS-EU (o</w:t>
      </w:r>
      <w:r>
        <w:rPr>
          <w:rFonts w:eastAsia="Times New Roman"/>
          <w:noProof/>
          <w:bdr w:val="none" w:sz="0" w:space="0" w:color="auto"/>
        </w:rPr>
        <w:t>n a voluntary basis) and EU neighbouring countries may also be granted access to the system in the near future. THETIS-EU has significantly contributed to improving the quality and consistency of reporting on ships’ compliance with the sulphur standards ac</w:t>
      </w:r>
      <w:r>
        <w:rPr>
          <w:rFonts w:eastAsia="Times New Roman"/>
          <w:noProof/>
          <w:bdr w:val="none" w:sz="0" w:space="0" w:color="auto"/>
        </w:rPr>
        <w:t xml:space="preserve">ross the EU. Discussions with Member States are on-going on how to further enhance usefulness and user-friendliness of THETIS-EU, and how to adapt the system to future enforcement needs under the Directive.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In accordance with Article 8 of the Implementin</w:t>
      </w:r>
      <w:r>
        <w:rPr>
          <w:rFonts w:eastAsia="Times New Roman"/>
          <w:noProof/>
          <w:bdr w:val="none" w:sz="0" w:space="0" w:color="auto"/>
        </w:rPr>
        <w:t>g Decision (EU) 2015/253 and to reduce the administrative burden for Member States, THETIS-EU can provide Member States a summary of the data inserted throughout the preceding year which can be used to comply with their annual reporting obligation to the C</w:t>
      </w:r>
      <w:r>
        <w:rPr>
          <w:rFonts w:eastAsia="Times New Roman"/>
          <w:noProof/>
          <w:bdr w:val="none" w:sz="0" w:space="0" w:color="auto"/>
        </w:rPr>
        <w:t>ommission. Following a decision of the Committee, an aggregated version of the sulphur inspection data contained in THETIS-EU is since June 2017 also publically available on EMSA’s THETIS-EU portal</w:t>
      </w:r>
      <w:r>
        <w:rPr>
          <w:rStyle w:val="FootnoteReference"/>
          <w:rFonts w:eastAsia="Times New Roman"/>
          <w:noProof/>
          <w:bdr w:val="none" w:sz="0" w:space="0" w:color="auto"/>
        </w:rPr>
        <w:footnoteReference w:id="41"/>
      </w:r>
      <w:r>
        <w:rPr>
          <w:rFonts w:eastAsia="Times New Roman"/>
          <w:noProof/>
          <w:bdr w:val="none" w:sz="0" w:space="0" w:color="auto"/>
        </w:rPr>
        <w:t>.</w:t>
      </w:r>
    </w:p>
    <w:p w:rsidR="00C4604B" w:rsidRDefault="00854B22">
      <w:pPr>
        <w:pStyle w:val="Heading1"/>
        <w:numPr>
          <w:ilvl w:val="0"/>
          <w:numId w:val="47"/>
        </w:numPr>
        <w:ind w:left="426" w:hanging="426"/>
        <w:jc w:val="both"/>
        <w:rPr>
          <w:rFonts w:ascii="Times New Roman" w:hAnsi="Times New Roman" w:cs="Times New Roman"/>
          <w:noProof/>
          <w:color w:val="auto"/>
        </w:rPr>
      </w:pPr>
      <w:r>
        <w:rPr>
          <w:rFonts w:ascii="Times New Roman" w:hAnsi="Times New Roman" w:cs="Times New Roman"/>
          <w:noProof/>
          <w:color w:val="auto"/>
        </w:rPr>
        <w:t>Level of compliance with the sulphur standards for marin</w:t>
      </w:r>
      <w:r>
        <w:rPr>
          <w:rFonts w:ascii="Times New Roman" w:hAnsi="Times New Roman" w:cs="Times New Roman"/>
          <w:noProof/>
          <w:color w:val="auto"/>
        </w:rPr>
        <w:t>e fuels</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Between 1 January 2015 (when the system became operational) and 31 December 2017, over 28.000 specific inspections</w:t>
      </w:r>
      <w:r>
        <w:rPr>
          <w:rStyle w:val="FootnoteReference"/>
          <w:rFonts w:eastAsia="Times New Roman"/>
          <w:noProof/>
          <w:bdr w:val="none" w:sz="0" w:space="0" w:color="auto"/>
        </w:rPr>
        <w:footnoteReference w:id="42"/>
      </w:r>
      <w:r>
        <w:rPr>
          <w:rFonts w:eastAsia="Times New Roman"/>
          <w:noProof/>
          <w:bdr w:val="none" w:sz="0" w:space="0" w:color="auto"/>
        </w:rPr>
        <w:t xml:space="preserve"> (around 700 to 900 on average per month) have been recorded in THETIS-EU. Compared to the situation before the Implementing Act and</w:t>
      </w:r>
      <w:r>
        <w:rPr>
          <w:rFonts w:eastAsia="Times New Roman"/>
          <w:noProof/>
          <w:bdr w:val="none" w:sz="0" w:space="0" w:color="auto"/>
        </w:rPr>
        <w:t xml:space="preserve"> THETIS-EU, the inspection volume increased from inspecting 1 in 1000 ships calling in EU ports to about 1 in 10 ships. Around 60% of those inspections (about 16.500) were carried out in the Baltic Sea and North Sea area, with the rest in other European se</w:t>
      </w:r>
      <w:r>
        <w:rPr>
          <w:rFonts w:eastAsia="Times New Roman"/>
          <w:noProof/>
          <w:bdr w:val="none" w:sz="0" w:space="0" w:color="auto"/>
        </w:rPr>
        <w:t>a areas. In the same period, around 1.350 non-compliances</w:t>
      </w:r>
      <w:r>
        <w:rPr>
          <w:rStyle w:val="FootnoteReference"/>
          <w:rFonts w:eastAsia="Times New Roman"/>
          <w:noProof/>
          <w:bdr w:val="none" w:sz="0" w:space="0" w:color="auto"/>
        </w:rPr>
        <w:footnoteReference w:id="43"/>
      </w:r>
      <w:r>
        <w:rPr>
          <w:rFonts w:eastAsia="Times New Roman"/>
          <w:noProof/>
          <w:bdr w:val="none" w:sz="0" w:space="0" w:color="auto"/>
        </w:rPr>
        <w:t xml:space="preserve"> have been recorded (around 5% of the total number of inspections). Over 80% of those cases were found in the SOx-ECAs and the remaining (mostly related to use of non-compliant fuels by ships at ber</w:t>
      </w:r>
      <w:r>
        <w:rPr>
          <w:rFonts w:eastAsia="Times New Roman"/>
          <w:noProof/>
          <w:bdr w:val="none" w:sz="0" w:space="0" w:color="auto"/>
        </w:rPr>
        <w:t>th) in the other European sea areas.</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As indicated in the graph below, the total number of reported annual inspections significantly increased from 2015 to 2017 while the annual number of reported non-compliances seemed to stabilize and proportionally decr</w:t>
      </w:r>
      <w:r>
        <w:rPr>
          <w:rFonts w:eastAsia="Times New Roman"/>
          <w:noProof/>
          <w:bdr w:val="none" w:sz="0" w:space="0" w:color="auto"/>
        </w:rPr>
        <w:t xml:space="preserve">eased when compared to the increase of annual inspections. </w:t>
      </w:r>
    </w:p>
    <w:p w:rsidR="00C4604B" w:rsidRDefault="00854B22">
      <w:pPr>
        <w:jc w:val="both"/>
        <w:rPr>
          <w:noProof/>
          <w:color w:val="1F497D"/>
          <w:lang w:val="en-IE" w:eastAsia="en-IE"/>
        </w:rPr>
      </w:pPr>
      <w:r>
        <w:rPr>
          <w:noProof/>
          <w:color w:val="1F497D"/>
          <w:lang w:val="en-IE" w:eastAsia="en-IE"/>
        </w:rPr>
        <w:t xml:space="preserve"> </w:t>
      </w:r>
    </w:p>
    <w:p w:rsidR="00C4604B" w:rsidRDefault="00854B22">
      <w:pPr>
        <w:jc w:val="both"/>
        <w:rPr>
          <w:rFonts w:eastAsia="Times New Roman"/>
          <w:noProof/>
          <w:bdr w:val="none" w:sz="0" w:space="0" w:color="auto"/>
        </w:rPr>
      </w:pPr>
      <w:r>
        <w:rPr>
          <w:rFonts w:eastAsia="Times New Roman"/>
          <w:noProof/>
          <w:bdr w:val="none" w:sz="0" w:space="0" w:color="auto"/>
          <w:lang w:val="en-GB" w:eastAsia="en-GB"/>
        </w:rPr>
        <w:drawing>
          <wp:inline distT="0" distB="0" distL="0" distR="0">
            <wp:extent cx="5480790" cy="2417700"/>
            <wp:effectExtent l="0" t="0" r="571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790" cy="2417700"/>
                    </a:xfrm>
                    <a:prstGeom prst="rect">
                      <a:avLst/>
                    </a:prstGeom>
                    <a:noFill/>
                  </pic:spPr>
                </pic:pic>
              </a:graphicData>
            </a:graphic>
          </wp:inline>
        </w:drawing>
      </w:r>
    </w:p>
    <w:p w:rsidR="00C4604B" w:rsidRDefault="00854B22">
      <w:pPr>
        <w:jc w:val="both"/>
        <w:rPr>
          <w:rFonts w:eastAsia="Times New Roman"/>
          <w:noProof/>
          <w:bdr w:val="none" w:sz="0" w:space="0" w:color="auto"/>
          <w:lang w:val="fr-FR"/>
        </w:rPr>
      </w:pPr>
      <w:r>
        <w:rPr>
          <w:rFonts w:eastAsia="Times New Roman"/>
          <w:noProof/>
          <w:sz w:val="20"/>
          <w:szCs w:val="20"/>
          <w:bdr w:val="none" w:sz="0" w:space="0" w:color="auto"/>
          <w:lang w:val="fr-FR"/>
        </w:rPr>
        <w:tab/>
      </w:r>
    </w:p>
    <w:p w:rsidR="00C4604B" w:rsidRDefault="00854B22">
      <w:pPr>
        <w:jc w:val="both"/>
        <w:rPr>
          <w:rFonts w:eastAsia="Times New Roman"/>
          <w:noProof/>
          <w:bdr w:val="none" w:sz="0" w:space="0" w:color="auto"/>
        </w:rPr>
      </w:pPr>
      <w:r>
        <w:rPr>
          <w:rFonts w:eastAsia="Times New Roman"/>
          <w:noProof/>
          <w:bdr w:val="none" w:sz="0" w:space="0" w:color="auto"/>
        </w:rPr>
        <w:t>The annual binding number of inspections and fuel samples in combination with the binding reporting format and the use of THETIS-EU has resulted in much more detailed and comprehensive reporting allowing for a better comparison of efforts between Member St</w:t>
      </w:r>
      <w:r>
        <w:rPr>
          <w:rFonts w:eastAsia="Times New Roman"/>
          <w:noProof/>
          <w:bdr w:val="none" w:sz="0" w:space="0" w:color="auto"/>
        </w:rPr>
        <w:t>ates. The good rate of compliance demonstrates the industry’s efforts to contribute to reducing air pollution from maritime transport while the significant increase of monitoring and enforcing the sulphur standards by Member States also has had a significa</w:t>
      </w:r>
      <w:r>
        <w:rPr>
          <w:rFonts w:eastAsia="Times New Roman"/>
          <w:noProof/>
          <w:bdr w:val="none" w:sz="0" w:space="0" w:color="auto"/>
        </w:rPr>
        <w:t xml:space="preserve">nt deterrent effect.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Despite the generally reinforced enforcement effort, some Member States do not yet comply with their binding number of inspections and fuel sampling as laid down in the Implementing Act. The Commission is currently analysing Member S</w:t>
      </w:r>
      <w:r>
        <w:rPr>
          <w:rFonts w:eastAsia="Times New Roman"/>
          <w:noProof/>
          <w:bdr w:val="none" w:sz="0" w:space="0" w:color="auto"/>
        </w:rPr>
        <w:t xml:space="preserve">tates’ efforts also knowing that some (local inspection) authorities experienced delays in recording the findings of their conducted sulphur inspections in THETIS-EU. The Commission will follow-up on Member States that are not compliant with the mandatory </w:t>
      </w:r>
      <w:r>
        <w:rPr>
          <w:rFonts w:eastAsia="Times New Roman"/>
          <w:noProof/>
          <w:bdr w:val="none" w:sz="0" w:space="0" w:color="auto"/>
        </w:rPr>
        <w:t xml:space="preserve">inspection and fuel sampling frequency as appropriate.  </w:t>
      </w:r>
    </w:p>
    <w:p w:rsidR="00C4604B" w:rsidRDefault="00C4604B">
      <w:pPr>
        <w:jc w:val="both"/>
        <w:rPr>
          <w:rFonts w:eastAsia="Times New Roman"/>
          <w:noProof/>
          <w:bdr w:val="none" w:sz="0" w:space="0" w:color="auto"/>
        </w:rPr>
      </w:pPr>
    </w:p>
    <w:p w:rsidR="00C4604B" w:rsidRDefault="00854B22">
      <w:pPr>
        <w:jc w:val="both"/>
        <w:rPr>
          <w:rFonts w:eastAsia="Times New Roman"/>
          <w:noProof/>
          <w:bdr w:val="none" w:sz="0" w:space="0" w:color="auto"/>
        </w:rPr>
      </w:pPr>
      <w:r>
        <w:rPr>
          <w:rFonts w:eastAsia="Times New Roman"/>
          <w:noProof/>
          <w:bdr w:val="none" w:sz="0" w:space="0" w:color="auto"/>
        </w:rPr>
        <w:t xml:space="preserve">Reported data also show a need for additional enforcement action by Member States to check compliance with some other sulphur standards, notably the 1,50% maximum for fuels used by ‘passenger ships </w:t>
      </w:r>
      <w:r>
        <w:rPr>
          <w:rFonts w:eastAsia="Times New Roman"/>
          <w:noProof/>
          <w:bdr w:val="none" w:sz="0" w:space="0" w:color="auto"/>
        </w:rPr>
        <w:t>on regular services’ (Article 6(5) of Directive (EU) 2016/802), which in principle may also include cruise ships, outside the SO</w:t>
      </w:r>
      <w:r>
        <w:rPr>
          <w:rFonts w:eastAsia="Times New Roman"/>
          <w:noProof/>
          <w:bdr w:val="none" w:sz="0" w:space="0" w:color="auto"/>
          <w:vertAlign w:val="subscript"/>
        </w:rPr>
        <w:t>x</w:t>
      </w:r>
      <w:r>
        <w:rPr>
          <w:rFonts w:eastAsia="Times New Roman"/>
          <w:noProof/>
          <w:bdr w:val="none" w:sz="0" w:space="0" w:color="auto"/>
        </w:rPr>
        <w:t>-ECAs like in the Mediterranean and insofar those vessels are considered to operate on a regular service</w:t>
      </w:r>
      <w:r>
        <w:rPr>
          <w:rStyle w:val="FootnoteReference"/>
          <w:rFonts w:eastAsia="Times New Roman"/>
          <w:noProof/>
          <w:bdr w:val="none" w:sz="0" w:space="0" w:color="auto"/>
        </w:rPr>
        <w:footnoteReference w:id="44"/>
      </w:r>
      <w:r>
        <w:rPr>
          <w:rFonts w:eastAsia="Times New Roman"/>
          <w:noProof/>
          <w:bdr w:val="none" w:sz="0" w:space="0" w:color="auto"/>
        </w:rPr>
        <w:t>, as well as the sulph</w:t>
      </w:r>
      <w:r>
        <w:rPr>
          <w:rFonts w:eastAsia="Times New Roman"/>
          <w:noProof/>
          <w:bdr w:val="none" w:sz="0" w:space="0" w:color="auto"/>
        </w:rPr>
        <w:t xml:space="preserve">ur content and overall quality of marine fuels while being delivered to ships by fuel suppliers ('bunker suppliers') (Article 13(2)(b)(i) of Directive (EU) 2016/802). </w:t>
      </w:r>
    </w:p>
    <w:p w:rsidR="00C4604B" w:rsidRDefault="00854B22">
      <w:pPr>
        <w:pStyle w:val="Heading1"/>
        <w:numPr>
          <w:ilvl w:val="0"/>
          <w:numId w:val="47"/>
        </w:numPr>
        <w:ind w:left="426" w:hanging="426"/>
        <w:jc w:val="both"/>
        <w:rPr>
          <w:rFonts w:ascii="Times New Roman" w:hAnsi="Times New Roman" w:cs="Times New Roman"/>
          <w:noProof/>
          <w:color w:val="auto"/>
        </w:rPr>
      </w:pPr>
      <w:r>
        <w:rPr>
          <w:rFonts w:ascii="Times New Roman" w:hAnsi="Times New Roman" w:cs="Times New Roman"/>
          <w:noProof/>
          <w:color w:val="auto"/>
        </w:rPr>
        <w:t xml:space="preserve">Alternative compliance methods </w:t>
      </w:r>
    </w:p>
    <w:p w:rsidR="00C4604B" w:rsidRDefault="00C4604B">
      <w:pPr>
        <w:rPr>
          <w:noProof/>
        </w:rPr>
      </w:pPr>
    </w:p>
    <w:p w:rsidR="00C4604B" w:rsidRDefault="00854B22">
      <w:pPr>
        <w:jc w:val="both"/>
        <w:rPr>
          <w:noProof/>
        </w:rPr>
      </w:pPr>
      <w:r>
        <w:rPr>
          <w:noProof/>
        </w:rPr>
        <w:t xml:space="preserve">Article 8 of Directive (EU) 2016/802 allows the use of </w:t>
      </w:r>
      <w:r>
        <w:rPr>
          <w:noProof/>
        </w:rPr>
        <w:t>'emission abatement methods' such as alternative fuels, special equipment or installations on-board ships as alternatives to using low sulphur marine fuels provided that their use results in equivalent or even greater emission reductions and that all relev</w:t>
      </w:r>
      <w:r>
        <w:rPr>
          <w:noProof/>
        </w:rPr>
        <w:t xml:space="preserve">ant conditions set in the Directive are fulfilled. </w:t>
      </w:r>
    </w:p>
    <w:p w:rsidR="00C4604B" w:rsidRDefault="00C4604B">
      <w:pPr>
        <w:jc w:val="both"/>
        <w:rPr>
          <w:noProof/>
        </w:rPr>
      </w:pPr>
    </w:p>
    <w:p w:rsidR="00C4604B" w:rsidRDefault="00854B22">
      <w:pPr>
        <w:jc w:val="both"/>
        <w:rPr>
          <w:noProof/>
        </w:rPr>
      </w:pPr>
      <w:r>
        <w:rPr>
          <w:noProof/>
        </w:rPr>
        <w:t>Regardless, as also referred to in recital (34) of Directive (EU) 2016/802, the use of alternative methods for complying with the sulphur content limits in Member States' waters should not lead to advers</w:t>
      </w:r>
      <w:r>
        <w:rPr>
          <w:noProof/>
        </w:rPr>
        <w:t>e impacts on other areas such as the aquatic environment resulting from polluting discharges to the seas or from solid waste streams or a significant increase of greenhouse gas emissions</w:t>
      </w:r>
      <w:r>
        <w:rPr>
          <w:rStyle w:val="FootnoteReference"/>
          <w:noProof/>
        </w:rPr>
        <w:footnoteReference w:id="45"/>
      </w:r>
      <w:r>
        <w:rPr>
          <w:noProof/>
        </w:rPr>
        <w:t>. To the extent possible, the Commission assists Member States with e</w:t>
      </w:r>
      <w:r>
        <w:rPr>
          <w:noProof/>
        </w:rPr>
        <w:t>nsuring compliance with seemingly overlapping obligations in Union legislation</w:t>
      </w:r>
      <w:r>
        <w:rPr>
          <w:rStyle w:val="FootnoteReference"/>
          <w:noProof/>
        </w:rPr>
        <w:footnoteReference w:id="46"/>
      </w:r>
      <w:r>
        <w:rPr>
          <w:noProof/>
        </w:rPr>
        <w:t xml:space="preserve">.   </w:t>
      </w:r>
    </w:p>
    <w:p w:rsidR="00C4604B" w:rsidRDefault="00C4604B">
      <w:pPr>
        <w:pStyle w:val="Default"/>
        <w:ind w:left="426"/>
        <w:jc w:val="both"/>
        <w:rPr>
          <w:rFonts w:ascii="Times New Roman" w:eastAsia="Times New Roman" w:hAnsi="Times New Roman" w:cs="Times New Roman"/>
          <w:b/>
          <w:noProof/>
          <w:color w:val="auto"/>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Exhaust Gas Cleaning Systems</w:t>
      </w:r>
    </w:p>
    <w:p w:rsidR="00C4604B" w:rsidRDefault="00C4604B">
      <w:pPr>
        <w:jc w:val="both"/>
        <w:rPr>
          <w:noProof/>
        </w:rPr>
      </w:pPr>
    </w:p>
    <w:p w:rsidR="00C4604B" w:rsidRDefault="00854B22">
      <w:pPr>
        <w:jc w:val="both"/>
        <w:rPr>
          <w:noProof/>
          <w:lang w:val="en-GB"/>
        </w:rPr>
      </w:pPr>
      <w:r>
        <w:rPr>
          <w:noProof/>
          <w:lang w:val="en-GB"/>
        </w:rPr>
        <w:t xml:space="preserve">Exhaust gas cleaning systems (EGCS), or 'scrubbers', cater for the continued use of HFO since they remove sulphur particles from the exhaust </w:t>
      </w:r>
      <w:r>
        <w:rPr>
          <w:noProof/>
          <w:lang w:val="en-GB"/>
        </w:rPr>
        <w:t>gas by leading it through a seawater or freshwater circuit. In terms of approval and use of exhaust gas cleaning systems, Article 9 and Annex II of the Directive (EU) 2016/802 refer to the relevant rules set by the IMO, while for ships flying the flag of a</w:t>
      </w:r>
      <w:r>
        <w:rPr>
          <w:noProof/>
          <w:lang w:val="en-GB"/>
        </w:rPr>
        <w:t>n EU Member State, the EGCS shall be approved in accordance with Directive 2014/90/EU on Marine Equipment</w:t>
      </w:r>
      <w:r>
        <w:rPr>
          <w:rStyle w:val="FootnoteReference"/>
          <w:noProof/>
          <w:lang w:val="en-GB"/>
        </w:rPr>
        <w:footnoteReference w:id="47"/>
      </w:r>
      <w:r>
        <w:rPr>
          <w:noProof/>
          <w:lang w:val="en-GB"/>
        </w:rPr>
        <w:t>. With the technical assistance of the ESSF, the EU contributes to steering discussions on the regulatory framework concerning the approval and use of</w:t>
      </w:r>
      <w:r>
        <w:rPr>
          <w:noProof/>
          <w:lang w:val="en-GB"/>
        </w:rPr>
        <w:t xml:space="preserve"> exhaust gas cleaning systems in the IMO</w:t>
      </w:r>
      <w:r>
        <w:rPr>
          <w:rStyle w:val="FootnoteReference"/>
          <w:noProof/>
          <w:lang w:val="en-GB"/>
        </w:rPr>
        <w:footnoteReference w:id="48"/>
      </w:r>
      <w:r>
        <w:rPr>
          <w:noProof/>
          <w:lang w:val="en-GB"/>
        </w:rPr>
        <w:t xml:space="preserve">. </w:t>
      </w:r>
    </w:p>
    <w:p w:rsidR="00C4604B" w:rsidRDefault="00C4604B">
      <w:pPr>
        <w:jc w:val="both"/>
        <w:rPr>
          <w:noProof/>
          <w:lang w:val="en-GB"/>
        </w:rPr>
      </w:pPr>
    </w:p>
    <w:p w:rsidR="00C4604B" w:rsidRDefault="00854B22">
      <w:pPr>
        <w:jc w:val="both"/>
        <w:rPr>
          <w:noProof/>
          <w:lang w:val="en-GB"/>
        </w:rPr>
      </w:pPr>
      <w:r>
        <w:rPr>
          <w:noProof/>
          <w:lang w:val="en-GB"/>
        </w:rPr>
        <w:t>Effective controls of overboard discharges (e.g. wash water, bleed-off) from EGCS are needed to minimize potential negative effects on the marine environment caused by acidification (change in pH values) or rele</w:t>
      </w:r>
      <w:r>
        <w:rPr>
          <w:noProof/>
          <w:lang w:val="en-GB"/>
        </w:rPr>
        <w:t>ases of heavy metals impeding Member States to achieve the objectives laid down in Union surface water quality legislation</w:t>
      </w:r>
      <w:r>
        <w:rPr>
          <w:rStyle w:val="FootnoteReference"/>
          <w:noProof/>
          <w:lang w:val="en-GB"/>
        </w:rPr>
        <w:footnoteReference w:id="49"/>
      </w:r>
      <w:r>
        <w:rPr>
          <w:noProof/>
          <w:lang w:val="en-GB"/>
        </w:rPr>
        <w:t>. To further reduce the negative impacts of EGCS on the marine environment and to ensure alignment with MARPOL Annex VI, the Commissi</w:t>
      </w:r>
      <w:r>
        <w:rPr>
          <w:noProof/>
          <w:lang w:val="en-GB"/>
        </w:rPr>
        <w:t>on recently proposed to include the residues and bleed-off water from EGCS as waste types in its proposal for a ‘new’ Directive on Port Reception Facilities for the delivery of waste from ships</w:t>
      </w:r>
      <w:r>
        <w:rPr>
          <w:rStyle w:val="FootnoteReference"/>
          <w:noProof/>
          <w:lang w:val="en-GB"/>
        </w:rPr>
        <w:footnoteReference w:id="50"/>
      </w:r>
      <w:r>
        <w:rPr>
          <w:noProof/>
          <w:lang w:val="en-GB"/>
        </w:rPr>
        <w:t xml:space="preserve">.    </w:t>
      </w:r>
    </w:p>
    <w:p w:rsidR="00C4604B" w:rsidRDefault="00C4604B">
      <w:pPr>
        <w:jc w:val="both"/>
        <w:rPr>
          <w:noProof/>
          <w:lang w:val="en-GB"/>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Liquefied Natural Gas (LNG)</w:t>
      </w:r>
    </w:p>
    <w:p w:rsidR="00C4604B" w:rsidRDefault="00C4604B">
      <w:pPr>
        <w:jc w:val="both"/>
        <w:rPr>
          <w:noProof/>
          <w:lang w:val="en-GB"/>
        </w:rPr>
      </w:pPr>
    </w:p>
    <w:p w:rsidR="00C4604B" w:rsidRDefault="00854B22">
      <w:pPr>
        <w:jc w:val="both"/>
        <w:rPr>
          <w:noProof/>
          <w:lang w:val="en-GB"/>
        </w:rPr>
      </w:pPr>
      <w:r>
        <w:rPr>
          <w:noProof/>
          <w:lang w:val="en-GB"/>
        </w:rPr>
        <w:t>The use of LNG as alternat</w:t>
      </w:r>
      <w:r>
        <w:rPr>
          <w:noProof/>
          <w:lang w:val="en-GB"/>
        </w:rPr>
        <w:t>ive fuel has the potential to not only reduce SO</w:t>
      </w:r>
      <w:r>
        <w:rPr>
          <w:noProof/>
          <w:vertAlign w:val="subscript"/>
          <w:lang w:val="en-GB"/>
        </w:rPr>
        <w:t>x</w:t>
      </w:r>
      <w:r>
        <w:rPr>
          <w:noProof/>
          <w:lang w:val="en-GB"/>
        </w:rPr>
        <w:t xml:space="preserve"> emissions, but also to significantly reduce NO</w:t>
      </w:r>
      <w:r>
        <w:rPr>
          <w:noProof/>
          <w:vertAlign w:val="subscript"/>
          <w:lang w:val="en-GB"/>
        </w:rPr>
        <w:t>x</w:t>
      </w:r>
      <w:r>
        <w:rPr>
          <w:noProof/>
          <w:lang w:val="en-GB"/>
        </w:rPr>
        <w:t xml:space="preserve"> emissions as well as particulate matter when compared to heavy fuel oil. Worldwide there are currently over 200 ships (already operating or on order) using LN</w:t>
      </w:r>
      <w:r>
        <w:rPr>
          <w:noProof/>
          <w:lang w:val="en-GB"/>
        </w:rPr>
        <w:t>G as alternative fuel, covering a wide range of ship sizes and types. Nevertheless, potential methane (CH</w:t>
      </w:r>
      <w:r>
        <w:rPr>
          <w:noProof/>
          <w:vertAlign w:val="subscript"/>
          <w:lang w:val="en-GB"/>
        </w:rPr>
        <w:t>4</w:t>
      </w:r>
      <w:r>
        <w:rPr>
          <w:noProof/>
          <w:lang w:val="en-GB"/>
        </w:rPr>
        <w:t>) emissions resulting from the use of natural gas in ship engines need to be controlled to ensure the overall environmental benefits of using LNG as s</w:t>
      </w:r>
      <w:r>
        <w:rPr>
          <w:noProof/>
          <w:lang w:val="en-GB"/>
        </w:rPr>
        <w:t>hipping fuel.</w:t>
      </w:r>
    </w:p>
    <w:p w:rsidR="00C4604B" w:rsidRDefault="00C4604B">
      <w:pPr>
        <w:jc w:val="both"/>
        <w:rPr>
          <w:noProof/>
          <w:lang w:val="en-GB"/>
        </w:rPr>
      </w:pPr>
    </w:p>
    <w:p w:rsidR="00C4604B" w:rsidRDefault="00854B22">
      <w:pPr>
        <w:jc w:val="both"/>
        <w:rPr>
          <w:noProof/>
          <w:lang w:val="en-GB"/>
        </w:rPr>
      </w:pPr>
      <w:r>
        <w:rPr>
          <w:noProof/>
          <w:lang w:val="en-GB"/>
        </w:rPr>
        <w:t>The ESSF sub-group on 'LNG as Marine Fuel' works on developing uniform rules that would ensure the safe and sustainable use of LNG in the EU, but also internationally</w:t>
      </w:r>
      <w:r>
        <w:rPr>
          <w:rStyle w:val="FootnoteReference"/>
          <w:noProof/>
          <w:lang w:val="en-GB"/>
        </w:rPr>
        <w:footnoteReference w:id="51"/>
      </w:r>
      <w:r>
        <w:rPr>
          <w:noProof/>
          <w:lang w:val="en-GB"/>
        </w:rPr>
        <w:t xml:space="preserve">.  In February 2018, EMSA published a Guidance document on safe bunkering </w:t>
      </w:r>
      <w:r>
        <w:rPr>
          <w:noProof/>
          <w:lang w:val="en-GB"/>
        </w:rPr>
        <w:t>of LNG</w:t>
      </w:r>
      <w:r>
        <w:rPr>
          <w:rStyle w:val="FootnoteReference"/>
          <w:noProof/>
          <w:lang w:val="en-GB"/>
        </w:rPr>
        <w:footnoteReference w:id="52"/>
      </w:r>
      <w:r>
        <w:rPr>
          <w:noProof/>
          <w:lang w:val="en-GB"/>
        </w:rPr>
        <w:t xml:space="preserve"> for port authorities and administrations which is largely based on the work, and experience of the experts in the ESSF.  Directive 2014/94/EU on the deployment of alternative fuels infrastructure</w:t>
      </w:r>
      <w:r>
        <w:rPr>
          <w:rStyle w:val="FootnoteReference"/>
          <w:noProof/>
          <w:lang w:val="en-GB"/>
        </w:rPr>
        <w:footnoteReference w:id="53"/>
      </w:r>
      <w:r>
        <w:rPr>
          <w:noProof/>
          <w:lang w:val="en-GB"/>
        </w:rPr>
        <w:t xml:space="preserve"> (Annex II, point 3.1) foresees further standardisat</w:t>
      </w:r>
      <w:r>
        <w:rPr>
          <w:noProof/>
          <w:lang w:val="en-GB"/>
        </w:rPr>
        <w:t>ion of LNG refuelling points for sea-going ships and inland waterway vessels in European ports to facilitate their operation across the EU. Various Member States also announced further measures to promote alternative fuels for maritime transport in their '</w:t>
      </w:r>
      <w:r>
        <w:rPr>
          <w:noProof/>
          <w:lang w:val="en-GB"/>
        </w:rPr>
        <w:t>National Policy Framework' adopted under Directive 2014/94/EU</w:t>
      </w:r>
      <w:r>
        <w:rPr>
          <w:rStyle w:val="FootnoteReference"/>
          <w:noProof/>
          <w:lang w:val="en-GB"/>
        </w:rPr>
        <w:footnoteReference w:id="54"/>
      </w:r>
      <w:r>
        <w:rPr>
          <w:noProof/>
          <w:lang w:val="en-GB"/>
        </w:rPr>
        <w:t xml:space="preserve">.  </w:t>
      </w:r>
    </w:p>
    <w:p w:rsidR="00C4604B" w:rsidRDefault="00C4604B">
      <w:pPr>
        <w:jc w:val="both"/>
        <w:rPr>
          <w:noProof/>
          <w:lang w:val="en-GB"/>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 xml:space="preserve">Electrification </w:t>
      </w:r>
    </w:p>
    <w:p w:rsidR="00C4604B" w:rsidRDefault="00C4604B">
      <w:pPr>
        <w:jc w:val="both"/>
        <w:rPr>
          <w:noProof/>
          <w:u w:val="single"/>
          <w:lang w:val="en-GB"/>
        </w:rPr>
      </w:pPr>
    </w:p>
    <w:p w:rsidR="00C4604B" w:rsidRDefault="00854B22">
      <w:pPr>
        <w:jc w:val="both"/>
        <w:rPr>
          <w:noProof/>
          <w:lang w:val="en-GB"/>
        </w:rPr>
      </w:pPr>
      <w:r>
        <w:rPr>
          <w:noProof/>
          <w:lang w:val="en-GB"/>
        </w:rPr>
        <w:t xml:space="preserve">Due to their vicinity to urban areas, ships at berth can significantly contribute to air pollution in harbour cities and thus impede efforts to meet the Union air quality </w:t>
      </w:r>
      <w:r>
        <w:rPr>
          <w:noProof/>
          <w:lang w:val="en-GB"/>
        </w:rPr>
        <w:t>standards set in the Directive 2008/50/EC on Ambient Air Quality</w:t>
      </w:r>
      <w:r>
        <w:rPr>
          <w:rStyle w:val="FootnoteReference"/>
          <w:noProof/>
          <w:lang w:val="en-GB"/>
        </w:rPr>
        <w:footnoteReference w:id="55"/>
      </w:r>
      <w:r>
        <w:rPr>
          <w:noProof/>
          <w:lang w:val="en-GB"/>
        </w:rPr>
        <w:t>. To further reduce harmful SO</w:t>
      </w:r>
      <w:r>
        <w:rPr>
          <w:noProof/>
          <w:vertAlign w:val="subscript"/>
          <w:lang w:val="en-GB"/>
        </w:rPr>
        <w:t>x</w:t>
      </w:r>
      <w:r>
        <w:rPr>
          <w:noProof/>
          <w:lang w:val="en-GB"/>
        </w:rPr>
        <w:t xml:space="preserve"> emissions of ships at berth, the Directive encourages Member States to let ships use 'shore side electricity' or 'onshore power supply' ('OPS') while docked. C</w:t>
      </w:r>
      <w:r>
        <w:rPr>
          <w:noProof/>
          <w:lang w:val="en-GB"/>
        </w:rPr>
        <w:t>onnecting ships to OPS would also contribute to reducing NO</w:t>
      </w:r>
      <w:r>
        <w:rPr>
          <w:noProof/>
          <w:vertAlign w:val="subscript"/>
          <w:lang w:val="en-GB"/>
        </w:rPr>
        <w:t>x</w:t>
      </w:r>
      <w:r>
        <w:rPr>
          <w:noProof/>
          <w:lang w:val="en-GB"/>
        </w:rPr>
        <w:t xml:space="preserve"> and PM emissions, and could be promoted beyond the existing requirements in Article 4(5) of Directive 2014/94/EU to improve air quality in port cities.</w:t>
      </w:r>
    </w:p>
    <w:p w:rsidR="00C4604B" w:rsidRDefault="00C4604B">
      <w:pPr>
        <w:jc w:val="both"/>
        <w:rPr>
          <w:noProof/>
          <w:lang w:val="en-GB"/>
        </w:rPr>
      </w:pPr>
    </w:p>
    <w:p w:rsidR="00C4604B" w:rsidRDefault="00854B22">
      <w:pPr>
        <w:jc w:val="both"/>
        <w:rPr>
          <w:noProof/>
          <w:lang w:val="en-GB"/>
        </w:rPr>
      </w:pPr>
      <w:r>
        <w:rPr>
          <w:noProof/>
          <w:lang w:val="en-GB"/>
        </w:rPr>
        <w:t>In accordance with Article 19 of Directive</w:t>
      </w:r>
      <w:r>
        <w:rPr>
          <w:noProof/>
          <w:lang w:val="en-GB"/>
        </w:rPr>
        <w:t xml:space="preserve"> 2003/96/EC on taxation of energy products and electricity</w:t>
      </w:r>
      <w:r>
        <w:rPr>
          <w:rStyle w:val="FootnoteReference"/>
          <w:noProof/>
          <w:lang w:val="en-GB"/>
        </w:rPr>
        <w:footnoteReference w:id="56"/>
      </w:r>
      <w:r>
        <w:rPr>
          <w:noProof/>
          <w:lang w:val="en-GB"/>
        </w:rPr>
        <w:t xml:space="preserve">, Member States can be authorised to apply a reduced rate of taxation on electricity provided to ships at berth which can encourage ship owners to invest in the necessary on-board equipment to use </w:t>
      </w:r>
      <w:r>
        <w:rPr>
          <w:noProof/>
          <w:lang w:val="en-GB"/>
        </w:rPr>
        <w:t>electricity from the land grid instead of from marine fuels. A number of Member States have already made use of this authorisation</w:t>
      </w:r>
      <w:r>
        <w:rPr>
          <w:rStyle w:val="FootnoteReference"/>
          <w:noProof/>
          <w:lang w:val="en-GB"/>
        </w:rPr>
        <w:footnoteReference w:id="57"/>
      </w:r>
      <w:r>
        <w:rPr>
          <w:noProof/>
          <w:lang w:val="en-GB"/>
        </w:rPr>
        <w:t>.</w:t>
      </w:r>
    </w:p>
    <w:p w:rsidR="00C4604B" w:rsidRDefault="00C4604B">
      <w:pPr>
        <w:jc w:val="both"/>
        <w:rPr>
          <w:noProof/>
          <w:u w:val="single"/>
          <w:lang w:val="en-GB"/>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 xml:space="preserve">Approval and trials of new emission abatement methods </w:t>
      </w:r>
    </w:p>
    <w:p w:rsidR="00C4604B" w:rsidRDefault="00C4604B">
      <w:pPr>
        <w:jc w:val="both"/>
        <w:rPr>
          <w:noProof/>
          <w:lang w:val="en-GB"/>
        </w:rPr>
      </w:pPr>
    </w:p>
    <w:p w:rsidR="00C4604B" w:rsidRDefault="00854B22">
      <w:pPr>
        <w:jc w:val="both"/>
        <w:rPr>
          <w:noProof/>
        </w:rPr>
      </w:pPr>
      <w:r>
        <w:rPr>
          <w:noProof/>
        </w:rPr>
        <w:t>To promote the testing and development of new emission abatement t</w:t>
      </w:r>
      <w:r>
        <w:rPr>
          <w:noProof/>
        </w:rPr>
        <w:t>echnologies, the Directive allows Member States to approve, and to grant trial periods before approval, of new emission abatement methods on ships flying their flag. Article 10 of Directive (EU) 2016/802 requires Member States to notify to the Commission a</w:t>
      </w:r>
      <w:r>
        <w:rPr>
          <w:noProof/>
        </w:rPr>
        <w:t xml:space="preserve">nd any concerned port State their intention to grant such a trial period six months before its start and of its full results after it ended. Whereas since 18 June 2014 (transposition deadline of Directive 2012/33/EU) five Member States have notified their </w:t>
      </w:r>
      <w:r>
        <w:rPr>
          <w:noProof/>
        </w:rPr>
        <w:t xml:space="preserve">intention to grant trial permits to 26 ships in accordance with Article 10, it regrettably seems that not all Member States have notified their planned trials, and the results thereof, within the applicable timeframes set out in the Directive. </w:t>
      </w:r>
    </w:p>
    <w:p w:rsidR="00C4604B" w:rsidRDefault="00C4604B">
      <w:pPr>
        <w:jc w:val="both"/>
        <w:rPr>
          <w:noProof/>
          <w:lang w:val="en-GB"/>
        </w:rPr>
      </w:pPr>
    </w:p>
    <w:p w:rsidR="00C4604B" w:rsidRDefault="00854B22">
      <w:pPr>
        <w:jc w:val="both"/>
        <w:rPr>
          <w:noProof/>
        </w:rPr>
      </w:pPr>
      <w:r>
        <w:rPr>
          <w:noProof/>
          <w:lang w:val="en-GB"/>
        </w:rPr>
        <w:t>The Commis</w:t>
      </w:r>
      <w:r>
        <w:rPr>
          <w:noProof/>
          <w:lang w:val="en-GB"/>
        </w:rPr>
        <w:t>sion will follow-up as appropriate on Member States' compliance with the requirements concerning trials, including of non-EU flagged vessels operating in their waters, to ensure full transparency of the environmental benefits of new emission abatement meth</w:t>
      </w:r>
      <w:r>
        <w:rPr>
          <w:noProof/>
          <w:lang w:val="en-GB"/>
        </w:rPr>
        <w:t>ods and to avoid that certain ships would benefit of illegitimately long trial periods. THETIS-EU may also be adapted to cater for the notification of trial permits by Member States.</w:t>
      </w:r>
    </w:p>
    <w:p w:rsidR="00C4604B" w:rsidRDefault="00854B22">
      <w:pPr>
        <w:pStyle w:val="Heading1"/>
        <w:numPr>
          <w:ilvl w:val="0"/>
          <w:numId w:val="47"/>
        </w:numPr>
        <w:ind w:left="426" w:hanging="426"/>
        <w:jc w:val="both"/>
        <w:rPr>
          <w:rFonts w:ascii="Times New Roman" w:hAnsi="Times New Roman" w:cs="Times New Roman"/>
          <w:noProof/>
          <w:color w:val="auto"/>
        </w:rPr>
      </w:pPr>
      <w:r>
        <w:rPr>
          <w:rFonts w:ascii="Times New Roman" w:hAnsi="Times New Roman" w:cs="Times New Roman"/>
          <w:noProof/>
          <w:color w:val="auto"/>
        </w:rPr>
        <w:t>Additional support to reducing air pollution from ships</w:t>
      </w:r>
    </w:p>
    <w:p w:rsidR="00C4604B" w:rsidRDefault="00C4604B">
      <w:pPr>
        <w:pStyle w:val="Default"/>
        <w:ind w:left="426"/>
        <w:jc w:val="both"/>
        <w:rPr>
          <w:rFonts w:ascii="Times New Roman" w:eastAsia="Times New Roman" w:hAnsi="Times New Roman" w:cs="Times New Roman"/>
          <w:b/>
          <w:noProof/>
          <w:color w:val="auto"/>
          <w:bdr w:val="none" w:sz="0" w:space="0" w:color="auto"/>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 xml:space="preserve">Preparing for the enforcement of the global 0,50% sulphur cap </w:t>
      </w:r>
    </w:p>
    <w:p w:rsidR="00C4604B" w:rsidRDefault="00C4604B">
      <w:pPr>
        <w:jc w:val="both"/>
        <w:rPr>
          <w:b/>
          <w:noProof/>
          <w:lang w:val="en-GB"/>
        </w:rPr>
      </w:pPr>
    </w:p>
    <w:p w:rsidR="00C4604B" w:rsidRDefault="00854B22">
      <w:pPr>
        <w:jc w:val="both"/>
        <w:rPr>
          <w:noProof/>
          <w:lang w:val="en-GB"/>
        </w:rPr>
      </w:pPr>
      <w:r>
        <w:rPr>
          <w:noProof/>
          <w:lang w:val="en-GB"/>
        </w:rPr>
        <w:t>In October 2016, taking into account the conclusions of a global availability assessment of compliant fuels, the IMO took the landmark decision to maintain 2020 as entry-into-force date of the</w:t>
      </w:r>
      <w:r>
        <w:rPr>
          <w:noProof/>
          <w:lang w:val="en-GB"/>
        </w:rPr>
        <w:t xml:space="preserve"> global 0,50% sulphur cap</w:t>
      </w:r>
      <w:r>
        <w:rPr>
          <w:rStyle w:val="FootnoteReference"/>
          <w:noProof/>
          <w:lang w:val="en-GB"/>
        </w:rPr>
        <w:footnoteReference w:id="58"/>
      </w:r>
      <w:r>
        <w:rPr>
          <w:noProof/>
          <w:lang w:val="en-GB"/>
        </w:rPr>
        <w:t>. The support of the EU and Member States was crucial in achieving this decision which will contribute to reducing the adverse impacts of air pollution from ships for citizens all around the world.</w:t>
      </w:r>
    </w:p>
    <w:p w:rsidR="00C4604B" w:rsidRDefault="00C4604B">
      <w:pPr>
        <w:jc w:val="both"/>
        <w:rPr>
          <w:noProof/>
          <w:lang w:val="en-GB"/>
        </w:rPr>
      </w:pPr>
    </w:p>
    <w:p w:rsidR="00C4604B" w:rsidRDefault="00854B22">
      <w:pPr>
        <w:jc w:val="both"/>
        <w:rPr>
          <w:noProof/>
          <w:lang w:val="en-GB"/>
        </w:rPr>
      </w:pPr>
      <w:r>
        <w:rPr>
          <w:noProof/>
          <w:lang w:val="en-GB"/>
        </w:rPr>
        <w:t>Following from the different Un</w:t>
      </w:r>
      <w:r>
        <w:rPr>
          <w:noProof/>
          <w:lang w:val="en-GB"/>
        </w:rPr>
        <w:t xml:space="preserve">ion support mechanisms as described in this report, EU Member States are well prepared to effectively enforce the 0,50% maximum sulphur content as of 2020. However, at international level considerable work needs to be done to prepare for global compliance </w:t>
      </w:r>
      <w:r>
        <w:rPr>
          <w:noProof/>
          <w:lang w:val="en-GB"/>
        </w:rPr>
        <w:t>with and enforcement of the 0,50% sulphur cap laid down in MARPOL Annex VI. Effective preparation is essential to safeguard a global level-playing-field for operators and to reduce air pollution from ships across the world, notably in those coastal regions</w:t>
      </w:r>
      <w:r>
        <w:rPr>
          <w:noProof/>
          <w:lang w:val="en-GB"/>
        </w:rPr>
        <w:t xml:space="preserve"> close to intensive international shipping routes. </w:t>
      </w:r>
    </w:p>
    <w:p w:rsidR="00C4604B" w:rsidRDefault="00C4604B">
      <w:pPr>
        <w:jc w:val="both"/>
        <w:rPr>
          <w:noProof/>
          <w:lang w:val="en-GB"/>
        </w:rPr>
      </w:pPr>
    </w:p>
    <w:p w:rsidR="00C4604B" w:rsidRDefault="00854B22">
      <w:pPr>
        <w:jc w:val="both"/>
        <w:rPr>
          <w:noProof/>
          <w:lang w:val="en-GB"/>
        </w:rPr>
      </w:pPr>
      <w:r>
        <w:rPr>
          <w:noProof/>
          <w:lang w:val="en-GB"/>
        </w:rPr>
        <w:t>The Commission and EU Member States, with the support of the ESSF sub-group on Air Emissions from Ships, actively contribute to the discussions on the preparation of the entry into force of the global su</w:t>
      </w:r>
      <w:r>
        <w:rPr>
          <w:noProof/>
          <w:lang w:val="en-GB"/>
        </w:rPr>
        <w:t>lphur cap in the IMO including by sharing their extensive experience of implementing the low sulphur requirements in the European SOx-ECAs from an Administration as well as from an operator perspective.</w:t>
      </w:r>
      <w:r>
        <w:rPr>
          <w:rStyle w:val="FootnoteReference"/>
          <w:noProof/>
          <w:lang w:val="en-GB"/>
        </w:rPr>
        <w:footnoteReference w:id="59"/>
      </w:r>
      <w:r>
        <w:rPr>
          <w:noProof/>
          <w:lang w:val="en-GB"/>
        </w:rPr>
        <w:t xml:space="preserve"> </w:t>
      </w:r>
    </w:p>
    <w:p w:rsidR="00C4604B" w:rsidRDefault="00C4604B">
      <w:pPr>
        <w:jc w:val="both"/>
        <w:rPr>
          <w:noProof/>
          <w:lang w:val="en-GB"/>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External dimension of the Sulphur Directive</w:t>
      </w:r>
    </w:p>
    <w:p w:rsidR="00C4604B" w:rsidRDefault="00C4604B">
      <w:pPr>
        <w:jc w:val="both"/>
        <w:rPr>
          <w:noProof/>
          <w:lang w:val="en-GB"/>
        </w:rPr>
      </w:pPr>
    </w:p>
    <w:p w:rsidR="00C4604B" w:rsidRDefault="00854B22">
      <w:pPr>
        <w:jc w:val="both"/>
        <w:rPr>
          <w:noProof/>
          <w:lang w:val="en-GB"/>
        </w:rPr>
      </w:pPr>
      <w:r>
        <w:rPr>
          <w:noProof/>
          <w:lang w:val="en-GB"/>
        </w:rPr>
        <w:t xml:space="preserve">EMSA </w:t>
      </w:r>
      <w:r>
        <w:rPr>
          <w:noProof/>
          <w:lang w:val="en-GB"/>
        </w:rPr>
        <w:t>provides capacity building activities, like dedicated trainings on EU environmental legislation including on air emissions from ships to maritime administrations and inspectors of Candidate, potential Candidate countries and countries falling under the Eur</w:t>
      </w:r>
      <w:r>
        <w:rPr>
          <w:noProof/>
          <w:lang w:val="en-GB"/>
        </w:rPr>
        <w:t>opean Neighbourhood Instrument with the objective of enhancing enforcement of sulphur standards and approximating legislation to the Union acquis (in support of their on-going/planned accession process</w:t>
      </w:r>
      <w:r>
        <w:rPr>
          <w:rStyle w:val="FootnoteReference"/>
          <w:noProof/>
          <w:lang w:val="en-GB"/>
        </w:rPr>
        <w:footnoteReference w:id="60"/>
      </w:r>
      <w:r>
        <w:rPr>
          <w:noProof/>
          <w:vertAlign w:val="superscript"/>
          <w:lang w:val="en-GB"/>
        </w:rPr>
        <w:t>,</w:t>
      </w:r>
      <w:r>
        <w:rPr>
          <w:rStyle w:val="FootnoteReference"/>
          <w:noProof/>
          <w:lang w:val="en-GB"/>
        </w:rPr>
        <w:footnoteReference w:id="61"/>
      </w:r>
      <w:r>
        <w:rPr>
          <w:noProof/>
          <w:lang w:val="en-GB"/>
        </w:rPr>
        <w:t>).</w:t>
      </w:r>
      <w:r>
        <w:rPr>
          <w:noProof/>
          <w:sz w:val="20"/>
          <w:szCs w:val="20"/>
          <w:lang w:val="en-GB"/>
        </w:rPr>
        <w:t xml:space="preserve"> </w:t>
      </w:r>
      <w:r>
        <w:rPr>
          <w:noProof/>
          <w:lang w:val="en-GB"/>
        </w:rPr>
        <w:t>EMSA’s support includes facilitating future acces</w:t>
      </w:r>
      <w:r>
        <w:rPr>
          <w:noProof/>
          <w:lang w:val="en-GB"/>
        </w:rPr>
        <w:t>s to THETIS-EU.</w:t>
      </w:r>
    </w:p>
    <w:p w:rsidR="00C4604B" w:rsidRDefault="00C4604B">
      <w:pPr>
        <w:jc w:val="both"/>
        <w:rPr>
          <w:noProof/>
          <w:lang w:val="en-GB"/>
        </w:rPr>
      </w:pPr>
    </w:p>
    <w:p w:rsidR="00C4604B" w:rsidRDefault="00854B22">
      <w:pPr>
        <w:jc w:val="both"/>
        <w:rPr>
          <w:noProof/>
          <w:lang w:val="en-GB"/>
        </w:rPr>
      </w:pPr>
      <w:r>
        <w:rPr>
          <w:noProof/>
          <w:lang w:val="en-GB"/>
        </w:rPr>
        <w:t>On 14 October 2016 the Ministerial Council of the Energy Community</w:t>
      </w:r>
      <w:r>
        <w:rPr>
          <w:rStyle w:val="FootnoteReference"/>
          <w:noProof/>
          <w:lang w:val="en-GB"/>
        </w:rPr>
        <w:footnoteReference w:id="62"/>
      </w:r>
      <w:r>
        <w:rPr>
          <w:noProof/>
          <w:lang w:val="en-GB"/>
        </w:rPr>
        <w:t xml:space="preserve"> decided to amend the Treaty by incorporating the Sulphur Directive and the Implementing Act</w:t>
      </w:r>
      <w:r>
        <w:rPr>
          <w:rStyle w:val="FootnoteReference"/>
          <w:noProof/>
          <w:lang w:val="en-GB"/>
        </w:rPr>
        <w:footnoteReference w:id="63"/>
      </w:r>
      <w:r>
        <w:rPr>
          <w:noProof/>
          <w:lang w:val="en-GB"/>
        </w:rPr>
        <w:t>. This regulatory alignment will help further reducing SO</w:t>
      </w:r>
      <w:r>
        <w:rPr>
          <w:noProof/>
          <w:vertAlign w:val="subscript"/>
          <w:lang w:val="en-GB"/>
        </w:rPr>
        <w:t>X</w:t>
      </w:r>
      <w:r>
        <w:rPr>
          <w:noProof/>
          <w:lang w:val="en-GB"/>
        </w:rPr>
        <w:t xml:space="preserve"> emissions in neighbo</w:t>
      </w:r>
      <w:r>
        <w:rPr>
          <w:noProof/>
          <w:lang w:val="en-GB"/>
        </w:rPr>
        <w:t xml:space="preserve">uring regions. </w:t>
      </w:r>
    </w:p>
    <w:p w:rsidR="00C4604B" w:rsidRDefault="00C4604B">
      <w:pPr>
        <w:jc w:val="both"/>
        <w:rPr>
          <w:noProof/>
          <w:lang w:val="en-GB"/>
        </w:rPr>
      </w:pPr>
    </w:p>
    <w:p w:rsidR="00C4604B" w:rsidRDefault="00854B22">
      <w:pPr>
        <w:jc w:val="both"/>
        <w:rPr>
          <w:noProof/>
        </w:rPr>
      </w:pPr>
      <w:r>
        <w:rPr>
          <w:iCs/>
          <w:noProof/>
        </w:rPr>
        <w:t>As party to MARPOL Annex VI, the Convention on the Protection of the Marine Environment of the Baltic Sea Area (the 'Helsinki Convention'), and as a riparian state of the Baltic SO</w:t>
      </w:r>
      <w:r>
        <w:rPr>
          <w:iCs/>
          <w:noProof/>
          <w:vertAlign w:val="subscript"/>
        </w:rPr>
        <w:t>x</w:t>
      </w:r>
      <w:r>
        <w:rPr>
          <w:iCs/>
          <w:noProof/>
        </w:rPr>
        <w:t xml:space="preserve">-ECA, the Russian Federation has an important role in </w:t>
      </w:r>
      <w:r>
        <w:rPr>
          <w:iCs/>
          <w:noProof/>
        </w:rPr>
        <w:t>checking compliance with the low sulphur requirements by ships visiting Russian ports in the Baltic Sea or flying the Russian flag. Such efforts are crucial to ensure a level-playing-field, notably in the Baltic SO</w:t>
      </w:r>
      <w:r>
        <w:rPr>
          <w:iCs/>
          <w:noProof/>
          <w:vertAlign w:val="subscript"/>
        </w:rPr>
        <w:t>x</w:t>
      </w:r>
      <w:r>
        <w:rPr>
          <w:iCs/>
          <w:noProof/>
        </w:rPr>
        <w:t xml:space="preserve">-ECA and access to THETIS-EU may support </w:t>
      </w:r>
      <w:r>
        <w:rPr>
          <w:iCs/>
          <w:noProof/>
        </w:rPr>
        <w:t>those enforcement efforts.      </w:t>
      </w:r>
    </w:p>
    <w:p w:rsidR="00C4604B" w:rsidRDefault="00C4604B">
      <w:pPr>
        <w:jc w:val="both"/>
        <w:rPr>
          <w:rFonts w:ascii="Roboto" w:hAnsi="Roboto"/>
          <w:noProof/>
          <w:color w:val="FFFFFF"/>
          <w:sz w:val="21"/>
          <w:szCs w:val="21"/>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Nitrogen Oxides Emission Control Areas in the Baltic Sea and North Sea</w:t>
      </w:r>
    </w:p>
    <w:p w:rsidR="00C4604B" w:rsidRDefault="00C4604B">
      <w:pPr>
        <w:pStyle w:val="Default"/>
        <w:ind w:left="426"/>
        <w:jc w:val="both"/>
        <w:rPr>
          <w:noProof/>
        </w:rPr>
      </w:pPr>
    </w:p>
    <w:p w:rsidR="00C4604B" w:rsidRDefault="00854B22">
      <w:pPr>
        <w:jc w:val="both"/>
        <w:rPr>
          <w:iCs/>
          <w:noProof/>
        </w:rPr>
      </w:pPr>
      <w:r>
        <w:rPr>
          <w:iCs/>
          <w:noProof/>
        </w:rPr>
        <w:t>Further to the Commission's 2013 Clean Air Policy Package, and in line with Article 14(2) of Directive (EU) 2016/802, the Commission continues to asse</w:t>
      </w:r>
      <w:r>
        <w:rPr>
          <w:iCs/>
          <w:noProof/>
        </w:rPr>
        <w:t>ss progress in reducing emissions from ships, including emissions other than SOx, and the potential for further reducing air pollution from the sector. In that context, it should be noted that nitrogen oxide (NOx) emissions from ships contribute to local a</w:t>
      </w:r>
      <w:r>
        <w:rPr>
          <w:iCs/>
          <w:noProof/>
        </w:rPr>
        <w:t xml:space="preserve">ir quality problems in the EU (caused by increased nitrogen dioxide (NO2) concentrations in ambient air) and to eutrophication of European seas. </w:t>
      </w:r>
    </w:p>
    <w:p w:rsidR="00C4604B" w:rsidRDefault="00C4604B">
      <w:pPr>
        <w:jc w:val="both"/>
        <w:rPr>
          <w:iCs/>
          <w:noProof/>
        </w:rPr>
      </w:pPr>
    </w:p>
    <w:p w:rsidR="00C4604B" w:rsidRDefault="00854B22">
      <w:pPr>
        <w:jc w:val="both"/>
        <w:rPr>
          <w:iCs/>
          <w:noProof/>
        </w:rPr>
      </w:pPr>
      <w:r>
        <w:rPr>
          <w:iCs/>
          <w:noProof/>
        </w:rPr>
        <w:t>In response to the joint request of the riparian states bordering the Baltic Sea and the North Sea, the IMO d</w:t>
      </w:r>
      <w:r>
        <w:rPr>
          <w:iCs/>
          <w:noProof/>
        </w:rPr>
        <w:t>esignated both seas as ‘Nitrogen Oxides Emission Control Areas’ (NOx-ECAs) in July 2017</w:t>
      </w:r>
      <w:r>
        <w:rPr>
          <w:iCs/>
          <w:noProof/>
        </w:rPr>
        <w:footnoteReference w:id="64"/>
      </w:r>
      <w:r>
        <w:rPr>
          <w:iCs/>
          <w:noProof/>
        </w:rPr>
        <w:t>. This implies that an engine installed on a ship constructed after 1 January 2021 that operates in the Baltic Sea or the North Sea will have to comply with the ‘Tier I</w:t>
      </w:r>
      <w:r>
        <w:rPr>
          <w:iCs/>
          <w:noProof/>
        </w:rPr>
        <w:t>II’ engine requirements laid down in MARPOL Annex VI. Without these control measures, NOx emissions from North Sea shipping would have contributed between 7% to 24% to the average annual ambient air concentrations of NO2 in the North Sea riparian states by</w:t>
      </w:r>
      <w:r>
        <w:rPr>
          <w:iCs/>
          <w:noProof/>
        </w:rPr>
        <w:t xml:space="preserve"> 2030, while the application of ‘Tier III’ engine requirements can reduce eutrophication in several areas in the Baltic Sea by up to 20-30%</w:t>
      </w:r>
      <w:r>
        <w:rPr>
          <w:iCs/>
          <w:noProof/>
        </w:rPr>
        <w:footnoteReference w:id="65"/>
      </w:r>
      <w:r>
        <w:rPr>
          <w:iCs/>
          <w:noProof/>
        </w:rPr>
        <w:t xml:space="preserve">. </w:t>
      </w:r>
    </w:p>
    <w:p w:rsidR="00C4604B" w:rsidRDefault="00C4604B">
      <w:pPr>
        <w:jc w:val="both"/>
        <w:rPr>
          <w:noProof/>
          <w:color w:val="000000" w:themeColor="text1"/>
        </w:rPr>
      </w:pPr>
    </w:p>
    <w:p w:rsidR="00C4604B" w:rsidRDefault="00854B22">
      <w:pPr>
        <w:pStyle w:val="Default"/>
        <w:numPr>
          <w:ilvl w:val="1"/>
          <w:numId w:val="47"/>
        </w:numPr>
        <w:ind w:left="426" w:hanging="426"/>
        <w:jc w:val="both"/>
        <w:rPr>
          <w:rFonts w:ascii="Times New Roman" w:eastAsia="Times New Roman" w:hAnsi="Times New Roman" w:cs="Times New Roman"/>
          <w:b/>
          <w:noProof/>
          <w:color w:val="auto"/>
          <w:bdr w:val="none" w:sz="0" w:space="0" w:color="auto"/>
        </w:rPr>
      </w:pPr>
      <w:r>
        <w:rPr>
          <w:rFonts w:ascii="Times New Roman" w:eastAsia="Times New Roman" w:hAnsi="Times New Roman" w:cs="Times New Roman"/>
          <w:b/>
          <w:noProof/>
          <w:color w:val="auto"/>
          <w:bdr w:val="none" w:sz="0" w:space="0" w:color="auto"/>
        </w:rPr>
        <w:t>Further action on reducing air pollution from ships</w:t>
      </w:r>
    </w:p>
    <w:p w:rsidR="00C4604B" w:rsidRDefault="00C4604B">
      <w:pPr>
        <w:jc w:val="both"/>
        <w:rPr>
          <w:noProof/>
          <w:color w:val="000000" w:themeColor="text1"/>
        </w:rPr>
      </w:pPr>
    </w:p>
    <w:p w:rsidR="00C4604B" w:rsidRDefault="00854B22">
      <w:pPr>
        <w:jc w:val="both"/>
        <w:rPr>
          <w:noProof/>
          <w:color w:val="000000" w:themeColor="text1"/>
        </w:rPr>
      </w:pPr>
      <w:r>
        <w:rPr>
          <w:noProof/>
          <w:color w:val="000000" w:themeColor="text1"/>
        </w:rPr>
        <w:t>Union air quality standards continue to be exceeded in many</w:t>
      </w:r>
      <w:r>
        <w:rPr>
          <w:noProof/>
          <w:color w:val="000000" w:themeColor="text1"/>
        </w:rPr>
        <w:t xml:space="preserve"> coastal cities and regions around the EU calling for action and measures that reduce emissions of atmospheric pollutants from all different contributing sources, including shipping. While as of 2020 all European citizens will benefit from a reduction of S</w:t>
      </w:r>
      <w:r>
        <w:rPr>
          <w:noProof/>
          <w:color w:val="000000" w:themeColor="text1"/>
        </w:rPr>
        <w:t>O</w:t>
      </w:r>
      <w:r>
        <w:rPr>
          <w:noProof/>
          <w:color w:val="000000" w:themeColor="text1"/>
          <w:vertAlign w:val="subscript"/>
        </w:rPr>
        <w:t xml:space="preserve">x </w:t>
      </w:r>
      <w:r>
        <w:rPr>
          <w:noProof/>
          <w:color w:val="000000" w:themeColor="text1"/>
        </w:rPr>
        <w:t>emissions from shipping following the taking effect of the 0,50% sulphur standard, no immediate reduction of NO</w:t>
      </w:r>
      <w:r>
        <w:rPr>
          <w:noProof/>
          <w:color w:val="000000" w:themeColor="text1"/>
          <w:vertAlign w:val="subscript"/>
        </w:rPr>
        <w:t>x</w:t>
      </w:r>
      <w:r>
        <w:rPr>
          <w:noProof/>
          <w:color w:val="000000" w:themeColor="text1"/>
        </w:rPr>
        <w:t xml:space="preserve"> emissions from shipping is foreseen outside the Baltic Sea and North Sea N</w:t>
      </w:r>
      <w:r>
        <w:rPr>
          <w:noProof/>
        </w:rPr>
        <w:t>O</w:t>
      </w:r>
      <w:r>
        <w:rPr>
          <w:noProof/>
          <w:vertAlign w:val="subscript"/>
        </w:rPr>
        <w:t>x</w:t>
      </w:r>
      <w:r>
        <w:rPr>
          <w:noProof/>
          <w:color w:val="000000" w:themeColor="text1"/>
        </w:rPr>
        <w:t>-ECAs even though exceedances of EU air quality standards for NO</w:t>
      </w:r>
      <w:r>
        <w:rPr>
          <w:noProof/>
          <w:color w:val="000000" w:themeColor="text1"/>
          <w:vertAlign w:val="subscript"/>
        </w:rPr>
        <w:t>2</w:t>
      </w:r>
      <w:r>
        <w:rPr>
          <w:noProof/>
          <w:color w:val="000000" w:themeColor="text1"/>
        </w:rPr>
        <w:t xml:space="preserve"> frequently occur also in coastal regions in Southern Europe</w:t>
      </w:r>
      <w:r>
        <w:rPr>
          <w:rStyle w:val="FootnoteReference"/>
          <w:noProof/>
          <w:color w:val="000000" w:themeColor="text1"/>
        </w:rPr>
        <w:footnoteReference w:id="66"/>
      </w:r>
      <w:r>
        <w:rPr>
          <w:noProof/>
          <w:color w:val="000000" w:themeColor="text1"/>
        </w:rPr>
        <w:t xml:space="preserve">. </w:t>
      </w:r>
    </w:p>
    <w:p w:rsidR="00C4604B" w:rsidRDefault="00C4604B">
      <w:pPr>
        <w:jc w:val="both"/>
        <w:rPr>
          <w:noProof/>
          <w:color w:val="000000" w:themeColor="text1"/>
        </w:rPr>
      </w:pPr>
    </w:p>
    <w:p w:rsidR="00C4604B" w:rsidRDefault="00854B22">
      <w:pPr>
        <w:jc w:val="both"/>
        <w:rPr>
          <w:noProof/>
          <w:color w:val="000000" w:themeColor="text1"/>
        </w:rPr>
      </w:pPr>
      <w:r>
        <w:rPr>
          <w:noProof/>
          <w:color w:val="000000" w:themeColor="text1"/>
        </w:rPr>
        <w:t>The Commission launched in 2017 a study to identify the health benefits and associated costs of designating additional Emission Control Areas (both for SO</w:t>
      </w:r>
      <w:r>
        <w:rPr>
          <w:noProof/>
          <w:color w:val="000000" w:themeColor="text1"/>
          <w:vertAlign w:val="subscript"/>
        </w:rPr>
        <w:t>x</w:t>
      </w:r>
      <w:r>
        <w:rPr>
          <w:noProof/>
          <w:color w:val="000000" w:themeColor="text1"/>
        </w:rPr>
        <w:t xml:space="preserve"> and NO</w:t>
      </w:r>
      <w:r>
        <w:rPr>
          <w:noProof/>
          <w:color w:val="000000" w:themeColor="text1"/>
          <w:vertAlign w:val="subscript"/>
        </w:rPr>
        <w:t>x</w:t>
      </w:r>
      <w:r>
        <w:rPr>
          <w:noProof/>
          <w:color w:val="000000" w:themeColor="text1"/>
        </w:rPr>
        <w:t xml:space="preserve"> emissions) in European sea</w:t>
      </w:r>
      <w:r>
        <w:rPr>
          <w:noProof/>
          <w:color w:val="000000" w:themeColor="text1"/>
        </w:rPr>
        <w:t>s other than the Baltic and North Seas. The study will also assess the benefits of lowering the sulphur content of marine fuels from 0,50% to 0,10% in European seas outside the SO</w:t>
      </w:r>
      <w:r>
        <w:rPr>
          <w:noProof/>
          <w:color w:val="000000" w:themeColor="text1"/>
          <w:vertAlign w:val="subscript"/>
        </w:rPr>
        <w:t>x</w:t>
      </w:r>
      <w:r>
        <w:rPr>
          <w:noProof/>
          <w:color w:val="000000" w:themeColor="text1"/>
        </w:rPr>
        <w:t xml:space="preserve">-ECAs as of 2020. The Commission also tasked EMSA to develop inventories of </w:t>
      </w:r>
      <w:r>
        <w:rPr>
          <w:noProof/>
          <w:color w:val="000000" w:themeColor="text1"/>
        </w:rPr>
        <w:t>total ship emissions (SO</w:t>
      </w:r>
      <w:r>
        <w:rPr>
          <w:noProof/>
          <w:color w:val="000000" w:themeColor="text1"/>
          <w:vertAlign w:val="subscript"/>
        </w:rPr>
        <w:t>x</w:t>
      </w:r>
      <w:r>
        <w:rPr>
          <w:noProof/>
          <w:color w:val="000000" w:themeColor="text1"/>
        </w:rPr>
        <w:t>, NO</w:t>
      </w:r>
      <w:r>
        <w:rPr>
          <w:noProof/>
          <w:color w:val="000000" w:themeColor="text1"/>
          <w:vertAlign w:val="subscript"/>
        </w:rPr>
        <w:t xml:space="preserve">x </w:t>
      </w:r>
      <w:r>
        <w:rPr>
          <w:noProof/>
          <w:color w:val="000000" w:themeColor="text1"/>
        </w:rPr>
        <w:t xml:space="preserve">and PM) in all European waters based on ship activity data. </w:t>
      </w:r>
    </w:p>
    <w:p w:rsidR="00C4604B" w:rsidRDefault="00C4604B">
      <w:pPr>
        <w:jc w:val="both"/>
        <w:rPr>
          <w:noProof/>
          <w:color w:val="000000" w:themeColor="text1"/>
        </w:rPr>
      </w:pPr>
    </w:p>
    <w:p w:rsidR="00C4604B" w:rsidRDefault="00854B22">
      <w:pPr>
        <w:jc w:val="both"/>
        <w:rPr>
          <w:noProof/>
          <w:lang w:val="en-GB"/>
        </w:rPr>
      </w:pPr>
      <w:r>
        <w:rPr>
          <w:noProof/>
          <w:color w:val="000000" w:themeColor="text1"/>
        </w:rPr>
        <w:t xml:space="preserve">Work on both tasks should be finalized in 2018. It will allow the Commission and Member States to better assess the impact of ship emissions on air quality in </w:t>
      </w:r>
      <w:r>
        <w:rPr>
          <w:noProof/>
          <w:color w:val="000000" w:themeColor="text1"/>
        </w:rPr>
        <w:t>coastal regions in support of defining appropriate policies and measures that could further reduce the contribution from shipping to air pollution in the Union. It may also inform the discussions, under the ‘</w:t>
      </w:r>
      <w:r>
        <w:rPr>
          <w:noProof/>
          <w:lang w:val="en-GB"/>
        </w:rPr>
        <w:t>Barcelona Convention’ to which the Union is a co</w:t>
      </w:r>
      <w:r>
        <w:rPr>
          <w:noProof/>
          <w:lang w:val="en-GB"/>
        </w:rPr>
        <w:t>ntracting party, on the feasibility of a future designation of the Mediterranean Sea, or parts thereof, as a SOx-ECA.</w:t>
      </w:r>
    </w:p>
    <w:p w:rsidR="00C4604B" w:rsidRDefault="00854B22">
      <w:pPr>
        <w:pStyle w:val="Heading1"/>
        <w:numPr>
          <w:ilvl w:val="0"/>
          <w:numId w:val="47"/>
        </w:numPr>
        <w:ind w:left="426" w:hanging="426"/>
        <w:jc w:val="both"/>
        <w:rPr>
          <w:rFonts w:ascii="Times New Roman" w:hAnsi="Times New Roman" w:cs="Times New Roman"/>
          <w:noProof/>
          <w:color w:val="auto"/>
        </w:rPr>
      </w:pPr>
      <w:r>
        <w:rPr>
          <w:rFonts w:ascii="Times New Roman" w:hAnsi="Times New Roman" w:cs="Times New Roman"/>
          <w:noProof/>
          <w:color w:val="auto"/>
        </w:rPr>
        <w:t>Conclusions on implementation and compliance, and future actions</w:t>
      </w:r>
    </w:p>
    <w:p w:rsidR="00C4604B" w:rsidRDefault="00C4604B">
      <w:pPr>
        <w:jc w:val="both"/>
        <w:rPr>
          <w:noProof/>
          <w:color w:val="000000" w:themeColor="text1"/>
          <w:u w:val="single"/>
        </w:rPr>
      </w:pPr>
    </w:p>
    <w:p w:rsidR="00C4604B" w:rsidRDefault="00854B22">
      <w:pPr>
        <w:jc w:val="both"/>
        <w:rPr>
          <w:noProof/>
          <w:lang w:val="en-GB"/>
        </w:rPr>
      </w:pPr>
      <w:r>
        <w:rPr>
          <w:noProof/>
          <w:lang w:val="en-GB"/>
        </w:rPr>
        <w:t>Following the thorough preparation and good collaboration with and among</w:t>
      </w:r>
      <w:r>
        <w:rPr>
          <w:noProof/>
          <w:lang w:val="en-GB"/>
        </w:rPr>
        <w:t xml:space="preserve"> Member States and industry as described in this Report, steady progress has been made in implementing Directive 1999/32/EC since its latest revision in 2012 (today codified as Directive (EU) 2016/802). As a result of the good rate of compliance with and e</w:t>
      </w:r>
      <w:r>
        <w:rPr>
          <w:noProof/>
          <w:lang w:val="en-GB"/>
        </w:rPr>
        <w:t>nhanced enforcement of  sulphur standards, concentrations of SO</w:t>
      </w:r>
      <w:r>
        <w:rPr>
          <w:noProof/>
          <w:vertAlign w:val="subscript"/>
          <w:lang w:val="en-GB"/>
        </w:rPr>
        <w:t>2</w:t>
      </w:r>
      <w:r>
        <w:rPr>
          <w:noProof/>
          <w:lang w:val="en-GB"/>
        </w:rPr>
        <w:t xml:space="preserve"> in coastal regions, notably in the SO</w:t>
      </w:r>
      <w:r>
        <w:rPr>
          <w:noProof/>
          <w:vertAlign w:val="subscript"/>
          <w:lang w:val="en-GB"/>
        </w:rPr>
        <w:t>x</w:t>
      </w:r>
      <w:r>
        <w:rPr>
          <w:noProof/>
          <w:lang w:val="en-GB"/>
        </w:rPr>
        <w:t xml:space="preserve">-ECAs, have gone down significantly while the overall economic impacts on the sector remained minimal. </w:t>
      </w:r>
    </w:p>
    <w:p w:rsidR="00C4604B" w:rsidRDefault="00C4604B">
      <w:pPr>
        <w:jc w:val="both"/>
        <w:rPr>
          <w:noProof/>
          <w:lang w:val="en-GB"/>
        </w:rPr>
      </w:pPr>
    </w:p>
    <w:p w:rsidR="00C4604B" w:rsidRDefault="00854B22">
      <w:pPr>
        <w:jc w:val="both"/>
        <w:rPr>
          <w:noProof/>
          <w:lang w:val="en-GB"/>
        </w:rPr>
      </w:pPr>
      <w:r>
        <w:rPr>
          <w:noProof/>
          <w:lang w:val="en-GB"/>
        </w:rPr>
        <w:t>Industry’s and Member States’ experience with pr</w:t>
      </w:r>
      <w:r>
        <w:rPr>
          <w:noProof/>
          <w:lang w:val="en-GB"/>
        </w:rPr>
        <w:t>eparing for the change to the 0,10% sulphur content in marine fuels on 1 January 2015 in the European SOx-ECAs and compliance checking has provided valuable lessons which can be replicated in other European regions and internationally in view of the entry-</w:t>
      </w:r>
      <w:r>
        <w:rPr>
          <w:noProof/>
          <w:lang w:val="en-GB"/>
        </w:rPr>
        <w:t xml:space="preserve">into-force of the 0.50% global sulphur cap in 2020.  </w:t>
      </w:r>
    </w:p>
    <w:p w:rsidR="00C4604B" w:rsidRDefault="00C4604B">
      <w:pPr>
        <w:jc w:val="both"/>
        <w:rPr>
          <w:noProof/>
          <w:lang w:val="en-GB"/>
        </w:rPr>
      </w:pPr>
    </w:p>
    <w:p w:rsidR="00C4604B" w:rsidRDefault="00854B22">
      <w:pPr>
        <w:jc w:val="both"/>
        <w:rPr>
          <w:noProof/>
          <w:lang w:val="en-GB"/>
        </w:rPr>
      </w:pPr>
      <w:r>
        <w:rPr>
          <w:noProof/>
          <w:lang w:val="en-GB"/>
        </w:rPr>
        <w:t>In accordance with Article 14(1) of Directive (EU) 2016/802, the Commission evaluated on the basis of the enforcement reports received for the years 2015 to 2017 and of other relevant developments as d</w:t>
      </w:r>
      <w:r>
        <w:rPr>
          <w:noProof/>
          <w:lang w:val="en-GB"/>
        </w:rPr>
        <w:t xml:space="preserve">escribed in this Report the need to strengthen relevant provisions of the Directive or any appropriate legislative proposals to that effect. The Commission concluded that, to further ensure that the enforcement and compliance rates of the 0,50% limit laid </w:t>
      </w:r>
      <w:r>
        <w:rPr>
          <w:noProof/>
          <w:lang w:val="en-GB"/>
        </w:rPr>
        <w:t xml:space="preserve">down in Article 6(1) of Directive (EU) 2016/802 will be of a similar level as currently in the SOx-ECAs, it will assess the need of revising </w:t>
      </w:r>
      <w:r>
        <w:rPr>
          <w:rFonts w:eastAsia="Times New Roman"/>
          <w:noProof/>
          <w:color w:val="000000" w:themeColor="text1"/>
          <w:bdr w:val="none" w:sz="0" w:space="0" w:color="auto"/>
          <w:shd w:val="clear" w:color="auto" w:fill="FFFFFF"/>
        </w:rPr>
        <w:t>the inspection and sampling frequency,</w:t>
      </w:r>
      <w:r>
        <w:rPr>
          <w:noProof/>
          <w:lang w:val="en-GB"/>
        </w:rPr>
        <w:t xml:space="preserve"> enhancing THETIS-EU to cater for the notification of trials and use of moder</w:t>
      </w:r>
      <w:r>
        <w:rPr>
          <w:noProof/>
          <w:lang w:val="en-GB"/>
        </w:rPr>
        <w:t xml:space="preserve">n </w:t>
      </w:r>
      <w:r>
        <w:rPr>
          <w:noProof/>
        </w:rPr>
        <w:t>compliance checking technology (e.g. from sniffers and drones) and of</w:t>
      </w:r>
      <w:r>
        <w:rPr>
          <w:noProof/>
          <w:lang w:val="en-GB"/>
        </w:rPr>
        <w:t xml:space="preserve"> increasing control of marine fuel suppliers which will facilitate a more advanced risk-based targeting of possible non-compliant vessels. </w:t>
      </w:r>
      <w:r>
        <w:rPr>
          <w:noProof/>
        </w:rPr>
        <w:t>To accommodate these possible changes, the Com</w:t>
      </w:r>
      <w:r>
        <w:rPr>
          <w:noProof/>
        </w:rPr>
        <w:t xml:space="preserve">mission will consider, </w:t>
      </w:r>
      <w:r>
        <w:rPr>
          <w:i/>
          <w:noProof/>
        </w:rPr>
        <w:t>inter alia</w:t>
      </w:r>
      <w:r>
        <w:rPr>
          <w:noProof/>
        </w:rPr>
        <w:t xml:space="preserve">, amending the Commission Implementing Decision and making the use of THETIS-EU mandatory. </w:t>
      </w:r>
      <w:r>
        <w:rPr>
          <w:noProof/>
          <w:lang w:val="en-GB"/>
        </w:rPr>
        <w:t>The Commission will also look into the penalties Member States have imposed on non-compliant operators and assess whether those have</w:t>
      </w:r>
      <w:r>
        <w:rPr>
          <w:noProof/>
          <w:lang w:val="en-GB"/>
        </w:rPr>
        <w:t xml:space="preserve"> a truly dissuasive effect. Furthermore, together with the Member States, and with the support of EMSA, the Commission will continue to actively support the EU's neighbouring countries with reducing SO</w:t>
      </w:r>
      <w:r>
        <w:rPr>
          <w:noProof/>
          <w:vertAlign w:val="subscript"/>
          <w:lang w:val="en-GB"/>
        </w:rPr>
        <w:t>x</w:t>
      </w:r>
      <w:r>
        <w:rPr>
          <w:noProof/>
          <w:lang w:val="en-GB"/>
        </w:rPr>
        <w:t xml:space="preserve"> emissions from ships and the preparations by the IMO </w:t>
      </w:r>
      <w:r>
        <w:rPr>
          <w:noProof/>
          <w:lang w:val="en-GB"/>
        </w:rPr>
        <w:t xml:space="preserve">for the entry-into-effect of the global sulphur cap.  </w:t>
      </w:r>
    </w:p>
    <w:p w:rsidR="00C4604B" w:rsidRDefault="00C4604B">
      <w:pPr>
        <w:jc w:val="both"/>
        <w:rPr>
          <w:noProof/>
          <w:lang w:val="en-GB"/>
        </w:rPr>
      </w:pPr>
    </w:p>
    <w:p w:rsidR="00C4604B" w:rsidRDefault="00854B22">
      <w:pPr>
        <w:jc w:val="both"/>
        <w:rPr>
          <w:noProof/>
          <w:lang w:val="en-GB"/>
        </w:rPr>
      </w:pPr>
      <w:r>
        <w:rPr>
          <w:noProof/>
          <w:lang w:val="en-GB"/>
        </w:rPr>
        <w:t xml:space="preserve">Further to Article 14(2) of Directive (EU) 2016/802, the Commission will also continue to consider the potential, including the costs and benefits, for reducing air pollution from ships also covering </w:t>
      </w:r>
      <w:r>
        <w:rPr>
          <w:noProof/>
          <w:lang w:val="en-GB"/>
        </w:rPr>
        <w:t>emissions other than SO</w:t>
      </w:r>
      <w:r>
        <w:rPr>
          <w:noProof/>
          <w:vertAlign w:val="subscript"/>
          <w:lang w:val="en-GB"/>
        </w:rPr>
        <w:t>x</w:t>
      </w:r>
      <w:r>
        <w:rPr>
          <w:noProof/>
          <w:lang w:val="en-GB"/>
        </w:rPr>
        <w:t xml:space="preserve">.   </w:t>
      </w:r>
    </w:p>
    <w:p w:rsidR="00C4604B" w:rsidRDefault="00C4604B">
      <w:pPr>
        <w:jc w:val="both"/>
        <w:rPr>
          <w:noProof/>
          <w:lang w:val="en-GB"/>
        </w:rPr>
      </w:pPr>
    </w:p>
    <w:p w:rsidR="00C4604B" w:rsidRDefault="00854B22">
      <w:pPr>
        <w:jc w:val="both"/>
        <w:rPr>
          <w:noProof/>
          <w:lang w:val="en-GB"/>
        </w:rPr>
      </w:pPr>
      <w:r>
        <w:rPr>
          <w:noProof/>
        </w:rPr>
        <w:t xml:space="preserve">These foreseen actions </w:t>
      </w:r>
      <w:r>
        <w:rPr>
          <w:noProof/>
          <w:lang w:val="en-GB"/>
        </w:rPr>
        <w:t>would enable all EU citizens to benefit from reduced air pollution caused by ships, further improve the cost-effectiveness of enforcing the sulphur standards contained in the Directive, facilitate intern</w:t>
      </w:r>
      <w:r>
        <w:rPr>
          <w:noProof/>
          <w:lang w:val="en-GB"/>
        </w:rPr>
        <w:t xml:space="preserve">ational dialogue </w:t>
      </w:r>
      <w:r>
        <w:rPr>
          <w:rFonts w:eastAsia="Times New Roman"/>
          <w:noProof/>
          <w:bdr w:val="none" w:sz="0" w:space="0" w:color="auto"/>
        </w:rPr>
        <w:t xml:space="preserve">and ensure progress towards a sustainable and competitive EU shipping sector in close collaboration with Member States and maritime stakeholders. </w:t>
      </w:r>
    </w:p>
    <w:sectPr w:rsidR="00C4604B">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4B" w:rsidRDefault="00854B22">
      <w:r>
        <w:separator/>
      </w:r>
    </w:p>
  </w:endnote>
  <w:endnote w:type="continuationSeparator" w:id="0">
    <w:p w:rsidR="00C4604B" w:rsidRDefault="00854B22">
      <w:r>
        <w:continuationSeparator/>
      </w:r>
    </w:p>
  </w:endnote>
  <w:endnote w:type="continuationNotice" w:id="1">
    <w:p w:rsidR="00C4604B" w:rsidRDefault="00C46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854B2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56218"/>
      <w:docPartObj>
        <w:docPartGallery w:val="Page Numbers (Bottom of Page)"/>
        <w:docPartUnique/>
      </w:docPartObj>
    </w:sdtPr>
    <w:sdtEndPr>
      <w:rPr>
        <w:noProof/>
      </w:rPr>
    </w:sdtEndPr>
    <w:sdtContent>
      <w:p w:rsidR="00C4604B" w:rsidRDefault="00854B22">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C4604B" w:rsidRDefault="00C4604B">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4B" w:rsidRDefault="00854B22">
      <w:r>
        <w:separator/>
      </w:r>
    </w:p>
  </w:footnote>
  <w:footnote w:type="continuationSeparator" w:id="0">
    <w:p w:rsidR="00C4604B" w:rsidRDefault="00854B22">
      <w:r>
        <w:continuationSeparator/>
      </w:r>
    </w:p>
  </w:footnote>
  <w:footnote w:type="continuationNotice" w:id="1">
    <w:p w:rsidR="00C4604B" w:rsidRDefault="00C4604B"/>
  </w:footnote>
  <w:footnote w:id="2">
    <w:p w:rsidR="00C4604B" w:rsidRDefault="00854B22">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OJ L 121 of 11.5.1999, p. 13</w:t>
      </w:r>
    </w:p>
  </w:footnote>
  <w:footnote w:id="3">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327 of 27.11.2012, p. 1</w:t>
      </w:r>
    </w:p>
  </w:footnote>
  <w:footnote w:id="4">
    <w:p w:rsidR="00C4604B" w:rsidRDefault="00854B22">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OJ L132 of 21.5.2016, p. 58</w:t>
      </w:r>
    </w:p>
  </w:footnote>
  <w:footnote w:id="5">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VITO, March 2013, 'Specific evaluation of emissions from shipping including assessment for the establishment of possible new emission control areas in European Seas' </w:t>
      </w:r>
    </w:p>
  </w:footnote>
  <w:footnote w:id="6">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See: </w:t>
      </w:r>
      <w:hyperlink r:id="rId1" w:history="1">
        <w:r>
          <w:rPr>
            <w:rStyle w:val="Hyperlink"/>
            <w:rFonts w:ascii="Times New Roman" w:hAnsi="Times New Roman" w:cs="Times New Roman"/>
            <w:lang w:val="en-GB"/>
          </w:rPr>
          <w:t>http://ec.europa.eu/environment/air/clean_air/index.htm</w:t>
        </w:r>
      </w:hyperlink>
    </w:p>
  </w:footnote>
  <w:footnote w:id="7">
    <w:p w:rsidR="00C4604B" w:rsidRDefault="00854B22">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COM(2013)920 final </w:t>
      </w:r>
    </w:p>
  </w:footnote>
  <w:footnote w:id="8">
    <w:p w:rsidR="00C4604B" w:rsidRDefault="00854B22">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OJ L 344 of 17.12.2016, p. 1</w:t>
      </w:r>
    </w:p>
  </w:footnote>
  <w:footnote w:id="9">
    <w:p w:rsidR="00C4604B" w:rsidRDefault="00854B22">
      <w:pPr>
        <w:jc w:val="both"/>
        <w:rPr>
          <w:sz w:val="20"/>
          <w:szCs w:val="20"/>
          <w:lang w:val="en-GB"/>
        </w:rPr>
      </w:pPr>
      <w:r>
        <w:rPr>
          <w:rStyle w:val="FootnoteReference"/>
          <w:sz w:val="20"/>
          <w:szCs w:val="20"/>
        </w:rPr>
        <w:footnoteRef/>
      </w:r>
      <w:r>
        <w:rPr>
          <w:sz w:val="20"/>
          <w:szCs w:val="20"/>
        </w:rPr>
        <w:t xml:space="preserve"> Danish Ministry of Environment and Food, November 2016, ‘Sulphur content in the air halved since 2014’, see:  </w:t>
      </w:r>
      <w:hyperlink r:id="rId2" w:history="1">
        <w:r>
          <w:rPr>
            <w:rStyle w:val="Hyperlink"/>
            <w:sz w:val="20"/>
            <w:szCs w:val="20"/>
            <w:lang w:val="en-GB"/>
          </w:rPr>
          <w:t>http://en.mfvm.dk/news/news/nyhed/sulphur-content</w:t>
        </w:r>
        <w:r>
          <w:rPr>
            <w:rStyle w:val="Hyperlink"/>
            <w:sz w:val="20"/>
            <w:szCs w:val="20"/>
            <w:lang w:val="en-GB"/>
          </w:rPr>
          <w:t>-in-the-air-halved-since-2014/</w:t>
        </w:r>
      </w:hyperlink>
    </w:p>
  </w:footnote>
  <w:footnote w:id="10">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Kattner et al., 2015, 'Monitoring compliance with sulfur content regulations of shipping by in-situ measurements of ship emissions', and Seyler et al., 2017, 'Monitoring shipping emission in the German Bight using MAX-DOAS </w:t>
      </w:r>
      <w:r>
        <w:rPr>
          <w:rFonts w:ascii="Times New Roman" w:hAnsi="Times New Roman" w:cs="Times New Roman"/>
        </w:rPr>
        <w:t>measurements'</w:t>
      </w:r>
    </w:p>
  </w:footnote>
  <w:footnote w:id="11">
    <w:p w:rsidR="00C4604B" w:rsidRDefault="00854B22">
      <w:pPr>
        <w:pStyle w:val="FootnoteText"/>
        <w:jc w:val="both"/>
        <w:rPr>
          <w:rFonts w:ascii="Times New Roman" w:hAnsi="Times New Roman" w:cs="Times New Roman"/>
          <w:lang w:val="e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
        </w:rPr>
        <w:t>IVL - Swedish Environmental Research Institute, November 2015, '</w:t>
      </w:r>
      <w:r>
        <w:rPr>
          <w:rFonts w:ascii="Times New Roman" w:hAnsi="Times New Roman" w:cs="Times New Roman"/>
          <w:color w:val="222222"/>
          <w:lang w:val="en"/>
        </w:rPr>
        <w:t xml:space="preserve">Reduced sulphur content in air after tightening of ship fuel regulations', see: </w:t>
      </w:r>
      <w:hyperlink r:id="rId3" w:history="1">
        <w:r>
          <w:rPr>
            <w:rStyle w:val="Hyperlink"/>
            <w:rFonts w:ascii="Times New Roman" w:hAnsi="Times New Roman" w:cs="Times New Roman"/>
            <w:lang w:val="en"/>
          </w:rPr>
          <w:t>http://www.ivl.se/</w:t>
        </w:r>
      </w:hyperlink>
    </w:p>
  </w:footnote>
  <w:footnote w:id="12">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Rotterdam Rijnmond Environmental Protect</w:t>
      </w:r>
      <w:r>
        <w:rPr>
          <w:rFonts w:ascii="Times New Roman" w:hAnsi="Times New Roman" w:cs="Times New Roman"/>
        </w:rPr>
        <w:t xml:space="preserve">ion Agency (DCMR), July 2015, ‘Cleaner air from cleaner shipping’, see: </w:t>
      </w:r>
      <w:hyperlink r:id="rId4" w:history="1">
        <w:r>
          <w:rPr>
            <w:rStyle w:val="Hyperlink"/>
            <w:rFonts w:ascii="Times New Roman" w:hAnsi="Times New Roman" w:cs="Times New Roman"/>
          </w:rPr>
          <w:t>http://www.dcmr.nl/nieuws/nieuwsberichten/2015/07/schonere-scheepvaart.html</w:t>
        </w:r>
      </w:hyperlink>
    </w:p>
  </w:footnote>
  <w:footnote w:id="13">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See: European </w:t>
      </w:r>
      <w:r>
        <w:rPr>
          <w:rFonts w:ascii="Times New Roman" w:hAnsi="Times New Roman" w:cs="Times New Roman"/>
          <w:lang w:val="en-GB"/>
        </w:rPr>
        <w:t xml:space="preserve">Maritime Safety Agency, December 2010, ‘The 0,1% sulphur in fuel requirement as from 1 January 2015 in SECAs – An assessment of available impact studies and alternative means of compliance’ </w:t>
      </w:r>
    </w:p>
  </w:footnote>
  <w:footnote w:id="14">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 Delft, April 2016, 'SECA Assessment: Impacts of 2015 SECA ma</w:t>
      </w:r>
      <w:r>
        <w:rPr>
          <w:rFonts w:ascii="Times New Roman" w:hAnsi="Times New Roman" w:cs="Times New Roman"/>
        </w:rPr>
        <w:t xml:space="preserve">rine fuel sulphur limits - First drawings from European experiences' </w:t>
      </w:r>
    </w:p>
  </w:footnote>
  <w:footnote w:id="15">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European Community Shipowners' Associations (ECSA) survey conducted in the context of </w:t>
      </w:r>
      <w:r>
        <w:rPr>
          <w:rFonts w:ascii="Times New Roman" w:hAnsi="Times New Roman" w:cs="Times New Roman"/>
          <w:lang w:val="en-GB"/>
        </w:rPr>
        <w:t xml:space="preserve">the ESSF sub-group on Competitiveness (presented to the ESSF Plenary on 26.01.2016) </w:t>
      </w:r>
    </w:p>
  </w:footnote>
  <w:footnote w:id="16">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Technical U</w:t>
      </w:r>
      <w:r>
        <w:rPr>
          <w:rFonts w:ascii="Times New Roman" w:hAnsi="Times New Roman" w:cs="Times New Roman"/>
        </w:rPr>
        <w:t>niversity of Denmark, '</w:t>
      </w:r>
      <w:r>
        <w:rPr>
          <w:rFonts w:ascii="Times New Roman" w:hAnsi="Times New Roman" w:cs="Times New Roman"/>
          <w:color w:val="323232"/>
          <w:lang w:val="en"/>
        </w:rPr>
        <w:t>Mitigating and reversing the side-effects of environmental legislation on Ro-Ro shipping in Northern Europe</w:t>
      </w:r>
      <w:r>
        <w:rPr>
          <w:rFonts w:ascii="Times New Roman" w:hAnsi="Times New Roman" w:cs="Times New Roman"/>
        </w:rPr>
        <w:t xml:space="preserve">RoRo SECA', implemented from </w:t>
      </w:r>
      <w:r>
        <w:rPr>
          <w:rFonts w:ascii="Times New Roman" w:hAnsi="Times New Roman" w:cs="Times New Roman"/>
          <w:color w:val="323232"/>
          <w:lang w:val="en"/>
        </w:rPr>
        <w:t>15/06/2015 to 14/06/2017</w:t>
      </w:r>
    </w:p>
  </w:footnote>
  <w:footnote w:id="17">
    <w:p w:rsidR="00C4604B" w:rsidRDefault="00854B22">
      <w:pPr>
        <w:jc w:val="both"/>
        <w:rPr>
          <w:rFonts w:eastAsia="Times New Roman"/>
          <w:sz w:val="20"/>
          <w:szCs w:val="20"/>
          <w:bdr w:val="none" w:sz="0" w:space="0" w:color="auto"/>
        </w:rPr>
      </w:pPr>
      <w:r>
        <w:rPr>
          <w:rStyle w:val="FootnoteReference"/>
          <w:sz w:val="20"/>
          <w:szCs w:val="20"/>
        </w:rPr>
        <w:footnoteRef/>
      </w:r>
      <w:r>
        <w:rPr>
          <w:sz w:val="20"/>
          <w:szCs w:val="20"/>
        </w:rPr>
        <w:t xml:space="preserve"> COM(2013)475 final</w:t>
      </w:r>
    </w:p>
  </w:footnote>
  <w:footnote w:id="18">
    <w:p w:rsidR="00C4604B" w:rsidRDefault="00854B22">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Commission Decision of 24 September 2013 on setting-up the group of experts on maritime transport sustainability - The European Sustainable Shipping Forum (ESSF), C(2013)5984 final</w:t>
      </w:r>
    </w:p>
  </w:footnote>
  <w:footnote w:id="19">
    <w:p w:rsidR="00C4604B" w:rsidRDefault="00854B22">
      <w:pPr>
        <w:pStyle w:val="Default"/>
        <w:jc w:val="both"/>
        <w:rPr>
          <w:rFonts w:ascii="Times New Roman" w:eastAsia="Times New Roman" w:hAnsi="Times New Roman" w:cs="Times New Roman"/>
          <w:color w:val="auto"/>
          <w:sz w:val="20"/>
          <w:szCs w:val="20"/>
          <w:bdr w:val="none" w:sz="0" w:space="0" w:color="auto"/>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auto"/>
          <w:sz w:val="20"/>
          <w:szCs w:val="20"/>
          <w:bdr w:val="none" w:sz="0" w:space="0" w:color="auto"/>
        </w:rPr>
        <w:t>Air Emissions from Ships; Marine Liquefied Natural Gas; Exhaust Gas Clea</w:t>
      </w:r>
      <w:r>
        <w:rPr>
          <w:rFonts w:ascii="Times New Roman" w:eastAsia="Times New Roman" w:hAnsi="Times New Roman" w:cs="Times New Roman"/>
          <w:color w:val="auto"/>
          <w:sz w:val="20"/>
          <w:szCs w:val="20"/>
          <w:bdr w:val="none" w:sz="0" w:space="0" w:color="auto"/>
        </w:rPr>
        <w:t>ning Systems; Competitiveness</w:t>
      </w:r>
    </w:p>
  </w:footnote>
  <w:footnote w:id="20">
    <w:p w:rsidR="00C4604B" w:rsidRDefault="00854B22">
      <w:pPr>
        <w:pStyle w:val="FootnoteText"/>
        <w:jc w:val="both"/>
        <w:rPr>
          <w:lang w:val="en-GB"/>
        </w:rPr>
      </w:pPr>
      <w:r>
        <w:rPr>
          <w:rStyle w:val="FootnoteReference"/>
        </w:rPr>
        <w:footnoteRef/>
      </w:r>
      <w:r>
        <w:t xml:space="preserve"> </w:t>
      </w:r>
      <w:r>
        <w:rPr>
          <w:rFonts w:ascii="Times New Roman" w:hAnsi="Times New Roman" w:cs="Times New Roman"/>
          <w:lang w:val="en-GB"/>
        </w:rPr>
        <w:t xml:space="preserve">See the Commission’s Register of Commission Expert Groups, nr. </w:t>
      </w:r>
      <w:r>
        <w:rPr>
          <w:rFonts w:ascii="Times New Roman" w:eastAsia="Times New Roman" w:hAnsi="Times New Roman" w:cs="Times New Roman"/>
          <w:bCs/>
          <w:color w:val="auto"/>
          <w:bdr w:val="none" w:sz="0" w:space="0" w:color="auto"/>
          <w:shd w:val="clear" w:color="auto" w:fill="FFFFFF"/>
        </w:rPr>
        <w:t xml:space="preserve">E02869, </w:t>
      </w:r>
      <w:hyperlink r:id="rId5" w:history="1">
        <w:r>
          <w:rPr>
            <w:rStyle w:val="Hyperlink"/>
            <w:rFonts w:ascii="Times New Roman" w:eastAsia="Times New Roman" w:hAnsi="Times New Roman" w:cs="Times New Roman"/>
            <w:bCs/>
            <w:bdr w:val="none" w:sz="0" w:space="0" w:color="auto"/>
            <w:shd w:val="clear" w:color="auto" w:fill="FFFFFF"/>
          </w:rPr>
          <w:t>http://ec.europa.eu/transparency/regexpert/index.cfm</w:t>
        </w:r>
      </w:hyperlink>
    </w:p>
  </w:footnote>
  <w:footnote w:id="21">
    <w:p w:rsidR="00C4604B" w:rsidRDefault="00854B22">
      <w:pPr>
        <w:pStyle w:val="Default"/>
        <w:jc w:val="both"/>
        <w:rPr>
          <w:rFonts w:ascii="Times New Roman" w:eastAsia="Times New Roman" w:hAnsi="Times New Roman" w:cs="Times New Roman"/>
          <w:color w:val="auto"/>
          <w:sz w:val="20"/>
          <w:szCs w:val="20"/>
          <w:bdr w:val="none" w:sz="0" w:space="0" w:color="auto"/>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following sub-groups completed their mandate and were subsequently closed: </w:t>
      </w:r>
      <w:r>
        <w:rPr>
          <w:rFonts w:ascii="Times New Roman" w:eastAsia="Times New Roman" w:hAnsi="Times New Roman" w:cs="Times New Roman"/>
          <w:color w:val="auto"/>
          <w:sz w:val="20"/>
          <w:szCs w:val="20"/>
          <w:bdr w:val="none" w:sz="0" w:space="0" w:color="auto"/>
        </w:rPr>
        <w:t>Financing; Research and Development; Port Reception Facilities; Monitoring, Reporting and Verification of CO</w:t>
      </w:r>
      <w:r>
        <w:rPr>
          <w:rFonts w:ascii="Times New Roman" w:eastAsia="Times New Roman" w:hAnsi="Times New Roman" w:cs="Times New Roman"/>
          <w:color w:val="auto"/>
          <w:sz w:val="20"/>
          <w:szCs w:val="20"/>
          <w:bdr w:val="none" w:sz="0" w:space="0" w:color="auto"/>
          <w:vertAlign w:val="subscript"/>
        </w:rPr>
        <w:t>2</w:t>
      </w:r>
      <w:r>
        <w:rPr>
          <w:rFonts w:ascii="Times New Roman" w:eastAsia="Times New Roman" w:hAnsi="Times New Roman" w:cs="Times New Roman"/>
          <w:color w:val="auto"/>
          <w:sz w:val="20"/>
          <w:szCs w:val="20"/>
          <w:bdr w:val="none" w:sz="0" w:space="0" w:color="auto"/>
        </w:rPr>
        <w:t xml:space="preserve"> emissions from shipping</w:t>
      </w:r>
    </w:p>
  </w:footnote>
  <w:footnote w:id="22">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See for a list of deliverables on: </w:t>
      </w:r>
      <w:hyperlink r:id="rId6" w:history="1">
        <w:r>
          <w:rPr>
            <w:rStyle w:val="Hyperlink"/>
            <w:rFonts w:ascii="Times New Roman" w:hAnsi="Times New Roman" w:cs="Times New Roman"/>
            <w:lang w:val="en-GB"/>
          </w:rPr>
          <w:t>http://emsa.europa.eu/main/sustainable-toolbox/relevant-eu-projects.html</w:t>
        </w:r>
      </w:hyperlink>
    </w:p>
  </w:footnote>
  <w:footnote w:id="23">
    <w:p w:rsidR="00C4604B" w:rsidRDefault="00854B22">
      <w:pPr>
        <w:jc w:val="both"/>
        <w:rPr>
          <w:rFonts w:eastAsia="Times New Roman"/>
          <w:sz w:val="20"/>
          <w:szCs w:val="20"/>
          <w:bdr w:val="none" w:sz="0" w:space="0" w:color="auto"/>
        </w:rPr>
      </w:pPr>
      <w:r>
        <w:rPr>
          <w:rStyle w:val="FootnoteReference"/>
          <w:sz w:val="20"/>
          <w:szCs w:val="20"/>
        </w:rPr>
        <w:footnoteRef/>
      </w:r>
      <w:r>
        <w:rPr>
          <w:sz w:val="20"/>
          <w:szCs w:val="20"/>
        </w:rPr>
        <w:t xml:space="preserve"> </w:t>
      </w:r>
      <w:r>
        <w:rPr>
          <w:rFonts w:eastAsia="Times New Roman"/>
          <w:sz w:val="20"/>
          <w:szCs w:val="20"/>
          <w:bdr w:val="none" w:sz="0" w:space="0" w:color="auto"/>
        </w:rPr>
        <w:t>Commission Decision of 7.1.2016 - C(2015)9741</w:t>
      </w:r>
    </w:p>
  </w:footnote>
  <w:footnote w:id="24">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Framework Programme for Research and Innovation (2014 – 2020), see also:</w:t>
      </w:r>
    </w:p>
    <w:p w:rsidR="00C4604B" w:rsidRDefault="00854B22">
      <w:pPr>
        <w:pStyle w:val="FootnoteText"/>
        <w:jc w:val="both"/>
      </w:pPr>
      <w:r>
        <w:rPr>
          <w:rFonts w:ascii="Times New Roman" w:hAnsi="Times New Roman" w:cs="Times New Roman"/>
        </w:rPr>
        <w:t>https://ec.europa.eu/programmes/horizon2020/en/area/transport</w:t>
      </w:r>
    </w:p>
  </w:footnote>
  <w:footnote w:id="25">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https://ec.europa.eu/inea/en/connecting-europe-facility/cef-transport/cef-transport-motorways-sea</w:t>
      </w:r>
    </w:p>
  </w:footnote>
  <w:footnote w:id="26">
    <w:p w:rsidR="00C4604B" w:rsidRDefault="00854B22">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w:t>
      </w:r>
      <w:r>
        <w:rPr>
          <w:rFonts w:ascii="Times New Roman" w:hAnsi="Times New Roman" w:cs="Times New Roman"/>
          <w:sz w:val="20"/>
          <w:szCs w:val="20"/>
        </w:rPr>
        <w:t>ee also Commission SWD(2016)326 final, of 30 September 2016 on the implementation of the EU Maritime Transport Strategy 2009-2018, paragraph 52</w:t>
      </w:r>
    </w:p>
  </w:footnote>
  <w:footnote w:id="27">
    <w:p w:rsidR="00C4604B" w:rsidRDefault="00854B22">
      <w:pPr>
        <w:pStyle w:val="FootnoteText"/>
      </w:pPr>
      <w:r>
        <w:rPr>
          <w:rStyle w:val="FootnoteReference"/>
          <w:rFonts w:ascii="Times New Roman" w:hAnsi="Times New Roman" w:cs="Times New Roman"/>
        </w:rPr>
        <w:footnoteRef/>
      </w:r>
      <w:r>
        <w:rPr>
          <w:rFonts w:ascii="Times New Roman" w:hAnsi="Times New Roman" w:cs="Times New Roman"/>
        </w:rPr>
        <w:t xml:space="preserve"> See: </w:t>
      </w:r>
      <w:hyperlink r:id="rId7" w:history="1">
        <w:r>
          <w:rPr>
            <w:rStyle w:val="Hyperlink"/>
            <w:rFonts w:ascii="Times New Roman" w:hAnsi="Times New Roman" w:cs="Times New Roman"/>
          </w:rPr>
          <w:t>https://ec.europa.eu/commission/news/juncker-plan-france-signature-first-green-financing-maritime-sector-2017-dec-12_en</w:t>
        </w:r>
      </w:hyperlink>
      <w:r>
        <w:t xml:space="preserve"> </w:t>
      </w:r>
    </w:p>
  </w:footnote>
  <w:footnote w:id="28">
    <w:p w:rsidR="00C4604B" w:rsidRDefault="00854B22">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On the basis of ‘cooperation agreements’ between DG Environment and EMSA, </w:t>
      </w:r>
      <w:r>
        <w:rPr>
          <w:rFonts w:ascii="Times New Roman" w:hAnsi="Times New Roman" w:cs="Times New Roman"/>
          <w:lang w:val="en-GB"/>
        </w:rPr>
        <w:t xml:space="preserve">see: </w:t>
      </w:r>
      <w:hyperlink r:id="rId8" w:history="1">
        <w:r>
          <w:rPr>
            <w:rStyle w:val="Hyperlink"/>
            <w:rFonts w:ascii="Times New Roman" w:hAnsi="Times New Roman" w:cs="Times New Roman"/>
            <w:lang w:val="en-GB"/>
          </w:rPr>
          <w:t>http://www.emsa.europa.eu/partnerships/operational-agreements.html</w:t>
        </w:r>
      </w:hyperlink>
    </w:p>
  </w:footnote>
  <w:footnote w:id="29">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See EMSA’s full training plan on Union legislation for Member States: </w:t>
      </w:r>
      <w:hyperlink r:id="rId9" w:history="1">
        <w:r>
          <w:rPr>
            <w:rStyle w:val="Hyperlink"/>
            <w:rFonts w:ascii="Times New Roman" w:hAnsi="Times New Roman" w:cs="Times New Roman"/>
            <w:lang w:val="en-GB"/>
          </w:rPr>
          <w:t>http://emsa.europa.eu/implementation-tasks/training-a-cooperation/trainings-for-member-states.html</w:t>
        </w:r>
      </w:hyperlink>
    </w:p>
  </w:footnote>
  <w:footnote w:id="30">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Article 3 of Regulation 1406/2002/EC foresees that EMSA carries out visits t</w:t>
      </w:r>
      <w:r>
        <w:rPr>
          <w:rFonts w:ascii="Times New Roman" w:hAnsi="Times New Roman" w:cs="Times New Roman"/>
          <w:lang w:val="en-GB"/>
        </w:rPr>
        <w:t xml:space="preserve">o Member States to assist the Commission in monitoring and verifying the proper implementation and application of Union law. See: </w:t>
      </w:r>
      <w:hyperlink r:id="rId10" w:history="1">
        <w:r>
          <w:rPr>
            <w:rFonts w:ascii="Times New Roman" w:hAnsi="Times New Roman" w:cs="Times New Roman"/>
            <w:u w:val="single"/>
          </w:rPr>
          <w:t>http:</w:t>
        </w:r>
        <w:r>
          <w:rPr>
            <w:rFonts w:ascii="Times New Roman" w:hAnsi="Times New Roman" w:cs="Times New Roman"/>
            <w:u w:val="single"/>
          </w:rPr>
          <w:t>//www.emsa.europa.eu/visits-to-member-states/reduction-sulphur-content-of-certain-liquid-fuels.html</w:t>
        </w:r>
      </w:hyperlink>
    </w:p>
  </w:footnote>
  <w:footnote w:id="31">
    <w:p w:rsidR="00C4604B" w:rsidRDefault="00854B22">
      <w:pPr>
        <w:pStyle w:val="FootnoteText"/>
        <w:jc w:val="both"/>
        <w:rPr>
          <w:rFonts w:ascii="Times New Roman" w:hAnsi="Times New Roman" w:cs="Times New Roman"/>
          <w:lang w:val="en-GB"/>
        </w:rPr>
      </w:pPr>
      <w:r>
        <w:rPr>
          <w:rFonts w:ascii="Times New Roman" w:hAnsi="Times New Roman" w:cs="Times New Roman"/>
          <w:vertAlign w:val="superscript"/>
          <w:lang w:val="pt-BR"/>
        </w:rPr>
        <w:footnoteRef/>
      </w:r>
      <w:r>
        <w:rPr>
          <w:rFonts w:ascii="Times New Roman" w:hAnsi="Times New Roman" w:cs="Times New Roman"/>
          <w:lang w:val="en-GB"/>
        </w:rPr>
        <w:t xml:space="preserve"> Consult the Commission Comitology Register for the ‘Committee for the implementation of the Directive on Sulphur content in Marine Fuels’, </w:t>
      </w:r>
      <w:hyperlink r:id="rId11" w:history="1">
        <w:r>
          <w:rPr>
            <w:rFonts w:ascii="Times New Roman" w:hAnsi="Times New Roman" w:cs="Times New Roman"/>
            <w:u w:val="single"/>
            <w:lang w:val="en-GB"/>
          </w:rPr>
          <w:t>http://ec.europa.eu/transparency/regcomitology/index.cfm</w:t>
        </w:r>
      </w:hyperlink>
    </w:p>
  </w:footnote>
  <w:footnote w:id="32">
    <w:p w:rsidR="00C4604B" w:rsidRDefault="00854B22">
      <w:pPr>
        <w:pStyle w:val="FootnoteText"/>
        <w:jc w:val="both"/>
        <w:rPr>
          <w:rFonts w:ascii="Times New Roman" w:hAnsi="Times New Roman" w:cs="Times New Roman"/>
          <w:color w:val="000000" w:themeColor="text1"/>
          <w:lang w:val="en-GB"/>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lang w:val="en-GB"/>
        </w:rPr>
        <w:t xml:space="preserve">Commission Implementing Decision (EU) 2015/253 </w:t>
      </w:r>
      <w:r>
        <w:rPr>
          <w:rFonts w:ascii="Times New Roman" w:eastAsia="Times New Roman" w:hAnsi="Times New Roman" w:cs="Times New Roman"/>
          <w:color w:val="000000" w:themeColor="text1"/>
          <w:shd w:val="clear" w:color="auto" w:fill="FFFFFF"/>
        </w:rPr>
        <w:t>of 16 February 2015 laying down the rules concerning the sampling and reporting</w:t>
      </w:r>
      <w:r>
        <w:rPr>
          <w:rFonts w:ascii="Times New Roman" w:eastAsia="Times New Roman" w:hAnsi="Times New Roman" w:cs="Times New Roman"/>
          <w:color w:val="000000" w:themeColor="text1"/>
          <w:shd w:val="clear" w:color="auto" w:fill="FFFFFF"/>
        </w:rPr>
        <w:t xml:space="preserve"> under Council Directive 1999/32/EC as regards the sulphur content of marine fuels, OJ L 41 of 17.2.2015, p. 55</w:t>
      </w:r>
    </w:p>
  </w:footnote>
  <w:footnote w:id="33">
    <w:p w:rsidR="00C4604B" w:rsidRDefault="00854B22">
      <w:pPr>
        <w:pStyle w:val="FootnoteText"/>
        <w:rPr>
          <w:rFonts w:ascii="Times New Roman" w:hAnsi="Times New Roman" w:cs="Times New Roman"/>
          <w:highlight w:val="yellow"/>
          <w:lang w:val="en-GB"/>
        </w:rPr>
      </w:pPr>
      <w:r>
        <w:rPr>
          <w:rStyle w:val="FootnoteReference"/>
          <w:rFonts w:ascii="Times New Roman" w:hAnsi="Times New Roman" w:cs="Times New Roman"/>
        </w:rPr>
        <w:footnoteRef/>
      </w:r>
      <w:r>
        <w:rPr>
          <w:rFonts w:ascii="Times New Roman" w:hAnsi="Times New Roman" w:cs="Times New Roman"/>
        </w:rPr>
        <w:t xml:space="preserve"> ‘EMSA Sulphur Inspection Guidance under Council Directive 1999/32/EC' of July 2015</w:t>
      </w:r>
      <w:r>
        <w:rPr>
          <w:rFonts w:ascii="Times New Roman" w:hAnsi="Times New Roman" w:cs="Times New Roman"/>
          <w:highlight w:val="yellow"/>
        </w:rPr>
        <w:t xml:space="preserve"> </w:t>
      </w:r>
    </w:p>
  </w:footnote>
  <w:footnote w:id="34">
    <w:p w:rsidR="00C4604B" w:rsidRDefault="00854B22">
      <w:pPr>
        <w:pStyle w:val="FootnoteText"/>
        <w:rPr>
          <w:lang w:val="en-GB"/>
        </w:rPr>
      </w:pPr>
      <w:r>
        <w:rPr>
          <w:rStyle w:val="FootnoteReference"/>
          <w:rFonts w:ascii="Times New Roman" w:hAnsi="Times New Roman" w:cs="Times New Roman"/>
        </w:rPr>
        <w:footnoteRef/>
      </w:r>
      <w:r>
        <w:rPr>
          <w:rFonts w:ascii="Times New Roman" w:hAnsi="Times New Roman" w:cs="Times New Roman"/>
        </w:rPr>
        <w:t xml:space="preserve"> MEPC.1/Circ.864 of 9 December 2016</w:t>
      </w:r>
    </w:p>
  </w:footnote>
  <w:footnote w:id="35">
    <w:p w:rsidR="00C4604B" w:rsidRDefault="00854B22">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See for instance th</w:t>
      </w:r>
      <w:r>
        <w:rPr>
          <w:rFonts w:ascii="Times New Roman" w:hAnsi="Times New Roman" w:cs="Times New Roman"/>
          <w:lang w:val="en-GB"/>
        </w:rPr>
        <w:t xml:space="preserve">e COMPMON project: </w:t>
      </w:r>
      <w:hyperlink r:id="rId12" w:history="1">
        <w:r>
          <w:rPr>
            <w:rStyle w:val="Hyperlink"/>
            <w:rFonts w:ascii="Times New Roman" w:hAnsi="Times New Roman" w:cs="Times New Roman"/>
            <w:lang w:val="en-GB"/>
          </w:rPr>
          <w:t>https://compmon.eu/</w:t>
        </w:r>
      </w:hyperlink>
    </w:p>
  </w:footnote>
  <w:footnote w:id="36">
    <w:p w:rsidR="00C4604B" w:rsidRDefault="00854B2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13" w:history="1">
        <w:r>
          <w:rPr>
            <w:rStyle w:val="Hyperlink"/>
            <w:rFonts w:ascii="Times New Roman" w:hAnsi="Times New Roman" w:cs="Times New Roman"/>
          </w:rPr>
          <w:t>http://www.emsa.europa.eu/operational-scenarios.html</w:t>
        </w:r>
      </w:hyperlink>
    </w:p>
  </w:footnote>
  <w:footnote w:id="37">
    <w:p w:rsidR="00C4604B" w:rsidRDefault="00854B22">
      <w:pPr>
        <w:pStyle w:val="FootnoteText"/>
        <w:rPr>
          <w:rFonts w:ascii="Times New Roman" w:hAnsi="Times New Roman" w:cs="Times New Roman"/>
          <w:color w:val="auto"/>
        </w:rPr>
      </w:pPr>
      <w:r>
        <w:rPr>
          <w:rStyle w:val="FootnoteReference"/>
          <w:rFonts w:ascii="Times New Roman" w:hAnsi="Times New Roman" w:cs="Times New Roman"/>
          <w:color w:val="auto"/>
        </w:rPr>
        <w:footnoteRef/>
      </w:r>
      <w:r>
        <w:rPr>
          <w:rFonts w:ascii="Times New Roman" w:hAnsi="Times New Roman" w:cs="Times New Roman"/>
          <w:color w:val="auto"/>
        </w:rPr>
        <w:t xml:space="preserve"> </w:t>
      </w:r>
      <w:r>
        <w:rPr>
          <w:rFonts w:ascii="Times New Roman" w:hAnsi="Times New Roman" w:cs="Times New Roman"/>
          <w:color w:val="auto"/>
          <w:lang w:val="en-GB"/>
        </w:rPr>
        <w:t xml:space="preserve">IMO </w:t>
      </w:r>
      <w:r>
        <w:rPr>
          <w:rFonts w:ascii="Times New Roman" w:hAnsi="Times New Roman" w:cs="Times New Roman"/>
          <w:bCs/>
          <w:color w:val="auto"/>
          <w:lang w:eastAsia="zh-CN"/>
        </w:rPr>
        <w:t>PPR 5/13/5</w:t>
      </w:r>
      <w:r>
        <w:rPr>
          <w:rFonts w:ascii="Times New Roman" w:hAnsi="Times New Roman" w:cs="Times New Roman"/>
          <w:color w:val="auto"/>
        </w:rPr>
        <w:t xml:space="preserve"> on a proposal for the consistent implementation of regulation 14.3.1 of MARPOL Annex VI</w:t>
      </w:r>
    </w:p>
    <w:p w:rsidR="00C4604B" w:rsidRDefault="00C4604B">
      <w:pPr>
        <w:pStyle w:val="FootnoteText"/>
        <w:rPr>
          <w:rFonts w:ascii="Times New Roman" w:hAnsi="Times New Roman" w:cs="Times New Roman"/>
          <w:color w:val="auto"/>
        </w:rPr>
      </w:pPr>
    </w:p>
  </w:footnote>
  <w:footnote w:id="38">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See contract notice 2016/S 130 – 232460 of 8.7.2016</w:t>
      </w:r>
    </w:p>
  </w:footnote>
  <w:footnote w:id="39">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Marine fuels currently fall outside the scope of the Fuel Quality Directive (Directive 98/70/EC). However, in </w:t>
      </w:r>
      <w:r>
        <w:rPr>
          <w:rFonts w:ascii="Times New Roman" w:hAnsi="Times New Roman" w:cs="Times New Roman"/>
          <w:lang w:val="en-GB"/>
        </w:rPr>
        <w:t xml:space="preserve">view of the 0.50% maximum sulphur content in 2020 new types of fuels (incl. blends of oil based products) are being developed, and it would be useful to better control also other fuel quality parameters besides sulphur content of those new fuels. </w:t>
      </w:r>
    </w:p>
  </w:footnote>
  <w:footnote w:id="40">
    <w:p w:rsidR="00C4604B" w:rsidRDefault="00854B2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w:t>
      </w:r>
      <w:r>
        <w:rPr>
          <w:rFonts w:ascii="Times New Roman" w:hAnsi="Times New Roman" w:cs="Times New Roman"/>
        </w:rPr>
        <w:t>so Recital (18) of Directive 2012/33/EU</w:t>
      </w:r>
    </w:p>
  </w:footnote>
  <w:footnote w:id="41">
    <w:p w:rsidR="00C4604B" w:rsidRDefault="00854B22">
      <w:pPr>
        <w:pStyle w:val="FootnoteText"/>
        <w:jc w:val="both"/>
        <w:rPr>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See: </w:t>
      </w:r>
      <w:hyperlink r:id="rId14" w:history="1">
        <w:r>
          <w:rPr>
            <w:rStyle w:val="Hyperlink"/>
            <w:rFonts w:ascii="Times New Roman" w:hAnsi="Times New Roman" w:cs="Times New Roman"/>
            <w:lang w:val="en-GB"/>
          </w:rPr>
          <w:t>https://portal.emsa.europa.eu/web/thetis-eu/home</w:t>
        </w:r>
      </w:hyperlink>
    </w:p>
  </w:footnote>
  <w:footnote w:id="42">
    <w:p w:rsidR="00C4604B" w:rsidRDefault="00854B22">
      <w:pPr>
        <w:pStyle w:val="FootnoteText"/>
        <w:jc w:val="both"/>
        <w:rPr>
          <w:lang w:val="en-GB"/>
        </w:rPr>
      </w:pPr>
      <w:r>
        <w:rPr>
          <w:rStyle w:val="FootnoteReference"/>
          <w:rFonts w:ascii="Times New Roman" w:hAnsi="Times New Roman" w:cs="Times New Roman"/>
        </w:rPr>
        <w:footnoteRef/>
      </w:r>
      <w:r>
        <w:rPr>
          <w:rFonts w:ascii="Times New Roman" w:hAnsi="Times New Roman" w:cs="Times New Roman"/>
        </w:rPr>
        <w:t xml:space="preserve"> Status </w:t>
      </w:r>
      <w:r>
        <w:rPr>
          <w:rFonts w:ascii="Times New Roman" w:hAnsi="Times New Roman" w:cs="Times New Roman"/>
          <w:lang w:val="en-GB"/>
        </w:rPr>
        <w:t>on 30 December 2017</w:t>
      </w:r>
    </w:p>
  </w:footnote>
  <w:footnote w:id="43">
    <w:p w:rsidR="00C4604B" w:rsidRDefault="00854B22">
      <w:pPr>
        <w:jc w:val="both"/>
        <w:rPr>
          <w:lang w:val="en-GB"/>
        </w:rPr>
      </w:pPr>
      <w:r>
        <w:rPr>
          <w:rStyle w:val="FootnoteReference"/>
          <w:sz w:val="20"/>
          <w:szCs w:val="20"/>
        </w:rPr>
        <w:footnoteRef/>
      </w:r>
      <w:r>
        <w:rPr>
          <w:sz w:val="20"/>
          <w:szCs w:val="20"/>
        </w:rPr>
        <w:t xml:space="preserve"> Identified from documentation checks identifying incorrect/incomplete</w:t>
      </w:r>
      <w:r>
        <w:rPr>
          <w:rFonts w:eastAsia="Times New Roman"/>
          <w:color w:val="000000"/>
          <w:sz w:val="20"/>
          <w:szCs w:val="20"/>
          <w:bdr w:val="none" w:sz="0" w:space="0" w:color="auto"/>
          <w:shd w:val="clear" w:color="auto" w:fill="FFFFFF"/>
        </w:rPr>
        <w:t xml:space="preserve"> ‘Ships Log Books’, ‘Fuel Change Over’ procedures, Bunker Delivery Notes and records of the functioning of Emission Abatement Methods, or from analysis of fuel samples indicating an exce</w:t>
      </w:r>
      <w:r>
        <w:rPr>
          <w:rFonts w:eastAsia="Times New Roman"/>
          <w:color w:val="000000"/>
          <w:sz w:val="20"/>
          <w:szCs w:val="20"/>
          <w:bdr w:val="none" w:sz="0" w:space="0" w:color="auto"/>
          <w:shd w:val="clear" w:color="auto" w:fill="FFFFFF"/>
        </w:rPr>
        <w:t xml:space="preserve">edance of the maximum allowed sulphur content.  </w:t>
      </w:r>
    </w:p>
  </w:footnote>
  <w:footnote w:id="44">
    <w:p w:rsidR="00C4604B" w:rsidRDefault="00854B22">
      <w:pPr>
        <w:pStyle w:val="FootnoteText"/>
        <w:jc w:val="both"/>
        <w:rPr>
          <w:rFonts w:ascii="Times New Roman" w:hAnsi="Times New Roman" w:cs="Times New Roman"/>
          <w:b/>
          <w:bCs/>
        </w:rPr>
      </w:pPr>
      <w:r>
        <w:rPr>
          <w:rStyle w:val="FootnoteReference"/>
          <w:rFonts w:ascii="Times New Roman" w:hAnsi="Times New Roman" w:cs="Times New Roman"/>
        </w:rPr>
        <w:footnoteRef/>
      </w:r>
      <w:r>
        <w:rPr>
          <w:rFonts w:ascii="Times New Roman" w:hAnsi="Times New Roman" w:cs="Times New Roman"/>
        </w:rPr>
        <w:t xml:space="preserve"> In its judgement of 23 January 2014 following a request for a preliminary ruling from the Tribunale di Genova (Italy), the European Court of Justice in Case C-537/11 provided certain conditions to ascertai</w:t>
      </w:r>
      <w:r>
        <w:rPr>
          <w:rFonts w:ascii="Times New Roman" w:hAnsi="Times New Roman" w:cs="Times New Roman"/>
        </w:rPr>
        <w:t>n that a given cruise ship is to considered as a passenger ship operating on regular service</w:t>
      </w:r>
      <w:r>
        <w:rPr>
          <w:rFonts w:ascii="Times New Roman" w:hAnsi="Times New Roman" w:cs="Times New Roman"/>
          <w:b/>
          <w:bCs/>
        </w:rPr>
        <w:t>.</w:t>
      </w:r>
    </w:p>
  </w:footnote>
  <w:footnote w:id="45">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Allowing the use of alternative compliance methods to comply with the obligations set in the Directive does not relieve Member States of their obligations set o</w:t>
      </w:r>
      <w:r>
        <w:rPr>
          <w:rFonts w:ascii="Times New Roman" w:hAnsi="Times New Roman" w:cs="Times New Roman"/>
        </w:rPr>
        <w:t>ut in other Union legislation such as the Water Framework Directive (</w:t>
      </w:r>
      <w:r>
        <w:rPr>
          <w:rFonts w:ascii="Times New Roman" w:hAnsi="Times New Roman" w:cs="Times New Roman"/>
          <w:bCs/>
        </w:rPr>
        <w:t>Directive 2000/60/EC)</w:t>
      </w:r>
      <w:r>
        <w:rPr>
          <w:rFonts w:ascii="Times New Roman" w:hAnsi="Times New Roman" w:cs="Times New Roman"/>
        </w:rPr>
        <w:t>, the Marine Strategy Framework Directive (Directive 2008/56/EC), or the Directive on Port Reception Facilities (</w:t>
      </w:r>
      <w:r>
        <w:rPr>
          <w:rFonts w:ascii="Times New Roman" w:eastAsia="Times New Roman" w:hAnsi="Times New Roman" w:cs="Times New Roman"/>
          <w:bCs/>
          <w:bdr w:val="none" w:sz="0" w:space="0" w:color="auto"/>
          <w:lang w:val="en"/>
        </w:rPr>
        <w:t xml:space="preserve">Directive 2000/59/EC. </w:t>
      </w:r>
    </w:p>
  </w:footnote>
  <w:footnote w:id="46">
    <w:p w:rsidR="00C4604B" w:rsidRDefault="00854B22">
      <w:pPr>
        <w:rPr>
          <w:sz w:val="20"/>
          <w:szCs w:val="20"/>
          <w:lang w:val="en-GB"/>
        </w:rPr>
      </w:pPr>
      <w:r>
        <w:rPr>
          <w:rStyle w:val="FootnoteReference"/>
          <w:sz w:val="20"/>
          <w:szCs w:val="20"/>
        </w:rPr>
        <w:footnoteRef/>
      </w:r>
      <w:r>
        <w:rPr>
          <w:sz w:val="20"/>
          <w:szCs w:val="20"/>
        </w:rPr>
        <w:t xml:space="preserve"> The acceptability of the dis</w:t>
      </w:r>
      <w:r>
        <w:rPr>
          <w:sz w:val="20"/>
          <w:szCs w:val="20"/>
        </w:rPr>
        <w:t xml:space="preserve">charge of wash water from exhaust gas cleaning systems is one of those issues. See: </w:t>
      </w:r>
      <w:hyperlink r:id="rId15" w:history="1">
        <w:r>
          <w:rPr>
            <w:rStyle w:val="Hyperlink"/>
            <w:sz w:val="20"/>
            <w:szCs w:val="20"/>
            <w:lang w:val="en-GB"/>
          </w:rPr>
          <w:t>https://ec.europa.eu/transport/sites/transport/f</w:t>
        </w:r>
        <w:r>
          <w:rPr>
            <w:rStyle w:val="Hyperlink"/>
            <w:sz w:val="20"/>
            <w:szCs w:val="20"/>
            <w:lang w:val="en-GB"/>
          </w:rPr>
          <w:t>iles/acceptability_of_discharges_of_scrubber_wash_water.pdf</w:t>
        </w:r>
      </w:hyperlink>
    </w:p>
  </w:footnote>
  <w:footnote w:id="47">
    <w:p w:rsidR="00C4604B" w:rsidRDefault="00854B22">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OJ L 257, 28.8.2014, p. 146–185</w:t>
      </w:r>
    </w:p>
  </w:footnote>
  <w:footnote w:id="48">
    <w:p w:rsidR="00C4604B" w:rsidRDefault="00854B22">
      <w:pPr>
        <w:pStyle w:val="FootnoteText"/>
        <w:jc w:val="both"/>
        <w:rPr>
          <w:rFonts w:ascii="Times New Roman" w:hAnsi="Times New Roman" w:cs="Times New Roman"/>
        </w:rPr>
      </w:pPr>
      <w:r>
        <w:rPr>
          <w:rStyle w:val="FootnoteReference"/>
          <w:rFonts w:ascii="Times New Roman" w:eastAsia="Arial Unicode MS" w:hAnsi="Times New Roman" w:cs="Times New Roman"/>
          <w:color w:val="auto"/>
          <w:lang w:eastAsia="en-US"/>
        </w:rPr>
        <w:footnoteRef/>
      </w:r>
      <w:r>
        <w:rPr>
          <w:rFonts w:ascii="Times New Roman" w:hAnsi="Times New Roman" w:cs="Times New Roman"/>
        </w:rPr>
        <w:t xml:space="preserve"> The EU submitted various documents to the IMO concerning EGCS, such as IMO MEPC 71/9/1</w:t>
      </w:r>
      <w:r>
        <w:rPr>
          <w:rFonts w:ascii="Times New Roman" w:hAnsi="Times New Roman" w:cs="Times New Roman"/>
          <w:lang w:val="en-GB"/>
        </w:rPr>
        <w:t xml:space="preserve"> on a revision of the IMO Guidelines for exhaust gas cleaning systems</w:t>
      </w:r>
      <w:r>
        <w:rPr>
          <w:rFonts w:ascii="Times New Roman" w:hAnsi="Times New Roman" w:cs="Times New Roman"/>
        </w:rPr>
        <w:t xml:space="preserve">, IMO 5/11 on </w:t>
      </w:r>
      <w:r>
        <w:rPr>
          <w:rFonts w:ascii="Times New Roman" w:hAnsi="Times New Roman" w:cs="Times New Roman"/>
          <w:lang w:val="en-GB"/>
        </w:rPr>
        <w:t>globally harmonised sampling procedure for discharge water, and IMO 5/11/1 on accidental breakdown, instrument malfunction and perceived temporary non-compliance and transient performance of vessels equipped with scrubbers</w:t>
      </w:r>
    </w:p>
  </w:footnote>
  <w:footnote w:id="49">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w:t>
      </w:r>
      <w:r>
        <w:rPr>
          <w:rFonts w:ascii="Times New Roman" w:hAnsi="Times New Roman" w:cs="Times New Roman"/>
          <w:szCs w:val="24"/>
          <w:lang w:val="en-GB"/>
        </w:rPr>
        <w:t>.g. Directive 20</w:t>
      </w:r>
      <w:r>
        <w:rPr>
          <w:rFonts w:ascii="Times New Roman" w:hAnsi="Times New Roman" w:cs="Times New Roman"/>
          <w:szCs w:val="24"/>
          <w:lang w:val="en-GB"/>
        </w:rPr>
        <w:t>00/60/EC establishing a framework for Community action in the field of water policy ('Water Framework Directive') and Directive 2008/56/EC establishing a framework for community action in the field of marine environmental policy ('Marine Strategy Framework</w:t>
      </w:r>
      <w:r>
        <w:rPr>
          <w:rFonts w:ascii="Times New Roman" w:hAnsi="Times New Roman" w:cs="Times New Roman"/>
          <w:szCs w:val="24"/>
          <w:lang w:val="en-GB"/>
        </w:rPr>
        <w:t xml:space="preserve"> Directive'))</w:t>
      </w:r>
    </w:p>
  </w:footnote>
  <w:footnote w:id="50">
    <w:p w:rsidR="00C4604B" w:rsidRDefault="00854B22">
      <w:pPr>
        <w:jc w:val="both"/>
        <w:rPr>
          <w:rFonts w:eastAsia="Times New Roman"/>
          <w:bCs/>
          <w:color w:val="444444"/>
          <w:sz w:val="20"/>
          <w:szCs w:val="20"/>
          <w:bdr w:val="none" w:sz="0" w:space="0" w:color="auto" w:frame="1"/>
          <w:shd w:val="clear" w:color="auto" w:fill="FFFFFF"/>
        </w:rPr>
      </w:pPr>
      <w:r>
        <w:rPr>
          <w:rStyle w:val="FootnoteReference"/>
          <w:sz w:val="20"/>
          <w:szCs w:val="20"/>
        </w:rPr>
        <w:footnoteRef/>
      </w:r>
      <w:r>
        <w:rPr>
          <w:rFonts w:eastAsia="Times New Roman"/>
          <w:bCs/>
          <w:color w:val="444444"/>
          <w:sz w:val="20"/>
          <w:szCs w:val="20"/>
          <w:bdr w:val="none" w:sz="0" w:space="0" w:color="auto" w:frame="1"/>
          <w:shd w:val="clear" w:color="auto" w:fill="FFFFFF"/>
        </w:rPr>
        <w:t xml:space="preserve"> COM(2018)33final</w:t>
      </w:r>
    </w:p>
  </w:footnote>
  <w:footnote w:id="51">
    <w:p w:rsidR="00C4604B" w:rsidRDefault="00854B22">
      <w:pPr>
        <w:pStyle w:val="FootnoteText"/>
        <w:jc w:val="both"/>
        <w:rPr>
          <w:rFonts w:ascii="Times New Roman" w:hAnsi="Times New Roman" w:cs="Times New Roman"/>
          <w:lang w:val="en-GB"/>
        </w:rPr>
      </w:pPr>
      <w:r>
        <w:rPr>
          <w:rStyle w:val="FootnoteReference"/>
          <w:rFonts w:ascii="Times New Roman" w:eastAsia="Arial Unicode MS" w:hAnsi="Times New Roman" w:cs="Times New Roman"/>
          <w:color w:val="auto"/>
          <w:lang w:eastAsia="en-US"/>
        </w:rPr>
        <w:footnoteRef/>
      </w:r>
      <w:r>
        <w:rPr>
          <w:rFonts w:ascii="Times New Roman" w:hAnsi="Times New Roman" w:cs="Times New Roman"/>
          <w:lang w:val="en-GB"/>
        </w:rPr>
        <w:t xml:space="preserve"> See for instance the submissions to the IMO: MSC 94/11/1 on a standard LNG bunker delivery note and IMO MSC 94/11/2 on standard connectors</w:t>
      </w:r>
    </w:p>
  </w:footnote>
  <w:footnote w:id="52">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t xml:space="preserve"> </w:t>
      </w:r>
      <w:r>
        <w:rPr>
          <w:rFonts w:ascii="Times New Roman" w:eastAsia="Times New Roman" w:hAnsi="Times New Roman" w:cs="Times New Roman"/>
          <w:bCs/>
          <w:color w:val="444444"/>
          <w:bdr w:val="none" w:sz="0" w:space="0" w:color="auto" w:frame="1"/>
          <w:shd w:val="clear" w:color="auto" w:fill="FFFFFF"/>
          <w:lang w:eastAsia="en-US"/>
        </w:rPr>
        <w:t xml:space="preserve">See: </w:t>
      </w:r>
      <w:hyperlink r:id="rId16" w:history="1">
        <w:r>
          <w:rPr>
            <w:rStyle w:val="Hyperlink"/>
            <w:rFonts w:ascii="Times New Roman" w:eastAsia="Times New Roman" w:hAnsi="Times New Roman" w:cs="Times New Roman"/>
            <w:bCs/>
            <w:bdr w:val="none" w:sz="0" w:space="0" w:color="auto" w:frame="1"/>
            <w:shd w:val="clear" w:color="auto" w:fill="FFFFFF"/>
            <w:lang w:eastAsia="en-US"/>
          </w:rPr>
          <w:t>http://www.emsa.europa.eu/news-a-press-centre/external-news/item/3207-guidance-on-lng-bunkering-to-port-authorities-and-administrations.html</w:t>
        </w:r>
      </w:hyperlink>
      <w:r>
        <w:t xml:space="preserve"> </w:t>
      </w:r>
    </w:p>
  </w:footnote>
  <w:footnote w:id="53">
    <w:p w:rsidR="00C4604B" w:rsidRDefault="00854B22">
      <w:pPr>
        <w:jc w:val="both"/>
        <w:rPr>
          <w:rFonts w:ascii="Times" w:eastAsia="Times New Roman" w:hAnsi="Times"/>
          <w:sz w:val="20"/>
          <w:szCs w:val="20"/>
          <w:bdr w:val="none" w:sz="0" w:space="0" w:color="auto"/>
        </w:rPr>
      </w:pPr>
      <w:r>
        <w:rPr>
          <w:rStyle w:val="FootnoteReference"/>
          <w:sz w:val="20"/>
          <w:szCs w:val="20"/>
        </w:rPr>
        <w:footnoteRef/>
      </w:r>
      <w:r>
        <w:rPr>
          <w:sz w:val="20"/>
          <w:szCs w:val="20"/>
        </w:rPr>
        <w:t xml:space="preserve"> </w:t>
      </w:r>
      <w:r>
        <w:rPr>
          <w:rFonts w:eastAsia="Times New Roman"/>
          <w:iCs/>
          <w:color w:val="444444"/>
          <w:sz w:val="20"/>
          <w:szCs w:val="20"/>
          <w:bdr w:val="none" w:sz="0" w:space="0" w:color="auto"/>
        </w:rPr>
        <w:t>OJ L 307, 28.10.2014, p. 1–20</w:t>
      </w:r>
    </w:p>
  </w:footnote>
  <w:footnote w:id="54">
    <w:p w:rsidR="00C4604B" w:rsidRDefault="00854B22">
      <w:pPr>
        <w:pStyle w:val="FootnoteText"/>
      </w:pPr>
      <w:r>
        <w:rPr>
          <w:rStyle w:val="FootnoteReference"/>
          <w:rFonts w:ascii="Times New Roman" w:hAnsi="Times New Roman" w:cs="Times New Roman"/>
        </w:rPr>
        <w:footnoteRef/>
      </w:r>
      <w:r>
        <w:rPr>
          <w:rFonts w:ascii="Times New Roman" w:hAnsi="Times New Roman" w:cs="Times New Roman"/>
        </w:rPr>
        <w:t xml:space="preserve"> See also the Commission's summary of the</w:t>
      </w:r>
      <w:r>
        <w:t xml:space="preserve"> </w:t>
      </w:r>
      <w:r>
        <w:rPr>
          <w:rFonts w:ascii="Times New Roman" w:hAnsi="Times New Roman" w:cs="Times New Roman"/>
        </w:rPr>
        <w:t xml:space="preserve">national plans for alternative fuel infrastructure: </w:t>
      </w:r>
      <w:hyperlink r:id="rId17" w:history="1">
        <w:r>
          <w:rPr>
            <w:rStyle w:val="Hyperlink"/>
            <w:rFonts w:ascii="Times New Roman" w:hAnsi="Times New Roman" w:cs="Times New Roman"/>
          </w:rPr>
          <w:t>https://ec.europa.eu/transport/sites/transport/files/2017-11-08-mobility-package two/summary_of_national_policy_frameworks_on_alternative_fuels.pdf</w:t>
        </w:r>
      </w:hyperlink>
    </w:p>
  </w:footnote>
  <w:footnote w:id="55">
    <w:p w:rsidR="00C4604B" w:rsidRDefault="00854B22">
      <w:pPr>
        <w:pStyle w:val="FootnoteText"/>
        <w:jc w:val="both"/>
        <w:rPr>
          <w:rFonts w:ascii="Times New Roman" w:hAnsi="Times New Roman" w:cs="Times New Roman"/>
          <w:iCs/>
          <w:lang w:val="en-GB"/>
        </w:rPr>
      </w:pPr>
      <w:r>
        <w:rPr>
          <w:rStyle w:val="FootnoteReference"/>
          <w:rFonts w:ascii="Times New Roman" w:hAnsi="Times New Roman" w:cs="Times New Roman"/>
        </w:rPr>
        <w:footnoteRef/>
      </w:r>
      <w:r>
        <w:rPr>
          <w:rFonts w:ascii="Times New Roman" w:hAnsi="Times New Roman" w:cs="Times New Roman"/>
          <w:lang w:val="en-GB"/>
        </w:rPr>
        <w:t xml:space="preserve"> OJ </w:t>
      </w:r>
      <w:r>
        <w:rPr>
          <w:rFonts w:ascii="Times New Roman" w:hAnsi="Times New Roman" w:cs="Times New Roman"/>
          <w:iCs/>
          <w:lang w:val="en-GB"/>
        </w:rPr>
        <w:t xml:space="preserve">L 152 , 11.06.2008, p. 1 – 44 </w:t>
      </w:r>
    </w:p>
  </w:footnote>
  <w:footnote w:id="56">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OJ L 283, 31.10.2003, p. 51</w:t>
      </w:r>
    </w:p>
  </w:footnote>
  <w:footnote w:id="57">
    <w:p w:rsidR="00C4604B" w:rsidRDefault="00854B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GB"/>
        </w:rPr>
        <w:t xml:space="preserve"> E.g. </w:t>
      </w:r>
      <w:r>
        <w:rPr>
          <w:rFonts w:ascii="Times New Roman" w:hAnsi="Times New Roman" w:cs="Times New Roman"/>
        </w:rPr>
        <w:t xml:space="preserve">Germany, Sweden and Denmark </w:t>
      </w:r>
      <w:r>
        <w:rPr>
          <w:rFonts w:ascii="Times New Roman" w:hAnsi="Times New Roman" w:cs="Times New Roman"/>
        </w:rPr>
        <w:t>(respective Council Implementing Decisions: 2014/722/EU of 14 October 2014, 2014/725/EU of 14 October 2014 and (EU) 2015/993 of 19 June 2015</w:t>
      </w:r>
    </w:p>
  </w:footnote>
  <w:footnote w:id="58">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See: </w:t>
      </w:r>
      <w:hyperlink r:id="rId18" w:history="1">
        <w:r>
          <w:rPr>
            <w:rStyle w:val="Hyperlink"/>
            <w:rFonts w:ascii="Times New Roman" w:hAnsi="Times New Roman" w:cs="Times New Roman"/>
            <w:lang w:val="en-GB"/>
          </w:rPr>
          <w:t>http://www.imo.org/en/mediacentre/pressbriefings/pages/mepc-70-2020sulphur.aspx</w:t>
        </w:r>
      </w:hyperlink>
    </w:p>
  </w:footnote>
  <w:footnote w:id="59">
    <w:p w:rsidR="00C4604B" w:rsidRDefault="00854B22">
      <w:pPr>
        <w:jc w:val="both"/>
        <w:rPr>
          <w:sz w:val="20"/>
          <w:szCs w:val="20"/>
        </w:rPr>
      </w:pPr>
      <w:r>
        <w:rPr>
          <w:rStyle w:val="FootnoteReference"/>
          <w:sz w:val="20"/>
          <w:szCs w:val="20"/>
        </w:rPr>
        <w:footnoteRef/>
      </w:r>
      <w:r>
        <w:rPr>
          <w:sz w:val="20"/>
          <w:szCs w:val="20"/>
        </w:rPr>
        <w:t xml:space="preserve"> </w:t>
      </w:r>
      <w:r>
        <w:rPr>
          <w:sz w:val="20"/>
          <w:szCs w:val="20"/>
          <w:lang w:val="en-GB"/>
        </w:rPr>
        <w:t xml:space="preserve">The EU and its Member States have sent specific submissions to the IMO (e.g. </w:t>
      </w:r>
      <w:r>
        <w:rPr>
          <w:sz w:val="20"/>
          <w:szCs w:val="20"/>
        </w:rPr>
        <w:t>MEPC 70/INF.41 and PPR 5/13/5) and envisage</w:t>
      </w:r>
      <w:r>
        <w:rPr>
          <w:sz w:val="20"/>
          <w:szCs w:val="20"/>
          <w:lang w:val="en-GB"/>
        </w:rPr>
        <w:t xml:space="preserve"> submitting additional contributions.</w:t>
      </w:r>
    </w:p>
  </w:footnote>
  <w:footnote w:id="60">
    <w:p w:rsidR="00C4604B" w:rsidRDefault="00854B22">
      <w:pPr>
        <w:jc w:val="both"/>
        <w:rPr>
          <w:sz w:val="20"/>
          <w:szCs w:val="20"/>
          <w:lang w:val="en-GB"/>
        </w:rPr>
      </w:pPr>
      <w:r>
        <w:rPr>
          <w:rStyle w:val="FootnoteReference"/>
          <w:sz w:val="20"/>
          <w:szCs w:val="20"/>
        </w:rPr>
        <w:footnoteRef/>
      </w:r>
      <w:r>
        <w:rPr>
          <w:sz w:val="20"/>
          <w:szCs w:val="20"/>
          <w:lang w:val="en-GB"/>
        </w:rPr>
        <w:t xml:space="preserve"> A dedicated ai</w:t>
      </w:r>
      <w:r>
        <w:rPr>
          <w:sz w:val="20"/>
          <w:szCs w:val="20"/>
          <w:lang w:val="en-GB"/>
        </w:rPr>
        <w:t xml:space="preserve">r pollution training for candidate and potential candidate countries took place in May 2014. Another 2 day training is foreseen in the first quarter of 2018. </w:t>
      </w:r>
      <w:r>
        <w:rPr>
          <w:sz w:val="20"/>
          <w:szCs w:val="20"/>
        </w:rPr>
        <w:t xml:space="preserve">See: </w:t>
      </w:r>
      <w:hyperlink r:id="rId19" w:history="1">
        <w:r>
          <w:rPr>
            <w:rStyle w:val="Hyperlink"/>
            <w:sz w:val="20"/>
            <w:szCs w:val="20"/>
          </w:rPr>
          <w:t>http://www.emsa.europa.eu/implementation-tasks/training-a-cooperation/training-for-candidates-a-potential-candidates.html</w:t>
        </w:r>
      </w:hyperlink>
    </w:p>
  </w:footnote>
  <w:footnote w:id="61">
    <w:p w:rsidR="00C4604B" w:rsidRDefault="00854B22">
      <w:pPr>
        <w:jc w:val="both"/>
        <w:rPr>
          <w:sz w:val="20"/>
          <w:szCs w:val="20"/>
          <w:lang w:val="en-GB"/>
        </w:rPr>
      </w:pPr>
      <w:r>
        <w:rPr>
          <w:rStyle w:val="FootnoteReference"/>
          <w:sz w:val="20"/>
          <w:szCs w:val="20"/>
        </w:rPr>
        <w:footnoteRef/>
      </w:r>
      <w:r>
        <w:rPr>
          <w:sz w:val="20"/>
          <w:szCs w:val="20"/>
        </w:rPr>
        <w:t xml:space="preserve"> </w:t>
      </w:r>
      <w:r>
        <w:rPr>
          <w:sz w:val="20"/>
          <w:szCs w:val="20"/>
          <w:lang w:val="en-GB"/>
        </w:rPr>
        <w:t>EMSA provides technical assistance under the ‘TRACECA’ project to beneficiary countries</w:t>
      </w:r>
      <w:r>
        <w:rPr>
          <w:sz w:val="20"/>
          <w:szCs w:val="20"/>
          <w:lang w:val="en-GB"/>
        </w:rPr>
        <w:t xml:space="preserve"> bordering the Black Sea and Caspian Sea, and to beneficiaries in the Southern Neighbourhood region under the ‘SAFEMED IV’ project. Both projects, 4M€ each, are funded by the European Neighbourhood Instrument (ENI). </w:t>
      </w:r>
    </w:p>
    <w:p w:rsidR="00C4604B" w:rsidRDefault="00854B22">
      <w:pPr>
        <w:rPr>
          <w:sz w:val="20"/>
          <w:szCs w:val="20"/>
          <w:lang w:val="en-GB"/>
        </w:rPr>
      </w:pPr>
      <w:r>
        <w:rPr>
          <w:sz w:val="20"/>
          <w:szCs w:val="20"/>
          <w:lang w:val="en-GB"/>
        </w:rPr>
        <w:t>See:  http://emsa.europa.eu/implementat</w:t>
      </w:r>
      <w:r>
        <w:rPr>
          <w:sz w:val="20"/>
          <w:szCs w:val="20"/>
          <w:lang w:val="en-GB"/>
        </w:rPr>
        <w:t>ion-tasks/training-a-cooperation.html</w:t>
      </w:r>
    </w:p>
  </w:footnote>
  <w:footnote w:id="62">
    <w:p w:rsidR="00C4604B" w:rsidRDefault="00854B22">
      <w:pPr>
        <w:pStyle w:val="FootnoteText"/>
        <w:jc w:val="both"/>
        <w:rPr>
          <w:rFonts w:ascii="Times New Roman" w:hAnsi="Times New Roman" w:cs="Times New Roman"/>
          <w:color w:val="auto"/>
          <w:lang w:val="en-GB"/>
        </w:rPr>
      </w:pPr>
      <w:r>
        <w:rPr>
          <w:rStyle w:val="FootnoteReference"/>
        </w:rPr>
        <w:footnoteRef/>
      </w:r>
      <w:r>
        <w:t xml:space="preserve"> </w:t>
      </w:r>
      <w:r>
        <w:rPr>
          <w:rFonts w:ascii="Times New Roman" w:hAnsi="Times New Roman" w:cs="Times New Roman"/>
          <w:color w:val="auto"/>
          <w:lang w:val="en-GB"/>
        </w:rPr>
        <w:t xml:space="preserve">The Energy Community is an international organisation consisting of the EU and Albania, Bosnia and Herzegovina, Georgia, the former Yugoslav Republic of Macedonia, Kosovo, Moldova, Montenegro, Serbia and Ukraine. It </w:t>
      </w:r>
      <w:r>
        <w:rPr>
          <w:rFonts w:ascii="Times New Roman" w:hAnsi="Times New Roman" w:cs="Times New Roman"/>
          <w:color w:val="auto"/>
          <w:lang w:val="en-GB"/>
        </w:rPr>
        <w:t>aims to extend the EU’s internal energy market to south-eastern Europe and the Black Sea region.</w:t>
      </w:r>
    </w:p>
  </w:footnote>
  <w:footnote w:id="63">
    <w:p w:rsidR="00C4604B" w:rsidRDefault="00854B22">
      <w:pPr>
        <w:pStyle w:val="FootnoteText"/>
        <w:rPr>
          <w:rFonts w:ascii="Times New Roman" w:hAnsi="Times New Roman" w:cs="Times New Roman"/>
          <w:lang w:val="en-GB"/>
        </w:rPr>
      </w:pPr>
      <w:r>
        <w:rPr>
          <w:rStyle w:val="FootnoteReference"/>
          <w:rFonts w:ascii="Times New Roman" w:hAnsi="Times New Roman" w:cs="Times New Roman"/>
          <w:color w:val="auto"/>
        </w:rPr>
        <w:footnoteRef/>
      </w:r>
      <w:r>
        <w:rPr>
          <w:rFonts w:ascii="Times New Roman" w:hAnsi="Times New Roman" w:cs="Times New Roman"/>
          <w:color w:val="auto"/>
        </w:rPr>
        <w:t xml:space="preserve"> </w:t>
      </w:r>
      <w:r>
        <w:rPr>
          <w:rFonts w:ascii="Times New Roman" w:hAnsi="Times New Roman" w:cs="Times New Roman"/>
          <w:color w:val="auto"/>
          <w:lang w:val="en-GB"/>
        </w:rPr>
        <w:t>Ministerial Council Decision 2016/15/MC-EnC of 14 October 2016</w:t>
      </w:r>
    </w:p>
  </w:footnote>
  <w:footnote w:id="64">
    <w:p w:rsidR="00C4604B" w:rsidRDefault="00854B22">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See: </w:t>
      </w:r>
      <w:hyperlink r:id="rId20" w:history="1">
        <w:r>
          <w:rPr>
            <w:rStyle w:val="Hyperlink"/>
            <w:rFonts w:ascii="Times New Roman" w:hAnsi="Times New Roman" w:cs="Times New Roman"/>
            <w:lang w:val="en-GB"/>
          </w:rPr>
          <w:t>http://www.imo.org/en/MediaCentre/MeetingSummaries/MEPC/Pages/MEPC-70th-session.aspx</w:t>
        </w:r>
      </w:hyperlink>
      <w:r>
        <w:rPr>
          <w:rFonts w:ascii="Times New Roman" w:hAnsi="Times New Roman" w:cs="Times New Roman"/>
          <w:lang w:val="en-GB"/>
        </w:rPr>
        <w:t xml:space="preserve"> </w:t>
      </w:r>
    </w:p>
  </w:footnote>
  <w:footnote w:id="65">
    <w:p w:rsidR="00C4604B" w:rsidRDefault="00854B22">
      <w:pPr>
        <w:pStyle w:val="FootnoteText"/>
        <w:jc w:val="both"/>
        <w:rPr>
          <w:rFonts w:ascii="Times New Roman" w:eastAsia="Times New Roman" w:hAnsi="Times New Roman" w:cs="Times New Roman"/>
          <w:bdr w:val="none" w:sz="0" w:space="0" w:color="auto"/>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See also the Commission </w:t>
      </w:r>
      <w:r>
        <w:rPr>
          <w:rFonts w:ascii="Times New Roman" w:eastAsia="Times New Roman" w:hAnsi="Times New Roman" w:cs="Times New Roman"/>
          <w:bdr w:val="none" w:sz="0" w:space="0" w:color="auto"/>
        </w:rPr>
        <w:t>proposal for a Council Decision of 22 September 2016 on the position to be adopted on behalf of the European Union at the IMO during the 70th and 71st session of the Marine Environment Protection Committee on the approval and adoption of amendments to MARP</w:t>
      </w:r>
      <w:r>
        <w:rPr>
          <w:rFonts w:ascii="Times New Roman" w:eastAsia="Times New Roman" w:hAnsi="Times New Roman" w:cs="Times New Roman"/>
          <w:bdr w:val="none" w:sz="0" w:space="0" w:color="auto"/>
        </w:rPr>
        <w:t xml:space="preserve">OL Annex VI concerning the designation and taking effect of the Baltic Sea and North Sea as NECA, COM(2016)617 final </w:t>
      </w:r>
    </w:p>
  </w:footnote>
  <w:footnote w:id="66">
    <w:p w:rsidR="00C4604B" w:rsidRDefault="00854B22">
      <w:pPr>
        <w:jc w:val="both"/>
        <w:rPr>
          <w:sz w:val="20"/>
          <w:szCs w:val="20"/>
          <w:lang w:val="en-GB"/>
        </w:rPr>
      </w:pPr>
      <w:r>
        <w:rPr>
          <w:rStyle w:val="FootnoteReference"/>
          <w:sz w:val="20"/>
          <w:szCs w:val="20"/>
        </w:rPr>
        <w:footnoteRef/>
      </w:r>
      <w:r>
        <w:rPr>
          <w:iCs/>
          <w:sz w:val="20"/>
          <w:szCs w:val="20"/>
        </w:rPr>
        <w:t xml:space="preserve"> European Environment Agency (EEA), October 2017, ‘Air quality in Europe - 2017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4B" w:rsidRDefault="00C46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3C"/>
    <w:multiLevelType w:val="multilevel"/>
    <w:tmpl w:val="E37C926E"/>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73292"/>
    <w:multiLevelType w:val="multilevel"/>
    <w:tmpl w:val="76A2C7E4"/>
    <w:lvl w:ilvl="0">
      <w:start w:val="1"/>
      <w:numFmt w:val="bullet"/>
      <w:lvlText w:val=""/>
      <w:lvlJc w:val="left"/>
      <w:pPr>
        <w:tabs>
          <w:tab w:val="num" w:pos="-556"/>
        </w:tabs>
        <w:ind w:left="-556" w:hanging="360"/>
      </w:pPr>
      <w:rPr>
        <w:rFonts w:ascii="Symbol" w:hAnsi="Symbol" w:hint="default"/>
        <w:sz w:val="20"/>
      </w:rPr>
    </w:lvl>
    <w:lvl w:ilvl="1" w:tentative="1">
      <w:start w:val="1"/>
      <w:numFmt w:val="bullet"/>
      <w:lvlText w:val="o"/>
      <w:lvlJc w:val="left"/>
      <w:pPr>
        <w:tabs>
          <w:tab w:val="num" w:pos="164"/>
        </w:tabs>
        <w:ind w:left="164" w:hanging="360"/>
      </w:pPr>
      <w:rPr>
        <w:rFonts w:ascii="Courier New" w:hAnsi="Courier New" w:hint="default"/>
        <w:sz w:val="20"/>
      </w:rPr>
    </w:lvl>
    <w:lvl w:ilvl="2" w:tentative="1">
      <w:start w:val="1"/>
      <w:numFmt w:val="bullet"/>
      <w:lvlText w:val=""/>
      <w:lvlJc w:val="left"/>
      <w:pPr>
        <w:tabs>
          <w:tab w:val="num" w:pos="884"/>
        </w:tabs>
        <w:ind w:left="884" w:hanging="360"/>
      </w:pPr>
      <w:rPr>
        <w:rFonts w:ascii="Wingdings" w:hAnsi="Wingdings" w:hint="default"/>
        <w:sz w:val="20"/>
      </w:rPr>
    </w:lvl>
    <w:lvl w:ilvl="3" w:tentative="1">
      <w:start w:val="1"/>
      <w:numFmt w:val="bullet"/>
      <w:lvlText w:val=""/>
      <w:lvlJc w:val="left"/>
      <w:pPr>
        <w:tabs>
          <w:tab w:val="num" w:pos="1604"/>
        </w:tabs>
        <w:ind w:left="1604" w:hanging="360"/>
      </w:pPr>
      <w:rPr>
        <w:rFonts w:ascii="Wingdings" w:hAnsi="Wingdings" w:hint="default"/>
        <w:sz w:val="20"/>
      </w:rPr>
    </w:lvl>
    <w:lvl w:ilvl="4" w:tentative="1">
      <w:start w:val="1"/>
      <w:numFmt w:val="bullet"/>
      <w:lvlText w:val=""/>
      <w:lvlJc w:val="left"/>
      <w:pPr>
        <w:tabs>
          <w:tab w:val="num" w:pos="2324"/>
        </w:tabs>
        <w:ind w:left="2324" w:hanging="360"/>
      </w:pPr>
      <w:rPr>
        <w:rFonts w:ascii="Wingdings" w:hAnsi="Wingdings" w:hint="default"/>
        <w:sz w:val="20"/>
      </w:rPr>
    </w:lvl>
    <w:lvl w:ilvl="5" w:tentative="1">
      <w:start w:val="1"/>
      <w:numFmt w:val="bullet"/>
      <w:lvlText w:val=""/>
      <w:lvlJc w:val="left"/>
      <w:pPr>
        <w:tabs>
          <w:tab w:val="num" w:pos="3044"/>
        </w:tabs>
        <w:ind w:left="3044" w:hanging="360"/>
      </w:pPr>
      <w:rPr>
        <w:rFonts w:ascii="Wingdings" w:hAnsi="Wingdings" w:hint="default"/>
        <w:sz w:val="20"/>
      </w:rPr>
    </w:lvl>
    <w:lvl w:ilvl="6" w:tentative="1">
      <w:start w:val="1"/>
      <w:numFmt w:val="bullet"/>
      <w:lvlText w:val=""/>
      <w:lvlJc w:val="left"/>
      <w:pPr>
        <w:tabs>
          <w:tab w:val="num" w:pos="3764"/>
        </w:tabs>
        <w:ind w:left="3764" w:hanging="360"/>
      </w:pPr>
      <w:rPr>
        <w:rFonts w:ascii="Wingdings" w:hAnsi="Wingdings" w:hint="default"/>
        <w:sz w:val="20"/>
      </w:rPr>
    </w:lvl>
    <w:lvl w:ilvl="7" w:tentative="1">
      <w:start w:val="1"/>
      <w:numFmt w:val="bullet"/>
      <w:lvlText w:val=""/>
      <w:lvlJc w:val="left"/>
      <w:pPr>
        <w:tabs>
          <w:tab w:val="num" w:pos="4484"/>
        </w:tabs>
        <w:ind w:left="4484" w:hanging="360"/>
      </w:pPr>
      <w:rPr>
        <w:rFonts w:ascii="Wingdings" w:hAnsi="Wingdings" w:hint="default"/>
        <w:sz w:val="20"/>
      </w:rPr>
    </w:lvl>
    <w:lvl w:ilvl="8" w:tentative="1">
      <w:start w:val="1"/>
      <w:numFmt w:val="bullet"/>
      <w:lvlText w:val=""/>
      <w:lvlJc w:val="left"/>
      <w:pPr>
        <w:tabs>
          <w:tab w:val="num" w:pos="5204"/>
        </w:tabs>
        <w:ind w:left="5204" w:hanging="360"/>
      </w:pPr>
      <w:rPr>
        <w:rFonts w:ascii="Wingdings" w:hAnsi="Wingdings" w:hint="default"/>
        <w:sz w:val="20"/>
      </w:rPr>
    </w:lvl>
  </w:abstractNum>
  <w:abstractNum w:abstractNumId="2">
    <w:nsid w:val="02E379BF"/>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F0653"/>
    <w:multiLevelType w:val="multilevel"/>
    <w:tmpl w:val="3386E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E817DA"/>
    <w:multiLevelType w:val="hybridMultilevel"/>
    <w:tmpl w:val="8BE8B9E0"/>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C69B0"/>
    <w:multiLevelType w:val="hybridMultilevel"/>
    <w:tmpl w:val="F382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11E6F"/>
    <w:multiLevelType w:val="hybridMultilevel"/>
    <w:tmpl w:val="2056F63C"/>
    <w:numStyleLink w:val="ImportierterStil6"/>
  </w:abstractNum>
  <w:abstractNum w:abstractNumId="7">
    <w:nsid w:val="16D46923"/>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C783E"/>
    <w:multiLevelType w:val="hybridMultilevel"/>
    <w:tmpl w:val="650A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A773B"/>
    <w:multiLevelType w:val="hybridMultilevel"/>
    <w:tmpl w:val="FAF669FC"/>
    <w:lvl w:ilvl="0" w:tplc="08090001">
      <w:start w:val="1"/>
      <w:numFmt w:val="bullet"/>
      <w:lvlText w:val=""/>
      <w:lvlJc w:val="left"/>
      <w:pPr>
        <w:ind w:left="720" w:hanging="360"/>
      </w:pPr>
      <w:rPr>
        <w:rFonts w:ascii="Symbol" w:hAnsi="Symbol" w:hint="default"/>
      </w:rPr>
    </w:lvl>
    <w:lvl w:ilvl="1" w:tplc="8258C95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F81560"/>
    <w:multiLevelType w:val="hybridMultilevel"/>
    <w:tmpl w:val="60786DCE"/>
    <w:numStyleLink w:val="ImportierterStil4"/>
  </w:abstractNum>
  <w:abstractNum w:abstractNumId="11">
    <w:nsid w:val="21881AFC"/>
    <w:multiLevelType w:val="hybridMultilevel"/>
    <w:tmpl w:val="5422FDC0"/>
    <w:numStyleLink w:val="ImportierterStil2"/>
  </w:abstractNum>
  <w:abstractNum w:abstractNumId="12">
    <w:nsid w:val="22F14268"/>
    <w:multiLevelType w:val="hybridMultilevel"/>
    <w:tmpl w:val="B8FE9C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72624B6"/>
    <w:multiLevelType w:val="hybridMultilevel"/>
    <w:tmpl w:val="2056F63C"/>
    <w:styleLink w:val="ImportierterStil6"/>
    <w:lvl w:ilvl="0" w:tplc="1B18E0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ECD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2B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E90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E3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890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F462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62A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66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7EE2094"/>
    <w:multiLevelType w:val="hybridMultilevel"/>
    <w:tmpl w:val="3004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8C7163D"/>
    <w:multiLevelType w:val="hybridMultilevel"/>
    <w:tmpl w:val="EFB6BC3A"/>
    <w:lvl w:ilvl="0" w:tplc="7554BD26">
      <w:start w:val="2"/>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E3A12"/>
    <w:multiLevelType w:val="hybridMultilevel"/>
    <w:tmpl w:val="9CF048AC"/>
    <w:lvl w:ilvl="0" w:tplc="60947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E3A13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407FB1"/>
    <w:multiLevelType w:val="multilevel"/>
    <w:tmpl w:val="1FC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D52BA5"/>
    <w:multiLevelType w:val="hybridMultilevel"/>
    <w:tmpl w:val="FD264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50371B5"/>
    <w:multiLevelType w:val="hybridMultilevel"/>
    <w:tmpl w:val="18C005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65F1122"/>
    <w:multiLevelType w:val="hybridMultilevel"/>
    <w:tmpl w:val="DF26643C"/>
    <w:numStyleLink w:val="ImportierterStil3"/>
  </w:abstractNum>
  <w:abstractNum w:abstractNumId="25">
    <w:nsid w:val="3873564A"/>
    <w:multiLevelType w:val="hybridMultilevel"/>
    <w:tmpl w:val="19BC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1B3307"/>
    <w:multiLevelType w:val="hybridMultilevel"/>
    <w:tmpl w:val="AB0EDC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AD4BC7"/>
    <w:multiLevelType w:val="multilevel"/>
    <w:tmpl w:val="3386EDFE"/>
    <w:lvl w:ilvl="0">
      <w:start w:val="1"/>
      <w:numFmt w:val="decimal"/>
      <w:lvlText w:val="%1."/>
      <w:lvlJc w:val="left"/>
      <w:pPr>
        <w:ind w:left="72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6032225"/>
    <w:multiLevelType w:val="hybridMultilevel"/>
    <w:tmpl w:val="B1102062"/>
    <w:numStyleLink w:val="ImportierterStil1"/>
  </w:abstractNum>
  <w:abstractNum w:abstractNumId="30">
    <w:nsid w:val="4AE91906"/>
    <w:multiLevelType w:val="hybridMultilevel"/>
    <w:tmpl w:val="7C9C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1A458A2"/>
    <w:multiLevelType w:val="hybridMultilevel"/>
    <w:tmpl w:val="FECC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170082"/>
    <w:multiLevelType w:val="hybridMultilevel"/>
    <w:tmpl w:val="6A247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27762A2"/>
    <w:multiLevelType w:val="hybridMultilevel"/>
    <w:tmpl w:val="6016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4908FA"/>
    <w:multiLevelType w:val="hybridMultilevel"/>
    <w:tmpl w:val="662280F6"/>
    <w:lvl w:ilvl="0" w:tplc="62D87AD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A6732"/>
    <w:multiLevelType w:val="hybridMultilevel"/>
    <w:tmpl w:val="566AB9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67719D"/>
    <w:multiLevelType w:val="hybridMultilevel"/>
    <w:tmpl w:val="E1B6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E87A73"/>
    <w:multiLevelType w:val="multilevel"/>
    <w:tmpl w:val="A7DC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662B64"/>
    <w:multiLevelType w:val="hybridMultilevel"/>
    <w:tmpl w:val="AB1CD3B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AD23FF"/>
    <w:multiLevelType w:val="hybridMultilevel"/>
    <w:tmpl w:val="5148CE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3333B2"/>
    <w:multiLevelType w:val="hybridMultilevel"/>
    <w:tmpl w:val="FC16926C"/>
    <w:styleLink w:val="ImportierterStil5"/>
    <w:lvl w:ilvl="0" w:tplc="BA445088">
      <w:start w:val="1"/>
      <w:numFmt w:val="bullet"/>
      <w:lvlText w:val="•"/>
      <w:lvlJc w:val="left"/>
      <w:pPr>
        <w:ind w:left="78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CF372">
      <w:start w:val="1"/>
      <w:numFmt w:val="bullet"/>
      <w:lvlText w:val="o"/>
      <w:lvlJc w:val="left"/>
      <w:pPr>
        <w:ind w:left="15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367844">
      <w:start w:val="1"/>
      <w:numFmt w:val="bullet"/>
      <w:lvlText w:val="▪"/>
      <w:lvlJc w:val="left"/>
      <w:pPr>
        <w:ind w:left="22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00106">
      <w:start w:val="1"/>
      <w:numFmt w:val="bullet"/>
      <w:lvlText w:val="•"/>
      <w:lvlJc w:val="left"/>
      <w:pPr>
        <w:ind w:left="29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2C566">
      <w:start w:val="1"/>
      <w:numFmt w:val="bullet"/>
      <w:lvlText w:val="o"/>
      <w:lvlJc w:val="left"/>
      <w:pPr>
        <w:ind w:left="366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4ADD02">
      <w:start w:val="1"/>
      <w:numFmt w:val="bullet"/>
      <w:lvlText w:val="▪"/>
      <w:lvlJc w:val="left"/>
      <w:pPr>
        <w:ind w:left="438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AF69A">
      <w:start w:val="1"/>
      <w:numFmt w:val="bullet"/>
      <w:lvlText w:val="•"/>
      <w:lvlJc w:val="left"/>
      <w:pPr>
        <w:ind w:left="51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66BE0">
      <w:start w:val="1"/>
      <w:numFmt w:val="bullet"/>
      <w:lvlText w:val="o"/>
      <w:lvlJc w:val="left"/>
      <w:pPr>
        <w:ind w:left="58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ED864">
      <w:start w:val="1"/>
      <w:numFmt w:val="bullet"/>
      <w:lvlText w:val="▪"/>
      <w:lvlJc w:val="left"/>
      <w:pPr>
        <w:ind w:left="65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DC622F3"/>
    <w:multiLevelType w:val="hybridMultilevel"/>
    <w:tmpl w:val="3FF04204"/>
    <w:lvl w:ilvl="0" w:tplc="C01EF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521448"/>
    <w:multiLevelType w:val="hybridMultilevel"/>
    <w:tmpl w:val="34005528"/>
    <w:lvl w:ilvl="0" w:tplc="EFB6D084">
      <w:start w:val="1"/>
      <w:numFmt w:val="none"/>
      <w:lvlText w:val="3.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78B634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7B0181"/>
    <w:multiLevelType w:val="multilevel"/>
    <w:tmpl w:val="BA3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BD5BF1"/>
    <w:multiLevelType w:val="hybridMultilevel"/>
    <w:tmpl w:val="FC16926C"/>
    <w:numStyleLink w:val="ImportierterStil5"/>
  </w:abstractNum>
  <w:num w:numId="1">
    <w:abstractNumId w:val="13"/>
  </w:num>
  <w:num w:numId="2">
    <w:abstractNumId w:val="29"/>
    <w:lvlOverride w:ilvl="0">
      <w:lvl w:ilvl="0" w:tplc="283867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9"/>
  </w:num>
  <w:num w:numId="4">
    <w:abstractNumId w:val="11"/>
  </w:num>
  <w:num w:numId="5">
    <w:abstractNumId w:val="15"/>
  </w:num>
  <w:num w:numId="6">
    <w:abstractNumId w:val="24"/>
  </w:num>
  <w:num w:numId="7">
    <w:abstractNumId w:val="28"/>
  </w:num>
  <w:num w:numId="8">
    <w:abstractNumId w:val="10"/>
  </w:num>
  <w:num w:numId="9">
    <w:abstractNumId w:val="40"/>
  </w:num>
  <w:num w:numId="10">
    <w:abstractNumId w:val="45"/>
    <w:lvlOverride w:ilvl="0">
      <w:lvl w:ilvl="0" w:tplc="7C0C76F8">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4"/>
  </w:num>
  <w:num w:numId="12">
    <w:abstractNumId w:val="6"/>
    <w:lvlOverride w:ilvl="0">
      <w:lvl w:ilvl="0" w:tplc="FF3C55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1"/>
  </w:num>
  <w:num w:numId="14">
    <w:abstractNumId w:val="30"/>
  </w:num>
  <w:num w:numId="15">
    <w:abstractNumId w:val="16"/>
  </w:num>
  <w:num w:numId="16">
    <w:abstractNumId w:val="9"/>
  </w:num>
  <w:num w:numId="17">
    <w:abstractNumId w:val="6"/>
    <w:lvlOverride w:ilvl="0">
      <w:lvl w:ilvl="0" w:tplc="FF3C55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941A239C">
        <w:numFmt w:val="decimal"/>
        <w:lvlText w:val=""/>
        <w:lvlJc w:val="left"/>
      </w:lvl>
    </w:lvlOverride>
    <w:lvlOverride w:ilvl="2">
      <w:lvl w:ilvl="2" w:tplc="8F3C91D6">
        <w:numFmt w:val="decimal"/>
        <w:lvlText w:val=""/>
        <w:lvlJc w:val="left"/>
      </w:lvl>
    </w:lvlOverride>
    <w:lvlOverride w:ilvl="3">
      <w:lvl w:ilvl="3" w:tplc="5BD44370">
        <w:numFmt w:val="decimal"/>
        <w:lvlText w:val=""/>
        <w:lvlJc w:val="left"/>
      </w:lvl>
    </w:lvlOverride>
    <w:lvlOverride w:ilvl="4">
      <w:lvl w:ilvl="4" w:tplc="B5EA772C">
        <w:numFmt w:val="decimal"/>
        <w:lvlText w:val=""/>
        <w:lvlJc w:val="left"/>
      </w:lvl>
    </w:lvlOverride>
    <w:lvlOverride w:ilvl="5">
      <w:lvl w:ilvl="5" w:tplc="6686AFF6">
        <w:numFmt w:val="decimal"/>
        <w:lvlText w:val=""/>
        <w:lvlJc w:val="left"/>
      </w:lvl>
    </w:lvlOverride>
    <w:lvlOverride w:ilvl="6">
      <w:lvl w:ilvl="6" w:tplc="0630A518">
        <w:numFmt w:val="decimal"/>
        <w:lvlText w:val=""/>
        <w:lvlJc w:val="left"/>
      </w:lvl>
    </w:lvlOverride>
    <w:lvlOverride w:ilvl="7">
      <w:lvl w:ilvl="7" w:tplc="3BF8E17A">
        <w:numFmt w:val="decimal"/>
        <w:lvlText w:val=""/>
        <w:lvlJc w:val="left"/>
      </w:lvl>
    </w:lvlOverride>
    <w:lvlOverride w:ilvl="8">
      <w:lvl w:ilvl="8" w:tplc="AE7A2352">
        <w:numFmt w:val="decimal"/>
        <w:lvlText w:val=""/>
        <w:lvlJc w:val="left"/>
      </w:lvl>
    </w:lvlOverride>
  </w:num>
  <w:num w:numId="18">
    <w:abstractNumId w:val="36"/>
  </w:num>
  <w:num w:numId="19">
    <w:abstractNumId w:val="32"/>
  </w:num>
  <w:num w:numId="20">
    <w:abstractNumId w:val="22"/>
  </w:num>
  <w:num w:numId="21">
    <w:abstractNumId w:val="8"/>
  </w:num>
  <w:num w:numId="22">
    <w:abstractNumId w:val="33"/>
  </w:num>
  <w:num w:numId="23">
    <w:abstractNumId w:val="38"/>
  </w:num>
  <w:num w:numId="24">
    <w:abstractNumId w:val="37"/>
  </w:num>
  <w:num w:numId="25">
    <w:abstractNumId w:val="21"/>
  </w:num>
  <w:num w:numId="26">
    <w:abstractNumId w:val="35"/>
  </w:num>
  <w:num w:numId="27">
    <w:abstractNumId w:val="26"/>
  </w:num>
  <w:num w:numId="28">
    <w:abstractNumId w:val="39"/>
  </w:num>
  <w:num w:numId="29">
    <w:abstractNumId w:val="23"/>
  </w:num>
  <w:num w:numId="30">
    <w:abstractNumId w:val="12"/>
  </w:num>
  <w:num w:numId="31">
    <w:abstractNumId w:val="1"/>
  </w:num>
  <w:num w:numId="32">
    <w:abstractNumId w:val="7"/>
  </w:num>
  <w:num w:numId="33">
    <w:abstractNumId w:val="34"/>
  </w:num>
  <w:num w:numId="34">
    <w:abstractNumId w:val="2"/>
  </w:num>
  <w:num w:numId="35">
    <w:abstractNumId w:val="41"/>
  </w:num>
  <w:num w:numId="36">
    <w:abstractNumId w:val="4"/>
  </w:num>
  <w:num w:numId="37">
    <w:abstractNumId w:val="17"/>
  </w:num>
  <w:num w:numId="38">
    <w:abstractNumId w:val="25"/>
  </w:num>
  <w:num w:numId="39">
    <w:abstractNumId w:val="27"/>
  </w:num>
  <w:num w:numId="40">
    <w:abstractNumId w:val="18"/>
  </w:num>
  <w:num w:numId="41">
    <w:abstractNumId w:val="5"/>
  </w:num>
  <w:num w:numId="42">
    <w:abstractNumId w:val="44"/>
  </w:num>
  <w:num w:numId="43">
    <w:abstractNumId w:val="43"/>
  </w:num>
  <w:num w:numId="44">
    <w:abstractNumId w:val="42"/>
  </w:num>
  <w:num w:numId="45">
    <w:abstractNumId w:val="20"/>
  </w:num>
  <w:num w:numId="46">
    <w:abstractNumId w:val="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5122D3-31FD-4232-A6F0-4AFF59DB1A61"/>
    <w:docVar w:name="LW_COVERPAGE_TYPE" w:val="1"/>
    <w:docVar w:name="LW_CROSSREFERENCE" w:val="&lt;UNUSED&gt;"/>
    <w:docVar w:name="LW_DocType" w:val="NORMAL"/>
    <w:docVar w:name="LW_EMISSION" w:val="16.4.2018"/>
    <w:docVar w:name="LW_EMISSION_ISODATE" w:val="2018-04-1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implementation and compliance with the sulphur standards for marine fuels set out in Directive (EU) 2016/802 relating to a reduction in the sulphur content of certain liquid fuels"/>
    <w:docVar w:name="LW_TYPE.DOC.CP" w:val="REPORT FROM THE COMMISSION TO THE EUROPEAN PARLIAMENT AND THE COUNCIL"/>
  </w:docVars>
  <w:rsids>
    <w:rsidRoot w:val="00C4604B"/>
    <w:rsid w:val="00854B22"/>
    <w:rsid w:val="00C460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Text"/>
    <w:pPr>
      <w:jc w:val="both"/>
    </w:pPr>
    <w:rPr>
      <w:rFonts w:eastAsia="Times New Roman"/>
      <w:color w:val="000000"/>
      <w:sz w:val="24"/>
      <w:szCs w:val="24"/>
      <w:u w:color="000000"/>
      <w:lang w:val="en-US"/>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lang w:val="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link w:val="FootnoteTextChar"/>
    <w:uiPriority w:val="99"/>
    <w:qFormat/>
    <w:rPr>
      <w:rFonts w:ascii="Calibri" w:eastAsia="Calibri" w:hAnsi="Calibri" w:cs="Calibri"/>
      <w:color w:val="000000"/>
      <w:u w:color="000000"/>
      <w:lang w:val="en-US"/>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en-US" w:eastAsia="en-US"/>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character" w:customStyle="1" w:styleId="FooterChar">
    <w:name w:val="Footer Char"/>
    <w:basedOn w:val="DefaultParagraphFont"/>
    <w:link w:val="Footer"/>
    <w:uiPriority w:val="99"/>
    <w:rPr>
      <w:rFonts w:eastAsiaTheme="minorHAnsi"/>
      <w:sz w:val="24"/>
      <w:szCs w:val="22"/>
      <w:bdr w:val="none" w:sz="0" w:space="0" w:color="auto"/>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US" w:eastAsia="en-US"/>
    </w:rPr>
  </w:style>
  <w:style w:type="paragraph" w:customStyle="1" w:styleId="astandard3520normal">
    <w:name w:val="a_standard__35__20_normal"/>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Strong">
    <w:name w:val="Strong"/>
    <w:basedOn w:val="DefaultParagraphFont"/>
    <w:uiPriority w:val="22"/>
    <w:qFormat/>
    <w:rPr>
      <w:b/>
      <w:bCs/>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uiPriority w:val="99"/>
    <w:rPr>
      <w:rFonts w:ascii="Calibri" w:eastAsia="Calibri" w:hAnsi="Calibri" w:cs="Calibri"/>
      <w:color w:val="000000"/>
      <w:u w:color="000000"/>
      <w:lang w:val="en-US"/>
    </w:rPr>
  </w:style>
  <w:style w:type="character" w:styleId="Emphasis">
    <w:name w:val="Emphasis"/>
    <w:basedOn w:val="DefaultParagraphFont"/>
    <w:uiPriority w:val="20"/>
    <w:qFormat/>
    <w:rPr>
      <w:i/>
      <w:iCs/>
    </w:rPr>
  </w:style>
  <w:style w:type="paragraph" w:customStyle="1" w:styleId="bodytext">
    <w:name w:val="bodytex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ng-scope">
    <w:name w:val="ng-scop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xmsolistparagraph">
    <w:name w:val="x_msolistparagraph"/>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super">
    <w:name w:val="super"/>
    <w:basedOn w:val="DefaultParagraphFont"/>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pbarticletitle1">
    <w:name w:val="pb_article_title1"/>
    <w:basedOn w:val="DefaultParagraphFont"/>
    <w:rPr>
      <w:color w:val="0094E8"/>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emission">
    <w:name w:val="emission"/>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stitutionnelle">
    <w:name w:val="rfrence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terinstitutionnelle">
    <w:name w:val="rfrenceinter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Text"/>
    <w:pPr>
      <w:jc w:val="both"/>
    </w:pPr>
    <w:rPr>
      <w:rFonts w:eastAsia="Times New Roman"/>
      <w:color w:val="000000"/>
      <w:sz w:val="24"/>
      <w:szCs w:val="24"/>
      <w:u w:color="000000"/>
      <w:lang w:val="en-US"/>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lang w:val="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link w:val="FootnoteTextChar"/>
    <w:uiPriority w:val="99"/>
    <w:qFormat/>
    <w:rPr>
      <w:rFonts w:ascii="Calibri" w:eastAsia="Calibri" w:hAnsi="Calibri" w:cs="Calibri"/>
      <w:color w:val="000000"/>
      <w:u w:color="000000"/>
      <w:lang w:val="en-US"/>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en-US" w:eastAsia="en-US"/>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character" w:customStyle="1" w:styleId="FooterChar">
    <w:name w:val="Footer Char"/>
    <w:basedOn w:val="DefaultParagraphFont"/>
    <w:link w:val="Footer"/>
    <w:uiPriority w:val="99"/>
    <w:rPr>
      <w:rFonts w:eastAsiaTheme="minorHAnsi"/>
      <w:sz w:val="24"/>
      <w:szCs w:val="22"/>
      <w:bdr w:val="none" w:sz="0" w:space="0" w:color="auto"/>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US" w:eastAsia="en-US"/>
    </w:rPr>
  </w:style>
  <w:style w:type="paragraph" w:customStyle="1" w:styleId="astandard3520normal">
    <w:name w:val="a_standard__35__20_normal"/>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Strong">
    <w:name w:val="Strong"/>
    <w:basedOn w:val="DefaultParagraphFont"/>
    <w:uiPriority w:val="22"/>
    <w:qFormat/>
    <w:rPr>
      <w:b/>
      <w:bCs/>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uiPriority w:val="99"/>
    <w:rPr>
      <w:rFonts w:ascii="Calibri" w:eastAsia="Calibri" w:hAnsi="Calibri" w:cs="Calibri"/>
      <w:color w:val="000000"/>
      <w:u w:color="000000"/>
      <w:lang w:val="en-US"/>
    </w:rPr>
  </w:style>
  <w:style w:type="character" w:styleId="Emphasis">
    <w:name w:val="Emphasis"/>
    <w:basedOn w:val="DefaultParagraphFont"/>
    <w:uiPriority w:val="20"/>
    <w:qFormat/>
    <w:rPr>
      <w:i/>
      <w:iCs/>
    </w:rPr>
  </w:style>
  <w:style w:type="paragraph" w:customStyle="1" w:styleId="bodytext">
    <w:name w:val="bodytex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ng-scope">
    <w:name w:val="ng-scop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xmsolistparagraph">
    <w:name w:val="x_msolistparagraph"/>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super">
    <w:name w:val="super"/>
    <w:basedOn w:val="DefaultParagraphFont"/>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pbarticletitle1">
    <w:name w:val="pb_article_title1"/>
    <w:basedOn w:val="DefaultParagraphFont"/>
    <w:rPr>
      <w:color w:val="0094E8"/>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emission">
    <w:name w:val="emission"/>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stitutionnelle">
    <w:name w:val="rfrence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rfrenceinterinstitutionnelle">
    <w:name w:val="rfrenceinterinstitutionnell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3226">
      <w:bodyDiv w:val="1"/>
      <w:marLeft w:val="0"/>
      <w:marRight w:val="0"/>
      <w:marTop w:val="0"/>
      <w:marBottom w:val="0"/>
      <w:divBdr>
        <w:top w:val="none" w:sz="0" w:space="0" w:color="auto"/>
        <w:left w:val="none" w:sz="0" w:space="0" w:color="auto"/>
        <w:bottom w:val="none" w:sz="0" w:space="0" w:color="auto"/>
        <w:right w:val="none" w:sz="0" w:space="0" w:color="auto"/>
      </w:divBdr>
    </w:div>
    <w:div w:id="396435352">
      <w:bodyDiv w:val="1"/>
      <w:marLeft w:val="0"/>
      <w:marRight w:val="0"/>
      <w:marTop w:val="0"/>
      <w:marBottom w:val="0"/>
      <w:divBdr>
        <w:top w:val="none" w:sz="0" w:space="0" w:color="auto"/>
        <w:left w:val="none" w:sz="0" w:space="0" w:color="auto"/>
        <w:bottom w:val="none" w:sz="0" w:space="0" w:color="auto"/>
        <w:right w:val="none" w:sz="0" w:space="0" w:color="auto"/>
      </w:divBdr>
    </w:div>
    <w:div w:id="492719077">
      <w:bodyDiv w:val="1"/>
      <w:marLeft w:val="0"/>
      <w:marRight w:val="0"/>
      <w:marTop w:val="0"/>
      <w:marBottom w:val="0"/>
      <w:divBdr>
        <w:top w:val="none" w:sz="0" w:space="0" w:color="auto"/>
        <w:left w:val="none" w:sz="0" w:space="0" w:color="auto"/>
        <w:bottom w:val="none" w:sz="0" w:space="0" w:color="auto"/>
        <w:right w:val="none" w:sz="0" w:space="0" w:color="auto"/>
      </w:divBdr>
    </w:div>
    <w:div w:id="775633791">
      <w:bodyDiv w:val="1"/>
      <w:marLeft w:val="0"/>
      <w:marRight w:val="0"/>
      <w:marTop w:val="0"/>
      <w:marBottom w:val="0"/>
      <w:divBdr>
        <w:top w:val="none" w:sz="0" w:space="0" w:color="auto"/>
        <w:left w:val="none" w:sz="0" w:space="0" w:color="auto"/>
        <w:bottom w:val="none" w:sz="0" w:space="0" w:color="auto"/>
        <w:right w:val="none" w:sz="0" w:space="0" w:color="auto"/>
      </w:divBdr>
    </w:div>
    <w:div w:id="805246815">
      <w:bodyDiv w:val="1"/>
      <w:marLeft w:val="0"/>
      <w:marRight w:val="0"/>
      <w:marTop w:val="0"/>
      <w:marBottom w:val="0"/>
      <w:divBdr>
        <w:top w:val="none" w:sz="0" w:space="0" w:color="auto"/>
        <w:left w:val="none" w:sz="0" w:space="0" w:color="auto"/>
        <w:bottom w:val="none" w:sz="0" w:space="0" w:color="auto"/>
        <w:right w:val="none" w:sz="0" w:space="0" w:color="auto"/>
      </w:divBdr>
    </w:div>
    <w:div w:id="888491506">
      <w:bodyDiv w:val="1"/>
      <w:marLeft w:val="0"/>
      <w:marRight w:val="0"/>
      <w:marTop w:val="0"/>
      <w:marBottom w:val="0"/>
      <w:divBdr>
        <w:top w:val="none" w:sz="0" w:space="0" w:color="auto"/>
        <w:left w:val="none" w:sz="0" w:space="0" w:color="auto"/>
        <w:bottom w:val="none" w:sz="0" w:space="0" w:color="auto"/>
        <w:right w:val="none" w:sz="0" w:space="0" w:color="auto"/>
      </w:divBdr>
    </w:div>
    <w:div w:id="1010371258">
      <w:bodyDiv w:val="1"/>
      <w:marLeft w:val="0"/>
      <w:marRight w:val="0"/>
      <w:marTop w:val="0"/>
      <w:marBottom w:val="0"/>
      <w:divBdr>
        <w:top w:val="none" w:sz="0" w:space="0" w:color="auto"/>
        <w:left w:val="none" w:sz="0" w:space="0" w:color="auto"/>
        <w:bottom w:val="none" w:sz="0" w:space="0" w:color="auto"/>
        <w:right w:val="none" w:sz="0" w:space="0" w:color="auto"/>
      </w:divBdr>
    </w:div>
    <w:div w:id="1016925771">
      <w:bodyDiv w:val="1"/>
      <w:marLeft w:val="0"/>
      <w:marRight w:val="0"/>
      <w:marTop w:val="0"/>
      <w:marBottom w:val="0"/>
      <w:divBdr>
        <w:top w:val="none" w:sz="0" w:space="0" w:color="auto"/>
        <w:left w:val="none" w:sz="0" w:space="0" w:color="auto"/>
        <w:bottom w:val="none" w:sz="0" w:space="0" w:color="auto"/>
        <w:right w:val="none" w:sz="0" w:space="0" w:color="auto"/>
      </w:divBdr>
    </w:div>
    <w:div w:id="1152720802">
      <w:bodyDiv w:val="1"/>
      <w:marLeft w:val="0"/>
      <w:marRight w:val="0"/>
      <w:marTop w:val="0"/>
      <w:marBottom w:val="0"/>
      <w:divBdr>
        <w:top w:val="none" w:sz="0" w:space="0" w:color="auto"/>
        <w:left w:val="none" w:sz="0" w:space="0" w:color="auto"/>
        <w:bottom w:val="none" w:sz="0" w:space="0" w:color="auto"/>
        <w:right w:val="none" w:sz="0" w:space="0" w:color="auto"/>
      </w:divBdr>
    </w:div>
    <w:div w:id="1236041330">
      <w:bodyDiv w:val="1"/>
      <w:marLeft w:val="0"/>
      <w:marRight w:val="0"/>
      <w:marTop w:val="0"/>
      <w:marBottom w:val="0"/>
      <w:divBdr>
        <w:top w:val="none" w:sz="0" w:space="0" w:color="auto"/>
        <w:left w:val="none" w:sz="0" w:space="0" w:color="auto"/>
        <w:bottom w:val="none" w:sz="0" w:space="0" w:color="auto"/>
        <w:right w:val="none" w:sz="0" w:space="0" w:color="auto"/>
      </w:divBdr>
    </w:div>
    <w:div w:id="1318075318">
      <w:bodyDiv w:val="1"/>
      <w:marLeft w:val="0"/>
      <w:marRight w:val="0"/>
      <w:marTop w:val="0"/>
      <w:marBottom w:val="0"/>
      <w:divBdr>
        <w:top w:val="none" w:sz="0" w:space="0" w:color="auto"/>
        <w:left w:val="none" w:sz="0" w:space="0" w:color="auto"/>
        <w:bottom w:val="none" w:sz="0" w:space="0" w:color="auto"/>
        <w:right w:val="none" w:sz="0" w:space="0" w:color="auto"/>
      </w:divBdr>
    </w:div>
    <w:div w:id="1429933560">
      <w:bodyDiv w:val="1"/>
      <w:marLeft w:val="0"/>
      <w:marRight w:val="0"/>
      <w:marTop w:val="0"/>
      <w:marBottom w:val="0"/>
      <w:divBdr>
        <w:top w:val="none" w:sz="0" w:space="0" w:color="auto"/>
        <w:left w:val="none" w:sz="0" w:space="0" w:color="auto"/>
        <w:bottom w:val="none" w:sz="0" w:space="0" w:color="auto"/>
        <w:right w:val="none" w:sz="0" w:space="0" w:color="auto"/>
      </w:divBdr>
    </w:div>
    <w:div w:id="1521773638">
      <w:bodyDiv w:val="1"/>
      <w:marLeft w:val="0"/>
      <w:marRight w:val="0"/>
      <w:marTop w:val="0"/>
      <w:marBottom w:val="0"/>
      <w:divBdr>
        <w:top w:val="none" w:sz="0" w:space="0" w:color="auto"/>
        <w:left w:val="none" w:sz="0" w:space="0" w:color="auto"/>
        <w:bottom w:val="none" w:sz="0" w:space="0" w:color="auto"/>
        <w:right w:val="none" w:sz="0" w:space="0" w:color="auto"/>
      </w:divBdr>
    </w:div>
    <w:div w:id="1552884581">
      <w:bodyDiv w:val="1"/>
      <w:marLeft w:val="0"/>
      <w:marRight w:val="0"/>
      <w:marTop w:val="0"/>
      <w:marBottom w:val="0"/>
      <w:divBdr>
        <w:top w:val="none" w:sz="0" w:space="0" w:color="auto"/>
        <w:left w:val="none" w:sz="0" w:space="0" w:color="auto"/>
        <w:bottom w:val="none" w:sz="0" w:space="0" w:color="auto"/>
        <w:right w:val="none" w:sz="0" w:space="0" w:color="auto"/>
      </w:divBdr>
    </w:div>
    <w:div w:id="1791703942">
      <w:bodyDiv w:val="1"/>
      <w:marLeft w:val="0"/>
      <w:marRight w:val="0"/>
      <w:marTop w:val="0"/>
      <w:marBottom w:val="0"/>
      <w:divBdr>
        <w:top w:val="none" w:sz="0" w:space="0" w:color="auto"/>
        <w:left w:val="none" w:sz="0" w:space="0" w:color="auto"/>
        <w:bottom w:val="none" w:sz="0" w:space="0" w:color="auto"/>
        <w:right w:val="none" w:sz="0" w:space="0" w:color="auto"/>
      </w:divBdr>
    </w:div>
    <w:div w:id="2014985358">
      <w:bodyDiv w:val="1"/>
      <w:marLeft w:val="0"/>
      <w:marRight w:val="0"/>
      <w:marTop w:val="0"/>
      <w:marBottom w:val="0"/>
      <w:divBdr>
        <w:top w:val="none" w:sz="0" w:space="0" w:color="auto"/>
        <w:left w:val="none" w:sz="0" w:space="0" w:color="auto"/>
        <w:bottom w:val="none" w:sz="0" w:space="0" w:color="auto"/>
        <w:right w:val="none" w:sz="0" w:space="0" w:color="auto"/>
      </w:divBdr>
    </w:div>
    <w:div w:id="212881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msa.europa.eu/partnerships/operational-agreements.html" TargetMode="External"/><Relationship Id="rId13" Type="http://schemas.openxmlformats.org/officeDocument/2006/relationships/hyperlink" Target="http://www.emsa.europa.eu/operational-scenarios.html" TargetMode="External"/><Relationship Id="rId18" Type="http://schemas.openxmlformats.org/officeDocument/2006/relationships/hyperlink" Target="http://www.imo.org/en/mediacentre/pressbriefings/pages/mepc-70-2020sulphur.aspx" TargetMode="External"/><Relationship Id="rId3" Type="http://schemas.openxmlformats.org/officeDocument/2006/relationships/hyperlink" Target="http://www.ivl.se/" TargetMode="External"/><Relationship Id="rId7" Type="http://schemas.openxmlformats.org/officeDocument/2006/relationships/hyperlink" Target="https://ec.europa.eu/commission/news/juncker-plan-france-signature-first-green-financing-maritime-sector-2017-dec-12_en" TargetMode="External"/><Relationship Id="rId12" Type="http://schemas.openxmlformats.org/officeDocument/2006/relationships/hyperlink" Target="https://compmon.eu/" TargetMode="External"/><Relationship Id="rId17" Type="http://schemas.openxmlformats.org/officeDocument/2006/relationships/hyperlink" Target="https://ec.europa.eu/transport/sites/transport/files/2017-11-08-mobility-package%20two/summary_of_national_policy_frameworks_on_alternative_fuels.pdf" TargetMode="External"/><Relationship Id="rId2" Type="http://schemas.openxmlformats.org/officeDocument/2006/relationships/hyperlink" Target="http://en.mfvm.dk/news/news/nyhed/sulphur-content-in-the-air-halved-since-2014/" TargetMode="External"/><Relationship Id="rId16" Type="http://schemas.openxmlformats.org/officeDocument/2006/relationships/hyperlink" Target="http://www.emsa.europa.eu/news-a-press-centre/external-news/item/3207-guidance-on-lng-bunkering-to-port-authorities-and-administrations.html" TargetMode="External"/><Relationship Id="rId20" Type="http://schemas.openxmlformats.org/officeDocument/2006/relationships/hyperlink" Target="http://www.imo.org/en/MediaCentre/MeetingSummaries/MEPC/Pages/MEPC-70th-session.aspx" TargetMode="External"/><Relationship Id="rId1" Type="http://schemas.openxmlformats.org/officeDocument/2006/relationships/hyperlink" Target="http://ec.europa.eu/environment/air/clean_air/index.htm" TargetMode="External"/><Relationship Id="rId6" Type="http://schemas.openxmlformats.org/officeDocument/2006/relationships/hyperlink" Target="http://emsa.europa.eu/main/sustainable-toolbox/relevant-eu-projects.html" TargetMode="External"/><Relationship Id="rId11" Type="http://schemas.openxmlformats.org/officeDocument/2006/relationships/hyperlink" Target="http://ec.europa.eu/transparency/regcomitology/index.cfm" TargetMode="External"/><Relationship Id="rId5" Type="http://schemas.openxmlformats.org/officeDocument/2006/relationships/hyperlink" Target="http://ec.europa.eu/transparency/regexpert/index.cfm" TargetMode="External"/><Relationship Id="rId15" Type="http://schemas.openxmlformats.org/officeDocument/2006/relationships/hyperlink" Target="https://ec.europa.eu/transport/sites/transport/files/acceptability_of_discharges_of_scrubber_wash_water.pdf" TargetMode="External"/><Relationship Id="rId10" Type="http://schemas.openxmlformats.org/officeDocument/2006/relationships/hyperlink" Target="http://www.emsa.europa.eu/visits-to-member-states/reduction-sulphur-content-of-certain-liquid-fuels.html" TargetMode="External"/><Relationship Id="rId19" Type="http://schemas.openxmlformats.org/officeDocument/2006/relationships/hyperlink" Target="http://www.emsa.europa.eu/implementation-tasks/training-a-cooperation/training-for-candidates-a-potential-candidates.html" TargetMode="External"/><Relationship Id="rId4" Type="http://schemas.openxmlformats.org/officeDocument/2006/relationships/hyperlink" Target="http://www.dcmr.nl/nieuws/nieuwsberichten/2015/07/schonere-scheepvaart.html" TargetMode="External"/><Relationship Id="rId9" Type="http://schemas.openxmlformats.org/officeDocument/2006/relationships/hyperlink" Target="http://emsa.europa.eu/implementation-tasks/training-a-cooperation/trainings-for-member-states.html" TargetMode="External"/><Relationship Id="rId14" Type="http://schemas.openxmlformats.org/officeDocument/2006/relationships/hyperlink" Target="https://portal.emsa.europa.eu/web/thetis-eu/hom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991B-D5C4-4936-AC82-C2AED939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6549</Words>
  <Characters>37332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2018-04-04T13:18:00Z</dcterms:created>
  <dcterms:modified xsi:type="dcterms:W3CDTF">2018-04-09T09:32:00Z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ies>
</file>