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9D0E238A-60C7-4FF6-88DA-6E695C422941" style="width:450.4pt;height:430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2013/0103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Регламент на Европейския парламент и на Съвета за изменение на Регламент (ЕС) 2016/1036 за защита срещу дъмпингов внос от страни, които не са членки на Европейския съюз, и Регламент (ЕС) 2016/1037 относно защитата срещу субсидиран внос от държави, които не са членки на Европейския съюз</w:t>
      </w:r>
    </w:p>
    <w:p>
      <w:pPr>
        <w:pStyle w:val="Point0"/>
        <w:rPr>
          <w:b/>
          <w:smallCaps/>
          <w:noProof/>
        </w:rPr>
      </w:pPr>
      <w:r>
        <w:rPr>
          <w:b/>
          <w:smallCaps/>
          <w:noProof/>
        </w:rPr>
        <w:t>1.</w:t>
      </w:r>
      <w:r>
        <w:rPr>
          <w:noProof/>
        </w:rPr>
        <w:tab/>
      </w:r>
      <w:r>
        <w:rPr>
          <w:b/>
          <w:smallCaps/>
          <w:noProof/>
        </w:rPr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 (документ COM(2013) 0192 final – 2013/0103 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10.4.2013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16.4.2014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16.4.2018 г.</w:t>
            </w:r>
          </w:p>
        </w:tc>
      </w:tr>
    </w:tbl>
    <w:p>
      <w:pPr>
        <w:pStyle w:val="Point0"/>
        <w:rPr>
          <w:b/>
          <w:smallCaps/>
          <w:noProof/>
        </w:rPr>
      </w:pPr>
    </w:p>
    <w:p>
      <w:pPr>
        <w:pStyle w:val="Point0"/>
        <w:rPr>
          <w:b/>
          <w:smallCaps/>
          <w:noProof/>
        </w:rPr>
      </w:pPr>
      <w:r>
        <w:rPr>
          <w:b/>
          <w:smallCaps/>
          <w:noProof/>
        </w:rPr>
        <w:t>2.</w:t>
      </w:r>
      <w:r>
        <w:rPr>
          <w:noProof/>
        </w:rPr>
        <w:tab/>
      </w:r>
      <w:r>
        <w:rPr>
          <w:b/>
          <w:smallCaps/>
          <w:noProof/>
        </w:rPr>
        <w:t>Цел на предложението на Комисията</w:t>
      </w:r>
    </w:p>
    <w:p>
      <w:pPr>
        <w:rPr>
          <w:noProof/>
        </w:rPr>
      </w:pPr>
      <w:r>
        <w:rPr>
          <w:noProof/>
        </w:rPr>
        <w:t xml:space="preserve">В съответствие с оценката на въздействието (SWD(2013) 105 final) предложението за изменение на Регламент (ЕС) 2016/1036 („основния антидъмпингов регламент“) и Регламент (ЕС) 2016/1037 („основния антисубсидиен регламент“) има за цел да се гарантира, че инструментите на ЕС за търговска защита ще продължат ефикасно да отговарят на новите световни предизвикателства. Предвидените с него промени целят да се осигурят по-голяма прозрачност и предвидимост, ефикасни мерки за борба с изкривяващи търговията форми на субсидиране и с нарушения по отношение на суровините в трети държави, както и да се улесни сътрудничеството. </w:t>
      </w:r>
    </w:p>
    <w:p>
      <w:pPr>
        <w:pStyle w:val="Point0"/>
        <w:rPr>
          <w:b/>
          <w:smallCaps/>
          <w:noProof/>
        </w:rPr>
      </w:pPr>
      <w:r>
        <w:rPr>
          <w:b/>
          <w:smallCaps/>
          <w:noProof/>
        </w:rPr>
        <w:t>3.</w:t>
      </w:r>
      <w:r>
        <w:rPr>
          <w:noProof/>
        </w:rPr>
        <w:tab/>
      </w:r>
      <w:r>
        <w:rPr>
          <w:b/>
          <w:smallCaps/>
          <w:noProof/>
        </w:rPr>
        <w:t>Коментари относно позицията на Европейския парламент</w:t>
      </w:r>
    </w:p>
    <w:p>
      <w:pPr>
        <w:rPr>
          <w:noProof/>
        </w:rPr>
      </w:pPr>
      <w:r>
        <w:rPr>
          <w:noProof/>
        </w:rPr>
        <w:t xml:space="preserve">Европейският парламент прие позиция на първо четене на 16 април 2014 г. С нея бяха предложени изменения в предложението на Комисията, като признаване на синдикалните организации и отчитане на социалните и екологичните стандарти при разследванията за търговска защита, разширяване на мерките за търговска защита, така че да обхванат континенталния шелф и изключителната икономическа зона на държава членка, както и допълнителна подкрепа за малките и средните предприятия. След като Съветът прие своята позиция на първо четене, се очаква Европейският парламент официално да одобри споразумението, постигнато при тристранните разговори.  </w:t>
      </w:r>
    </w:p>
    <w:p>
      <w:pPr>
        <w:pStyle w:val="Point0"/>
        <w:rPr>
          <w:b/>
          <w:smallCaps/>
          <w:noProof/>
        </w:rPr>
      </w:pPr>
      <w:r>
        <w:rPr>
          <w:b/>
          <w:smallCaps/>
          <w:noProof/>
        </w:rPr>
        <w:t>4.</w:t>
      </w:r>
      <w:r>
        <w:rPr>
          <w:noProof/>
        </w:rPr>
        <w:tab/>
      </w:r>
      <w:r>
        <w:rPr>
          <w:b/>
          <w:smallCaps/>
          <w:noProof/>
        </w:rPr>
        <w:t>Коментари относно позицията на Съвета</w:t>
      </w:r>
    </w:p>
    <w:p>
      <w:pPr>
        <w:widowControl w:val="0"/>
        <w:rPr>
          <w:noProof/>
        </w:rPr>
      </w:pPr>
      <w:r>
        <w:rPr>
          <w:noProof/>
        </w:rPr>
        <w:t xml:space="preserve">Позицията на Съвета отразява споразумението, постигнато при тристранните разговори. Тя подкрепя и допълнително прецизира предложението на Комисията, в т.ч. с въвеждането на период от три седмици за предварително оповестяване, като се прилагат предпазни механизми срещу натрупването на наличности. Във връзка с правилото за по-малкото мито изравнителните мерки обикновено се прилагат с размера на маржа на субсидията, а при антидъмпинговите мерки се въвежда праг от 17 % за нарушения по отношение на суровините. И в двата случая се прави проверка относно интереса на Съюза, като след пет години ще се направи общ преглед и на двете практики. Срокът за провеждане на антидъмпингово разследване се съкращава. Също така за по-добро изчисляване на целевата цена за европейската промишленост ще се отчитат пълните разходи, инвестициите, разходите за изследователска и развойна дейност и иновации, както и минимална целева печалба от 6 %. </w:t>
      </w:r>
    </w:p>
    <w:p>
      <w:pPr>
        <w:rPr>
          <w:b/>
          <w:smallCaps/>
          <w:noProof/>
        </w:rPr>
      </w:pPr>
      <w:r>
        <w:rPr>
          <w:b/>
          <w:smallCaps/>
          <w:noProof/>
        </w:rPr>
        <w:t>5.</w:t>
      </w:r>
      <w:r>
        <w:rPr>
          <w:noProof/>
        </w:rPr>
        <w:tab/>
      </w:r>
      <w:r>
        <w:rPr>
          <w:b/>
          <w:smallCaps/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Комисията изразява съгласие с позицията на Съвета.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568B8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886E7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267D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C4615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DA3D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5D6B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E2287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FB23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3 16:18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9D0E238A-60C7-4FF6-88DA-6E695C422941"/>
    <w:docVar w:name="LW_COVERPAGE_TYPE" w:val="1"/>
    <w:docVar w:name="LW_CROSSREFERENCE" w:val="&lt;UNUSED&gt;"/>
    <w:docVar w:name="LW_DocType" w:val="COM"/>
    <w:docVar w:name="LW_EMISSION" w:val="17.4.2018"/>
    <w:docVar w:name="LW_EMISSION_ISODATE" w:val="2018-04-17"/>
    <w:docVar w:name="LW_EMISSION_LOCATION" w:val="BRX"/>
    <w:docVar w:name="LW_EMISSION_PREFIX" w:val="\u1041?\u1088?\u1102?\u1082?\u1089?\u1077?\u1083?,"/>
    <w:docVar w:name="LW_EMISSION_SUFFIX" w:val="&lt;EMPTY&gt;"/>
    <w:docVar w:name="LW_ID_DOCMODEL" w:val="SJ-028"/>
    <w:docVar w:name="LW_ID_DOCSTRUCTURE" w:val="COM/PL/CODEC"/>
    <w:docVar w:name="LW_ID_DOCTYPE" w:val="SJ-028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03"/>
    <w:docVar w:name="LW_REF.II.NEW.CP_YEAR" w:val="2013"/>
    <w:docVar w:name="LW_REF.INST.NEW" w:val="COM"/>
    <w:docVar w:name="LW_REF.INST.NEW_ADOPTED" w:val="final"/>
    <w:docVar w:name="LW_REF.INST.NEW_TEXT" w:val="(2018) 19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56?\u1077?\u1075?\u1083?\u1072?\u1084?\u1077?\u1085?\u1090? (\u1045?\u1057?) 2016/1036 \u1079?\u1072? \u1079?\u1072?\u1097?\u1080?\u1090?\u1072? \u1089?\u1088?\u1077?\u1097?\u1091? \u1076?\u1098?\u1084?\u1087?\u1080?\u1085?\u1075?\u1086?\u1074? \u1074?\u1085?\u1086?\u1089? \u1086?\u1090? \u1089?\u1090?\u1088?\u1072?\u1085?\u1080?, \u1082?\u1086?\u1080?\u1090?\u1086? \u1085?\u1077? \u1089?\u1072? \u1095?\u1083?\u1077?\u1085?\u1082?\u1080? \u1085?\u1072? \u1045?\u1074?\u1088?\u1086?\u1087?\u1077?\u1081?\u1089?\u1082?\u1080?\u1103? \u1089?\u1098?\u1102?\u1079?, \u1080? \u1056?\u1077?\u1075?\u1083?\u1072?\u1084?\u1077?\u1085?\u1090? (\u1045?\u1057?) 2016/1037 \u1086?\u1090?\u1085?\u1086?\u1089?\u1085?\u1086? \u1079?\u1072?\u1097?\u1080?\u1090?\u1072?\u1090?\u1072? \u1089?\u1088?\u1077?\u1097?\u1091? \u1089?\u1091?\u1073?\u1089?\u1080?\u1076?\u1080?\u1088?\u1072?\u1085? \u1074?\u1085?\u1086?\u1089? \u1086?\u1090? \u1076?\u1098?\u1088?\u1078?\u1072?\u1074?\u1080?, \u1082?\u1086?\u1080?\u1090?\u1086? \u1085?\u1077? \u1089?\u1072? \u1095?\u1083?\u1077?\u1085?\u1082?\u1080? \u1085?\u1072? \u1045?\u1074?\u1088?\u1086?\u1087?\u1077?\u1081?\u1089?\u1082?\u1080?\u1103? \u1089?\u1098?\u1102?\u1079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3</Pages>
  <Words>455</Words>
  <Characters>2702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2018-03-23T15:18:00Z</dcterms:created>
  <dcterms:modified xsi:type="dcterms:W3CDTF">2018-04-05T11:50:00Z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Yellow (DQC version 03)</vt:lpwstr>
  </property>
</Properties>
</file>