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5A" w:rsidRDefault="00336AC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08BBF00-BC48-4588-9282-FEE6C2EE2415" style="width:450.5pt;height:395.05pt">
            <v:imagedata r:id="rId11" o:title=""/>
          </v:shape>
        </w:pict>
      </w:r>
    </w:p>
    <w:bookmarkEnd w:id="0"/>
    <w:p w:rsidR="0054545A" w:rsidRDefault="0054545A">
      <w:pPr>
        <w:pStyle w:val="Pagedecouverture"/>
        <w:rPr>
          <w:noProof/>
        </w:rPr>
        <w:sectPr w:rsidR="005454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4545A" w:rsidRDefault="0054545A"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54545A" w:rsidRDefault="00336AC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 w:rsidR="0054545A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4545A" w:rsidRDefault="00336AC2">
            <w:pPr>
              <w:spacing w:before="120" w:after="12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от изменението на Регламент (ЕО) № 924/2009 с цел намаляване на разходите за презграничните плащания в Общността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54545A" w:rsidRDefault="00336AC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А.</w:t>
            </w:r>
            <w:r>
              <w:rPr>
                <w:rFonts w:ascii="Tahoma" w:hAnsi="Tahoma"/>
                <w:b/>
                <w:noProof/>
                <w:sz w:val="22"/>
              </w:rPr>
              <w:t xml:space="preserve"> Необходимост от действия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 се предприемат действия? Какъв е разглежданият проблем?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pStyle w:val="Text2"/>
              <w:ind w:left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 xml:space="preserve">Високите разходи за презграничните плащания (6 % от всички плащания в ЕС) са препятствие пред завършването на единния пазар. Проблемът е разрешен за държавите от </w:t>
            </w:r>
            <w:r>
              <w:rPr>
                <w:noProof/>
              </w:rPr>
              <w:t xml:space="preserve">еврозоната, където презграничните и националните операции в евро са на една и съща цена. За разлика от това обаче за презграничните плащания в парични единици, различни от еврото, и за плащанията в евро от държави извън еврозоната се налагат високи такси, </w:t>
            </w:r>
            <w:r>
              <w:rPr>
                <w:noProof/>
              </w:rPr>
              <w:t>което води до създаването на две различни категории ползватели на платежни услуги в ЕС: по-многобройната категория се ползва от предимствата на единната зона за плащания в евро, а по-малобройната живее в сравнително малки зони със собствена парична единица</w:t>
            </w:r>
            <w:r>
              <w:rPr>
                <w:noProof/>
              </w:rPr>
              <w:t xml:space="preserve"> и плаща високи разходи за всички свои презгранични операции. Тези високи разходи отразяват ниските обеми и липсата на съвременна инфраструктура при паричните единици, различни от еврото, но и липсата на конкурентен и нормативен натиск върху доставчиците н</w:t>
            </w:r>
            <w:r>
              <w:rPr>
                <w:noProof/>
              </w:rPr>
              <w:t>а платежни услуги да започнат да извършват евтини плащания в евро и за ползвателите в държавите извън еврозоната.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се постигне с инициативата?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pStyle w:val="Text2"/>
              <w:ind w:left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>Целта на тази инициатива е да се постигне намаляване на таксите за презграничните плащания в</w:t>
            </w:r>
            <w:r>
              <w:rPr>
                <w:noProof/>
              </w:rPr>
              <w:t xml:space="preserve"> целия ЕС и по този начин да се допринесе за по-успешното включване на всички граждани и предприятия от ЕС в неговата икономика. Това ще се осъществи чрез уеднаквяване на таксите, налагани за презграничните операции, с таксите за националните операции, кат</w:t>
            </w:r>
            <w:r>
              <w:rPr>
                <w:noProof/>
              </w:rPr>
              <w:t>о същевременно се вземат мерки това да не доведе до по-високи такси за другите услуги. Освен това при всяко превалутиране във връзка с презгранична операция следва да се осигури прозрачност по отношение на таксите и – в съответните случаи – съпоставимост н</w:t>
            </w:r>
            <w:r>
              <w:rPr>
                <w:noProof/>
              </w:rPr>
              <w:t>а наличните възможности за ползвателите на платежни услуги.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действието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pStyle w:val="Text2"/>
              <w:ind w:left="0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t xml:space="preserve">Държавите членки извън еврозоната биха могли да предприемат необходимото действие сами и това е предвидено като възможност в Регламент 924/2009. Досега обаче това е направила само една държава членка и няма признаци, че другите ще последват нейния пример. </w:t>
            </w:r>
            <w:r>
              <w:rPr>
                <w:noProof/>
              </w:rPr>
              <w:t>Също така не изглежда вероятно проблемът да бъде разрешен в близко бъдеще от държавите извън еврозоната, които се присъединяват към нея, както се очакваше, когато принципите на Регламент 924/2009 бяха въведени за първи път през 2001 г. Така сценарият за пр</w:t>
            </w:r>
            <w:r>
              <w:rPr>
                <w:noProof/>
              </w:rPr>
              <w:t xml:space="preserve">емахване на препятствията на единния пазар, свързани с разходите за презграничните операции, не се осъществи. Ето защо е необходимо предприемането на действие на равнище ЕС. </w:t>
            </w:r>
          </w:p>
        </w:tc>
      </w:tr>
    </w:tbl>
    <w:p w:rsidR="0054545A" w:rsidRDefault="0054545A"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54545A" w:rsidRDefault="00336AC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законодателни и незаконодателни варианти за действие бяха </w:t>
            </w:r>
            <w:r>
              <w:rPr>
                <w:rFonts w:ascii="Tahoma" w:hAnsi="Tahoma"/>
                <w:b/>
                <w:noProof/>
                <w:sz w:val="20"/>
              </w:rPr>
              <w:t>разгледани? Има ли предпочетен вариант, или не?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rPr>
                <w:rFonts w:eastAsiaTheme="minorHAnsi"/>
                <w:noProof/>
                <w:szCs w:val="22"/>
              </w:rPr>
            </w:pPr>
            <w:r>
              <w:rPr>
                <w:noProof/>
              </w:rPr>
              <w:t>Тъй като поради липсата на законодателни разпоредби на ЕС проблемът не бе разрешен, сега бяха разгледани четири варианта за действие, като целта на всеки от тях е разширяване на приложното поле на при</w:t>
            </w:r>
            <w:r>
              <w:rPr>
                <w:noProof/>
              </w:rPr>
              <w:t xml:space="preserve">нципа за изравняване на разходите за националните операции в националната парична единица и разходите за презграничните операции: </w:t>
            </w:r>
          </w:p>
          <w:p w:rsidR="0054545A" w:rsidRDefault="00336AC2">
            <w:pPr>
              <w:jc w:val="both"/>
              <w:rPr>
                <w:rFonts w:eastAsiaTheme="minorHAnsi"/>
                <w:noProof/>
                <w:szCs w:val="22"/>
              </w:rPr>
            </w:pPr>
            <w:r>
              <w:rPr>
                <w:noProof/>
              </w:rPr>
              <w:lastRenderedPageBreak/>
              <w:t>(1) в националната парична единица;</w:t>
            </w:r>
          </w:p>
          <w:p w:rsidR="0054545A" w:rsidRDefault="00336AC2">
            <w:pPr>
              <w:jc w:val="both"/>
              <w:rPr>
                <w:rFonts w:eastAsiaTheme="minorHAnsi"/>
                <w:noProof/>
                <w:szCs w:val="22"/>
              </w:rPr>
            </w:pPr>
            <w:r>
              <w:rPr>
                <w:noProof/>
              </w:rPr>
              <w:t xml:space="preserve">(2) в националната парична единица </w:t>
            </w:r>
            <w:r>
              <w:rPr>
                <w:b/>
                <w:noProof/>
              </w:rPr>
              <w:t>и</w:t>
            </w:r>
            <w:r>
              <w:rPr>
                <w:noProof/>
              </w:rPr>
              <w:t xml:space="preserve"> в евро;</w:t>
            </w:r>
          </w:p>
          <w:p w:rsidR="0054545A" w:rsidRDefault="00336AC2">
            <w:pPr>
              <w:jc w:val="both"/>
              <w:rPr>
                <w:rFonts w:eastAsiaTheme="minorHAnsi"/>
                <w:noProof/>
                <w:szCs w:val="22"/>
              </w:rPr>
            </w:pPr>
            <w:r>
              <w:rPr>
                <w:noProof/>
              </w:rPr>
              <w:t xml:space="preserve">(3) </w:t>
            </w:r>
            <w:r>
              <w:rPr>
                <w:b/>
                <w:noProof/>
              </w:rPr>
              <w:t>само</w:t>
            </w:r>
            <w:r>
              <w:rPr>
                <w:noProof/>
              </w:rPr>
              <w:t xml:space="preserve"> в евро;</w:t>
            </w:r>
          </w:p>
          <w:p w:rsidR="0054545A" w:rsidRDefault="00336AC2">
            <w:pPr>
              <w:jc w:val="both"/>
              <w:rPr>
                <w:rFonts w:eastAsiaTheme="minorHAnsi"/>
                <w:noProof/>
                <w:szCs w:val="22"/>
              </w:rPr>
            </w:pPr>
            <w:r>
              <w:rPr>
                <w:noProof/>
              </w:rPr>
              <w:t xml:space="preserve">(4) в която и да е парична </w:t>
            </w:r>
            <w:r>
              <w:rPr>
                <w:noProof/>
              </w:rPr>
              <w:t>единица на държавите – членки на ЕС, независимо къде се извършват операциите.</w:t>
            </w:r>
          </w:p>
          <w:p w:rsidR="0054545A" w:rsidRDefault="00336AC2">
            <w:pPr>
              <w:pStyle w:val="Text2"/>
              <w:spacing w:after="0"/>
              <w:ind w:left="0"/>
              <w:rPr>
                <w:noProof/>
              </w:rPr>
            </w:pPr>
            <w:r>
              <w:rPr>
                <w:noProof/>
              </w:rPr>
              <w:t>Вариант 3 е ефикасен, тъй като съвременната инфраструктура за презгранични плащания в евро е на разположение на всички доставчици на платежни услуги и в държавите членки извън ев</w:t>
            </w:r>
            <w:r>
              <w:rPr>
                <w:noProof/>
              </w:rPr>
              <w:t>розоната. Повечето презгранични операции в държавите извън еврозоната са в евро, така че вариант 3 ще обхване голяма част от презграничните операции. Тъй като операциите в евро са евтини, ще има нисък риск от повишение на таксите за националните операции з</w:t>
            </w:r>
            <w:r>
              <w:rPr>
                <w:noProof/>
              </w:rPr>
              <w:t>а кръстосано субсидиране на скъпите презгранични операции в парични единици, различни от еврото. Вариант 3 е съобразен и с по-дългосрочната цел еврото да стане обща парична единица на всички държави членки. Този вариант също така ще бъде приет от доставчиц</w:t>
            </w:r>
            <w:r>
              <w:rPr>
                <w:noProof/>
              </w:rPr>
              <w:t xml:space="preserve">ите на платежни услуги по-добре от всеки друг. </w:t>
            </w:r>
          </w:p>
        </w:tc>
      </w:tr>
      <w:tr w:rsidR="0054545A">
        <w:tc>
          <w:tcPr>
            <w:tcW w:w="10188" w:type="dxa"/>
            <w:shd w:val="clear" w:color="auto" w:fill="CCCCCC"/>
          </w:tcPr>
          <w:p w:rsidR="0054545A" w:rsidRDefault="00336AC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shd w:val="clear" w:color="auto" w:fill="auto"/>
          </w:tcPr>
          <w:p w:rsidR="0054545A" w:rsidRDefault="00336AC2">
            <w:pPr>
              <w:jc w:val="both"/>
              <w:rPr>
                <w:noProof/>
                <w:szCs w:val="20"/>
              </w:rPr>
            </w:pPr>
            <w:r>
              <w:rPr>
                <w:noProof/>
              </w:rPr>
              <w:t xml:space="preserve">Доставчиците на платежни услуги предпочитат запазване на сегашното положение, но смятат вариант 3 за най-приемлив, в случай че ще има законодателни действия. За </w:t>
            </w:r>
            <w:r>
              <w:rPr>
                <w:noProof/>
              </w:rPr>
              <w:t>ползвателите на платежни услуги най-полезни са варианти 2 и 4, при условие че доставчиците на платежни услуги няма да повишат другите цени (таксите за обслужване на сметки и за превалутиране), за да субсидират кръстосано скъпите презгранични операции в пар</w:t>
            </w:r>
            <w:r>
              <w:rPr>
                <w:noProof/>
              </w:rPr>
              <w:t>ични единици, различни от еврото. Европейският парламент може да предпочете в приложното поле на Регламент 924/2009 да бъдат включени повече операции, а от държавите членки може да се очаква да предпочетат вариант 3, като се има предвид, че те не са прилож</w:t>
            </w:r>
            <w:r>
              <w:rPr>
                <w:noProof/>
              </w:rPr>
              <w:t>или варианти 1 и 2 доброволно, както е предвидено в сега действащите разпоредби на Регламента.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54545A" w:rsidRDefault="00336AC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предпочетения вариант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предпочетения вариант (ако има такъв,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jc w:val="both"/>
              <w:rPr>
                <w:noProof/>
                <w:szCs w:val="20"/>
              </w:rPr>
            </w:pPr>
            <w:r>
              <w:rPr>
                <w:noProof/>
              </w:rPr>
              <w:t xml:space="preserve">По оценки </w:t>
            </w:r>
            <w:r>
              <w:rPr>
                <w:noProof/>
              </w:rPr>
              <w:t>средните цени на презграничните платежни операции в евро в държавите извън еврозоната понастоящем са: 8 евро за кредитен превод, 0,40 евро за плащане с карта и 2,30 евро за теглене на пари в брой. Предпочетеният вариант би довел до понижение на тези цени д</w:t>
            </w:r>
            <w:r>
              <w:rPr>
                <w:noProof/>
              </w:rPr>
              <w:t>о равнището на цените на националните операции в местната парична единица – средно 1 евро, 0 евро и 0,63 евро съответно. При допускане, че делът на операциите в евро от общия обем на презграничните операции няма да намалее, може да се очаква ползвателите н</w:t>
            </w:r>
            <w:r>
              <w:rPr>
                <w:noProof/>
              </w:rPr>
              <w:t>а платежни услуги да спестяват по 900 милиона евро годишно. Те ще се ползват и от по-прозрачни и опростени структури на таксите, което може да доведе до засилване на конкуренцията. По-ниските разходи за презграничните операции ще доведат до задълбочаване н</w:t>
            </w:r>
            <w:r>
              <w:rPr>
                <w:noProof/>
              </w:rPr>
              <w:t>а икономическото обединение на ЕС и съответно до по-производителна и по-конкурентоспособна икономика. Би могло да има и политически ползи, тъй като тази инициатива ще бъде благоприятна за гражданите по подобие на разпоредбите за таксите за далекосъобщителн</w:t>
            </w:r>
            <w:r>
              <w:rPr>
                <w:noProof/>
              </w:rPr>
              <w:t>ите услуги при роуминг, макар и с по-малко въздействие върху живота на гражданите.</w:t>
            </w:r>
          </w:p>
        </w:tc>
      </w:tr>
    </w:tbl>
    <w:p w:rsidR="0054545A" w:rsidRDefault="0054545A">
      <w:pPr>
        <w:widowControl w:val="0"/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предпочетения вариант (ако има такъв,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noProof/>
              </w:rPr>
              <w:t>Доставчиците на платежни услуги ще загубят част от приходите си, която съответства на икономиите за ползвателите, но тези загуби може да бъдат компенсирани в по-дългосрочен план от нарастване на обемите на операциите. Допълнителните разходи за публичните о</w:t>
            </w:r>
            <w:r>
              <w:rPr>
                <w:noProof/>
              </w:rPr>
              <w:t xml:space="preserve">ргани (надзорните органи) във връзка с контрола върху прилагането на Регламента, ще бъдат пренебрежимо ниски.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големите предприятия, МСП и микропредприятията?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pStyle w:val="Text2"/>
              <w:ind w:left="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noProof/>
              </w:rPr>
              <w:lastRenderedPageBreak/>
              <w:t>МСП в еврозоната могат да очакват по-високо търсене от държавите членки извън еврозоната, в които високите такси за презграничните плащания са значително препятствие. Благодарение на плащанията при по-ниски разходи МСП в държавите членки извън еврозоната щ</w:t>
            </w:r>
            <w:r>
              <w:rPr>
                <w:noProof/>
              </w:rPr>
              <w:t>е могат да достигат до всички пребиваващи лица и предприятия от ЕС, а не само до населението на своята държава по произход. Така те ще могат да се конкурират по-успешно на единния пазар. Най-малките МСП ще извлекат най-големи ползи, тъй като те не могат да</w:t>
            </w:r>
            <w:r>
              <w:rPr>
                <w:noProof/>
              </w:rPr>
              <w:t xml:space="preserve"> договарят таксите, които плащат за презграничните си плащания.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 w:rsidR="0054545A">
        <w:tc>
          <w:tcPr>
            <w:tcW w:w="10188" w:type="dxa"/>
            <w:shd w:val="clear" w:color="auto" w:fill="auto"/>
          </w:tcPr>
          <w:p w:rsidR="0054545A" w:rsidRDefault="00336AC2">
            <w:pPr>
              <w:jc w:val="both"/>
              <w:rPr>
                <w:noProof/>
                <w:szCs w:val="20"/>
              </w:rPr>
            </w:pPr>
            <w:r>
              <w:rPr>
                <w:noProof/>
              </w:rPr>
              <w:t>Не се предвижда значително въздействие върху националните бюджети и администрации.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Ще има ли друго значително </w:t>
            </w:r>
            <w:r>
              <w:rPr>
                <w:rFonts w:ascii="Tahoma" w:hAnsi="Tahoma"/>
                <w:b/>
                <w:noProof/>
                <w:sz w:val="20"/>
              </w:rPr>
              <w:t>въздействие?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При прилагането на предложените разпоредби ще намалеят приходите на доставчиците на платежни услуги и като мярка за противодействие, чрез която да компенсират загубите на приходи, те могат да използват разходите за превалутирането, тъй като </w:t>
            </w:r>
            <w:r>
              <w:rPr>
                <w:noProof/>
              </w:rPr>
              <w:t>ползвателите на платежни услуги не разполагат с достатъчно информация и прозрачност, за да измерят тези разходи. С Директивата за платежните услуги вече са наложени изисквания за прозрачност, които следва да бъдат доуточнени, за да бъдат по-ефективни. Като</w:t>
            </w:r>
            <w:r>
              <w:rPr>
                <w:noProof/>
              </w:rPr>
              <w:t xml:space="preserve"> се има предвид много техническият характер на превалутирането в една бързо променяща се среда, ЕБО ще бъде натоварен със задачата да установи регулаторни технически стандарти за по-успешно уреждане на практиките по превалутиране.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54545A" w:rsidRDefault="00336AC2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t>Г. Последващи дейст</w:t>
            </w:r>
            <w:r>
              <w:rPr>
                <w:rFonts w:ascii="Tahoma" w:hAnsi="Tahoma"/>
                <w:b/>
                <w:noProof/>
                <w:sz w:val="22"/>
              </w:rPr>
              <w:t>вия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54545A" w:rsidRDefault="00336AC2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действието на законодателните разпоредби? </w:t>
            </w:r>
          </w:p>
        </w:tc>
      </w:tr>
      <w:tr w:rsidR="0054545A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4545A" w:rsidRDefault="00336AC2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Действието на въведените с настоящото предложение законодателни разпоредби следва да бъде подложено на преглед след три години, за да се види дали доставчиците на платежни </w:t>
            </w:r>
            <w:r>
              <w:rPr>
                <w:noProof/>
              </w:rPr>
              <w:t>услуги са се опитали да компенсират загубите на приходи чрез повишаване на другите цени и дали в приложното поле на Регламента следва да бъдат включени още операции.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</w:tbl>
    <w:p w:rsidR="0054545A" w:rsidRDefault="0054545A">
      <w:pPr>
        <w:rPr>
          <w:noProof/>
        </w:rPr>
      </w:pPr>
    </w:p>
    <w:sectPr w:rsidR="005454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993" w:left="1417" w:header="708" w:footer="1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5A" w:rsidRDefault="00336AC2">
      <w:r>
        <w:separator/>
      </w:r>
    </w:p>
  </w:endnote>
  <w:endnote w:type="continuationSeparator" w:id="0">
    <w:p w:rsidR="0054545A" w:rsidRDefault="003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336AC2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337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45A" w:rsidRDefault="00336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45A" w:rsidRDefault="0054545A"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5A" w:rsidRDefault="00336AC2">
      <w:r>
        <w:separator/>
      </w:r>
    </w:p>
  </w:footnote>
  <w:footnote w:type="continuationSeparator" w:id="0">
    <w:p w:rsidR="0054545A" w:rsidRDefault="0033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A" w:rsidRDefault="00545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308BBF00-BC48-4588-9282-FEE6C2EE2415"/>
    <w:docVar w:name="LW_COVERPAGE_TYPE" w:val="1"/>
    <w:docVar w:name="LW_CROSSREFERENCE" w:val="{COM(2018) 163 final}_x000b_{SWD(2018) 84 final}"/>
    <w:docVar w:name="LW_DocType" w:val="NORMAL"/>
    <w:docVar w:name="LW_EMISSION" w:val="28.3.2018"/>
    <w:docVar w:name="LW_EMISSION_ISODATE" w:val="2018-03-28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\u1045?\u1054?) \u8470? 924/2009 \u1087?\u1086? \u1086?\u1090?\u1085?\u1086?\u1096?\u1077?\u1085?\u1080?\u1077? \u1085?\u1072? \u1086?\u1087?\u1088?\u1077?\u1076?\u1077?\u1083?\u1077?\u1085?\u1080? \u1090?\u1072?\u1082?\u1089?\u1080? \u1079?\u1072? \u1087?\u1088?\u1077?\u1079?\u1075?\u1088?\u1072?\u1085?\u1080?\u1095?\u1085?\u1080?\u1090?\u1077? \u1087?\u1083?\u1072?\u1097?\u1072?\u1085?\u1080?\u1103? \u1074? \u1057?\u1098?\u1102?\u1079?\u1072? \u1080? \u1090?\u1072?\u1082?\u1089?\u1080?\u1090?\u1077? \u1079?\u1072? \u1087?\u1088?\u1077?\u1074?\u1072?\u1083?\u1091?\u1090?\u1080?\u1088?\u1072?\u1085?\u1077?\u1090?\u1086?"/>
    <w:docVar w:name="LW_PART_NBR" w:val="1"/>
    <w:docVar w:name="LW_PART_NBR_TOTAL" w:val="1"/>
    <w:docVar w:name="LW_REF.INST.NEW" w:val="SWD"/>
    <w:docVar w:name="LW_REF.INST.NEW_ADOPTED" w:val="final"/>
    <w:docVar w:name="LW_REF.INST.NEW_TEXT" w:val="(2018) 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\u1090?\u1086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54545A"/>
    <w:rsid w:val="00336AC2"/>
    <w:rsid w:val="005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qFormat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qFormat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8E3-FEEC-429F-8C93-CFCC37DE565D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FCB52-7240-487D-B781-4470BCE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19</cp:revision>
  <cp:lastPrinted>2018-03-19T11:24:00Z</cp:lastPrinted>
  <dcterms:created xsi:type="dcterms:W3CDTF">2018-03-27T16:18:00Z</dcterms:created>
  <dcterms:modified xsi:type="dcterms:W3CDTF">2018-04-17T09:00:00Z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